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827CD" w14:textId="77777777" w:rsidR="00071966" w:rsidRPr="005B5393" w:rsidRDefault="00071966" w:rsidP="00071966">
      <w:pPr>
        <w:spacing w:line="480" w:lineRule="auto"/>
        <w:jc w:val="center"/>
        <w:rPr>
          <w:rFonts w:ascii="Calibri" w:hAnsi="Calibri" w:cs="Calibri"/>
          <w:szCs w:val="24"/>
        </w:rPr>
      </w:pPr>
      <w:r w:rsidRPr="005B5393">
        <w:rPr>
          <w:rFonts w:ascii="Calibri" w:hAnsi="Calibri" w:cs="Calibri"/>
          <w:noProof/>
          <w:szCs w:val="24"/>
        </w:rPr>
        <w:drawing>
          <wp:inline distT="0" distB="0" distL="0" distR="0" wp14:anchorId="2068B874" wp14:editId="6C790870">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71BCA0D" w14:textId="77777777" w:rsidR="00071966" w:rsidRPr="005B5393" w:rsidRDefault="00071966" w:rsidP="00071966">
      <w:pPr>
        <w:spacing w:line="480" w:lineRule="auto"/>
        <w:jc w:val="center"/>
        <w:rPr>
          <w:rFonts w:ascii="Calibri" w:hAnsi="Calibri" w:cs="Calibri"/>
          <w:b/>
          <w:bCs/>
          <w:szCs w:val="24"/>
        </w:rPr>
      </w:pPr>
      <w:proofErr w:type="spellStart"/>
      <w:r w:rsidRPr="005B5393">
        <w:rPr>
          <w:rFonts w:ascii="Calibri" w:hAnsi="Calibri" w:cs="Calibri"/>
          <w:b/>
          <w:bCs/>
          <w:szCs w:val="24"/>
        </w:rPr>
        <w:t>Accouting</w:t>
      </w:r>
      <w:proofErr w:type="spellEnd"/>
      <w:r w:rsidRPr="005B5393">
        <w:rPr>
          <w:rFonts w:ascii="Calibri" w:hAnsi="Calibri" w:cs="Calibri"/>
          <w:b/>
          <w:bCs/>
          <w:szCs w:val="24"/>
        </w:rPr>
        <w:t xml:space="preserve"> Fundamentals February BATTBM</w:t>
      </w:r>
    </w:p>
    <w:p w14:paraId="402321C0" w14:textId="77777777" w:rsidR="00071966" w:rsidRPr="005B5393" w:rsidRDefault="00071966" w:rsidP="00071966">
      <w:pPr>
        <w:spacing w:line="480" w:lineRule="auto"/>
        <w:jc w:val="center"/>
        <w:rPr>
          <w:rFonts w:ascii="Calibri" w:hAnsi="Calibri" w:cs="Calibri"/>
          <w:b/>
          <w:bCs/>
          <w:szCs w:val="24"/>
        </w:rPr>
      </w:pPr>
      <w:r w:rsidRPr="005B5393">
        <w:rPr>
          <w:rFonts w:ascii="Calibri" w:hAnsi="Calibri" w:cs="Calibri"/>
          <w:b/>
          <w:bCs/>
          <w:szCs w:val="24"/>
        </w:rPr>
        <w:drawing>
          <wp:inline distT="0" distB="0" distL="0" distR="0" wp14:anchorId="7A45A9C5" wp14:editId="5D8ED8C9">
            <wp:extent cx="5943600" cy="3217545"/>
            <wp:effectExtent l="0" t="0" r="0" b="1905"/>
            <wp:docPr id="9186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2303" name=""/>
                    <pic:cNvPicPr/>
                  </pic:nvPicPr>
                  <pic:blipFill>
                    <a:blip r:embed="rId5"/>
                    <a:stretch>
                      <a:fillRect/>
                    </a:stretch>
                  </pic:blipFill>
                  <pic:spPr>
                    <a:xfrm>
                      <a:off x="0" y="0"/>
                      <a:ext cx="5943600" cy="3217545"/>
                    </a:xfrm>
                    <a:prstGeom prst="rect">
                      <a:avLst/>
                    </a:prstGeom>
                  </pic:spPr>
                </pic:pic>
              </a:graphicData>
            </a:graphic>
          </wp:inline>
        </w:drawing>
      </w:r>
    </w:p>
    <w:p w14:paraId="1ED2921A" w14:textId="77777777" w:rsidR="00071966" w:rsidRPr="005B5393" w:rsidRDefault="00071966" w:rsidP="00071966">
      <w:pPr>
        <w:spacing w:line="480" w:lineRule="auto"/>
        <w:jc w:val="center"/>
        <w:rPr>
          <w:rFonts w:ascii="Calibri" w:hAnsi="Calibri" w:cs="Calibri"/>
          <w:b/>
          <w:bCs/>
          <w:szCs w:val="24"/>
        </w:rPr>
      </w:pPr>
    </w:p>
    <w:p w14:paraId="0F3BB0A3" w14:textId="77777777" w:rsidR="00071966" w:rsidRPr="005B5393" w:rsidRDefault="00071966" w:rsidP="00071966">
      <w:pPr>
        <w:spacing w:line="480" w:lineRule="auto"/>
        <w:jc w:val="center"/>
        <w:rPr>
          <w:rFonts w:ascii="Calibri" w:hAnsi="Calibri" w:cs="Calibri"/>
          <w:b/>
          <w:bCs/>
          <w:szCs w:val="24"/>
        </w:rPr>
      </w:pPr>
    </w:p>
    <w:p w14:paraId="7FF411BC" w14:textId="77777777" w:rsidR="00071966" w:rsidRPr="005B5393" w:rsidRDefault="00071966" w:rsidP="00071966">
      <w:pPr>
        <w:spacing w:line="480" w:lineRule="auto"/>
        <w:jc w:val="center"/>
        <w:rPr>
          <w:rFonts w:ascii="Calibri" w:hAnsi="Calibri" w:cs="Calibri"/>
          <w:b/>
          <w:bCs/>
          <w:szCs w:val="24"/>
        </w:rPr>
      </w:pPr>
    </w:p>
    <w:p w14:paraId="51596629" w14:textId="77777777" w:rsidR="00071966" w:rsidRPr="005B5393" w:rsidRDefault="00071966" w:rsidP="00071966">
      <w:pPr>
        <w:spacing w:line="480" w:lineRule="auto"/>
        <w:jc w:val="center"/>
        <w:rPr>
          <w:rFonts w:ascii="Calibri" w:hAnsi="Calibri" w:cs="Calibri"/>
          <w:b/>
          <w:bCs/>
          <w:szCs w:val="24"/>
        </w:rPr>
      </w:pPr>
    </w:p>
    <w:p w14:paraId="6DB11F50" w14:textId="77777777" w:rsidR="00071966" w:rsidRPr="005B5393" w:rsidRDefault="00071966" w:rsidP="00071966">
      <w:pPr>
        <w:spacing w:line="480" w:lineRule="auto"/>
        <w:jc w:val="center"/>
        <w:rPr>
          <w:rFonts w:ascii="Calibri" w:hAnsi="Calibri" w:cs="Calibri"/>
          <w:b/>
          <w:bCs/>
          <w:szCs w:val="24"/>
        </w:rPr>
      </w:pPr>
    </w:p>
    <w:p w14:paraId="3F0B39E5" w14:textId="77777777" w:rsidR="00071966" w:rsidRPr="005B5393" w:rsidRDefault="00071966" w:rsidP="00071966">
      <w:pPr>
        <w:spacing w:line="480" w:lineRule="auto"/>
        <w:rPr>
          <w:rFonts w:ascii="Calibri" w:hAnsi="Calibri" w:cs="Calibri"/>
          <w:b/>
          <w:bCs/>
          <w:szCs w:val="24"/>
        </w:rPr>
      </w:pPr>
    </w:p>
    <w:p w14:paraId="2CB8ED85" w14:textId="77777777" w:rsidR="00071966" w:rsidRPr="005B5393" w:rsidRDefault="00071966" w:rsidP="00071966">
      <w:pPr>
        <w:spacing w:line="480" w:lineRule="auto"/>
        <w:rPr>
          <w:rFonts w:ascii="Calibri" w:hAnsi="Calibri" w:cs="Calibri"/>
          <w:b/>
          <w:bCs/>
          <w:szCs w:val="24"/>
        </w:rPr>
      </w:pPr>
    </w:p>
    <w:p w14:paraId="4D7CCD4D" w14:textId="77777777" w:rsidR="00071966" w:rsidRPr="005B5393" w:rsidRDefault="00071966" w:rsidP="00071966">
      <w:pPr>
        <w:pStyle w:val="Heading2"/>
        <w:rPr>
          <w:rFonts w:ascii="Calibri" w:hAnsi="Calibri" w:cs="Calibri"/>
          <w:sz w:val="24"/>
          <w:szCs w:val="24"/>
        </w:rPr>
      </w:pPr>
      <w:bookmarkStart w:id="0" w:name="_Toc224846299"/>
      <w:r w:rsidRPr="005B5393">
        <w:rPr>
          <w:rFonts w:ascii="Calibri" w:hAnsi="Calibri" w:cs="Calibri"/>
          <w:sz w:val="24"/>
          <w:szCs w:val="24"/>
        </w:rPr>
        <w:lastRenderedPageBreak/>
        <w:t>Abstract</w:t>
      </w:r>
      <w:bookmarkEnd w:id="0"/>
    </w:p>
    <w:p w14:paraId="47DCCF79" w14:textId="77777777" w:rsidR="00071966" w:rsidRPr="005B5393" w:rsidRDefault="00071966" w:rsidP="00071966">
      <w:pPr>
        <w:spacing w:line="480" w:lineRule="auto"/>
        <w:rPr>
          <w:rFonts w:ascii="Calibri" w:hAnsi="Calibri" w:cs="Calibri"/>
          <w:b/>
          <w:bCs/>
          <w:szCs w:val="24"/>
        </w:rPr>
      </w:pPr>
    </w:p>
    <w:p w14:paraId="3BE55881" w14:textId="5BF590F8" w:rsidR="00EC5626" w:rsidRPr="005B5393" w:rsidRDefault="00EC5626" w:rsidP="00EC5626">
      <w:pPr>
        <w:spacing w:line="480" w:lineRule="auto"/>
        <w:rPr>
          <w:rFonts w:ascii="Calibri" w:hAnsi="Calibri" w:cs="Calibri"/>
          <w:szCs w:val="24"/>
        </w:rPr>
      </w:pPr>
      <w:r w:rsidRPr="005B5393">
        <w:rPr>
          <w:rFonts w:ascii="Calibri" w:hAnsi="Calibri" w:cs="Calibri"/>
          <w:szCs w:val="24"/>
        </w:rPr>
        <w:t>This report takes a critical analysis of the sophisticated theoretical concepts of accounting and their applicability in contemporary business practices. It starts by examining how some of the key principles have changed over time, especially the accounting equation and how its interpretation has been broadened to deal with more complex financial settings. The paper also examines the comparative paradigms of International Financial Reporting Standards (IFRS) and Generally Accepted Accounting Principles (GAAP) and the implications of the two on the quality of financial reporting standards, comparability, and international decision-making.</w:t>
      </w:r>
    </w:p>
    <w:p w14:paraId="3DED369B" w14:textId="6B99934C" w:rsidR="00EC5626" w:rsidRPr="005B5393" w:rsidRDefault="00EC5626" w:rsidP="00EC5626">
      <w:pPr>
        <w:spacing w:line="480" w:lineRule="auto"/>
        <w:rPr>
          <w:rFonts w:ascii="Calibri" w:hAnsi="Calibri" w:cs="Calibri"/>
          <w:szCs w:val="24"/>
        </w:rPr>
      </w:pPr>
      <w:r w:rsidRPr="005B5393">
        <w:rPr>
          <w:rFonts w:ascii="Calibri" w:hAnsi="Calibri" w:cs="Calibri"/>
          <w:szCs w:val="24"/>
        </w:rPr>
        <w:t>The interest of corporate governance is also explored with focus on discussing its significance in supporting ethical accounting conducts, transparency, and protecting stakeholder interests. The report also compares the interrelationship between major financial statements: balance sheet, income statement and cash flow statement and how they are integrated to give a complete picture of the financial health of an organization.</w:t>
      </w:r>
    </w:p>
    <w:p w14:paraId="5054B020" w14:textId="77777777" w:rsidR="00EC5626" w:rsidRPr="005B5393" w:rsidRDefault="00EC5626" w:rsidP="00EC5626">
      <w:pPr>
        <w:spacing w:line="480" w:lineRule="auto"/>
        <w:rPr>
          <w:rFonts w:ascii="Calibri" w:hAnsi="Calibri" w:cs="Calibri"/>
          <w:szCs w:val="24"/>
        </w:rPr>
      </w:pPr>
      <w:r w:rsidRPr="005B5393">
        <w:rPr>
          <w:rFonts w:ascii="Calibri" w:hAnsi="Calibri" w:cs="Calibri"/>
          <w:szCs w:val="24"/>
        </w:rPr>
        <w:t>The complex accounting notions are explained (fair value measurement, asset impairment, and off-balance-sheet financing) and are associated with the real-life examples of their practical importance and dangers. In general, the report offers a critical and applied approach to the role of current accounting systems in informing business decisions as well as overcoming the challenges of globalization, regulatory diversity, and financial complexity.</w:t>
      </w:r>
    </w:p>
    <w:p w14:paraId="1BEC5E47" w14:textId="77777777" w:rsidR="00EC5626" w:rsidRPr="005B5393" w:rsidRDefault="00EC5626" w:rsidP="00EC5626">
      <w:pPr>
        <w:spacing w:line="480" w:lineRule="auto"/>
        <w:rPr>
          <w:rFonts w:ascii="Calibri" w:hAnsi="Calibri" w:cs="Calibri"/>
          <w:szCs w:val="24"/>
        </w:rPr>
      </w:pPr>
    </w:p>
    <w:p w14:paraId="7D104040" w14:textId="77777777" w:rsidR="00071966" w:rsidRPr="005B5393" w:rsidRDefault="00071966" w:rsidP="00071966">
      <w:pPr>
        <w:spacing w:line="480" w:lineRule="auto"/>
        <w:rPr>
          <w:rFonts w:ascii="Calibri" w:hAnsi="Calibri" w:cs="Calibri"/>
          <w:szCs w:val="24"/>
        </w:rPr>
      </w:pPr>
    </w:p>
    <w:sdt>
      <w:sdtPr>
        <w:rPr>
          <w:rFonts w:ascii="Calibri" w:eastAsiaTheme="minorHAnsi" w:hAnsi="Calibri" w:cs="Calibri"/>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737DDBA5" w14:textId="77777777" w:rsidR="00071966" w:rsidRPr="005B5393" w:rsidRDefault="00071966" w:rsidP="00071966">
          <w:pPr>
            <w:pStyle w:val="TOCHeading"/>
            <w:rPr>
              <w:rFonts w:ascii="Calibri" w:hAnsi="Calibri" w:cs="Calibri"/>
              <w:sz w:val="24"/>
              <w:szCs w:val="24"/>
            </w:rPr>
          </w:pPr>
          <w:r w:rsidRPr="005B5393">
            <w:rPr>
              <w:rFonts w:ascii="Calibri" w:hAnsi="Calibri" w:cs="Calibri"/>
              <w:sz w:val="24"/>
              <w:szCs w:val="24"/>
            </w:rPr>
            <w:t>Contents</w:t>
          </w:r>
        </w:p>
        <w:p w14:paraId="3E6047A5" w14:textId="77777777" w:rsidR="00071966" w:rsidRPr="005B5393" w:rsidRDefault="00071966" w:rsidP="00071966">
          <w:pPr>
            <w:pStyle w:val="TOC2"/>
            <w:tabs>
              <w:tab w:val="right" w:leader="dot" w:pos="9350"/>
            </w:tabs>
            <w:rPr>
              <w:rFonts w:ascii="Calibri" w:hAnsi="Calibri" w:cs="Calibri"/>
              <w:noProof/>
              <w:szCs w:val="24"/>
            </w:rPr>
          </w:pPr>
          <w:r w:rsidRPr="005B5393">
            <w:rPr>
              <w:rFonts w:ascii="Calibri" w:hAnsi="Calibri" w:cs="Calibri"/>
              <w:szCs w:val="24"/>
            </w:rPr>
            <w:fldChar w:fldCharType="begin"/>
          </w:r>
          <w:r w:rsidRPr="005B5393">
            <w:rPr>
              <w:rFonts w:ascii="Calibri" w:hAnsi="Calibri" w:cs="Calibri"/>
              <w:szCs w:val="24"/>
            </w:rPr>
            <w:instrText xml:space="preserve"> TOC \o "1-3" \h \z \u </w:instrText>
          </w:r>
          <w:r w:rsidRPr="005B5393">
            <w:rPr>
              <w:rFonts w:ascii="Calibri" w:hAnsi="Calibri" w:cs="Calibri"/>
              <w:szCs w:val="24"/>
            </w:rPr>
            <w:fldChar w:fldCharType="separate"/>
          </w:r>
          <w:hyperlink w:anchor="_Toc224846299" w:history="1">
            <w:r w:rsidRPr="005B5393">
              <w:rPr>
                <w:rStyle w:val="Hyperlink"/>
                <w:rFonts w:ascii="Calibri" w:hAnsi="Calibri" w:cs="Calibri"/>
                <w:noProof/>
                <w:szCs w:val="24"/>
              </w:rPr>
              <w:t>Abstract</w:t>
            </w:r>
            <w:r w:rsidRPr="005B5393">
              <w:rPr>
                <w:rFonts w:ascii="Calibri" w:hAnsi="Calibri" w:cs="Calibri"/>
                <w:noProof/>
                <w:webHidden/>
                <w:szCs w:val="24"/>
              </w:rPr>
              <w:tab/>
            </w:r>
            <w:r w:rsidRPr="005B5393">
              <w:rPr>
                <w:rFonts w:ascii="Calibri" w:hAnsi="Calibri" w:cs="Calibri"/>
                <w:noProof/>
                <w:webHidden/>
                <w:szCs w:val="24"/>
              </w:rPr>
              <w:fldChar w:fldCharType="begin"/>
            </w:r>
            <w:r w:rsidRPr="005B5393">
              <w:rPr>
                <w:rFonts w:ascii="Calibri" w:hAnsi="Calibri" w:cs="Calibri"/>
                <w:noProof/>
                <w:webHidden/>
                <w:szCs w:val="24"/>
              </w:rPr>
              <w:instrText xml:space="preserve"> PAGEREF _Toc224846299 \h </w:instrText>
            </w:r>
            <w:r w:rsidRPr="005B5393">
              <w:rPr>
                <w:rFonts w:ascii="Calibri" w:hAnsi="Calibri" w:cs="Calibri"/>
                <w:noProof/>
                <w:webHidden/>
                <w:szCs w:val="24"/>
              </w:rPr>
            </w:r>
            <w:r w:rsidRPr="005B5393">
              <w:rPr>
                <w:rFonts w:ascii="Calibri" w:hAnsi="Calibri" w:cs="Calibri"/>
                <w:noProof/>
                <w:webHidden/>
                <w:szCs w:val="24"/>
              </w:rPr>
              <w:fldChar w:fldCharType="separate"/>
            </w:r>
            <w:r w:rsidRPr="005B5393">
              <w:rPr>
                <w:rFonts w:ascii="Calibri" w:hAnsi="Calibri" w:cs="Calibri"/>
                <w:noProof/>
                <w:webHidden/>
                <w:szCs w:val="24"/>
              </w:rPr>
              <w:t>2</w:t>
            </w:r>
            <w:r w:rsidRPr="005B5393">
              <w:rPr>
                <w:rFonts w:ascii="Calibri" w:hAnsi="Calibri" w:cs="Calibri"/>
                <w:noProof/>
                <w:webHidden/>
                <w:szCs w:val="24"/>
              </w:rPr>
              <w:fldChar w:fldCharType="end"/>
            </w:r>
          </w:hyperlink>
        </w:p>
        <w:p w14:paraId="0EA964C7" w14:textId="77777777" w:rsidR="00071966" w:rsidRPr="005B5393" w:rsidRDefault="00071966" w:rsidP="00071966">
          <w:pPr>
            <w:pStyle w:val="TOC2"/>
            <w:tabs>
              <w:tab w:val="right" w:leader="dot" w:pos="9350"/>
            </w:tabs>
            <w:rPr>
              <w:rFonts w:ascii="Calibri" w:hAnsi="Calibri" w:cs="Calibri"/>
              <w:noProof/>
              <w:szCs w:val="24"/>
            </w:rPr>
          </w:pPr>
          <w:hyperlink w:anchor="_Toc224846300" w:history="1">
            <w:r w:rsidRPr="005B5393">
              <w:rPr>
                <w:rStyle w:val="Hyperlink"/>
                <w:rFonts w:ascii="Calibri" w:hAnsi="Calibri" w:cs="Calibri"/>
                <w:noProof/>
                <w:szCs w:val="24"/>
              </w:rPr>
              <w:t>Introduction</w:t>
            </w:r>
            <w:r w:rsidRPr="005B5393">
              <w:rPr>
                <w:rFonts w:ascii="Calibri" w:hAnsi="Calibri" w:cs="Calibri"/>
                <w:noProof/>
                <w:webHidden/>
                <w:szCs w:val="24"/>
              </w:rPr>
              <w:tab/>
            </w:r>
            <w:r w:rsidRPr="005B5393">
              <w:rPr>
                <w:rFonts w:ascii="Calibri" w:hAnsi="Calibri" w:cs="Calibri"/>
                <w:noProof/>
                <w:webHidden/>
                <w:szCs w:val="24"/>
              </w:rPr>
              <w:fldChar w:fldCharType="begin"/>
            </w:r>
            <w:r w:rsidRPr="005B5393">
              <w:rPr>
                <w:rFonts w:ascii="Calibri" w:hAnsi="Calibri" w:cs="Calibri"/>
                <w:noProof/>
                <w:webHidden/>
                <w:szCs w:val="24"/>
              </w:rPr>
              <w:instrText xml:space="preserve"> PAGEREF _Toc224846300 \h </w:instrText>
            </w:r>
            <w:r w:rsidRPr="005B5393">
              <w:rPr>
                <w:rFonts w:ascii="Calibri" w:hAnsi="Calibri" w:cs="Calibri"/>
                <w:noProof/>
                <w:webHidden/>
                <w:szCs w:val="24"/>
              </w:rPr>
            </w:r>
            <w:r w:rsidRPr="005B5393">
              <w:rPr>
                <w:rFonts w:ascii="Calibri" w:hAnsi="Calibri" w:cs="Calibri"/>
                <w:noProof/>
                <w:webHidden/>
                <w:szCs w:val="24"/>
              </w:rPr>
              <w:fldChar w:fldCharType="separate"/>
            </w:r>
            <w:r w:rsidRPr="005B5393">
              <w:rPr>
                <w:rFonts w:ascii="Calibri" w:hAnsi="Calibri" w:cs="Calibri"/>
                <w:noProof/>
                <w:webHidden/>
                <w:szCs w:val="24"/>
              </w:rPr>
              <w:t>4</w:t>
            </w:r>
            <w:r w:rsidRPr="005B5393">
              <w:rPr>
                <w:rFonts w:ascii="Calibri" w:hAnsi="Calibri" w:cs="Calibri"/>
                <w:noProof/>
                <w:webHidden/>
                <w:szCs w:val="24"/>
              </w:rPr>
              <w:fldChar w:fldCharType="end"/>
            </w:r>
          </w:hyperlink>
        </w:p>
        <w:p w14:paraId="138BE5FC" w14:textId="77777777" w:rsidR="00071966" w:rsidRPr="005B5393" w:rsidRDefault="00071966" w:rsidP="00071966">
          <w:pPr>
            <w:pStyle w:val="TOC2"/>
            <w:tabs>
              <w:tab w:val="right" w:leader="dot" w:pos="9350"/>
            </w:tabs>
            <w:rPr>
              <w:rFonts w:ascii="Calibri" w:hAnsi="Calibri" w:cs="Calibri"/>
              <w:noProof/>
              <w:szCs w:val="24"/>
            </w:rPr>
          </w:pPr>
          <w:hyperlink w:anchor="_Toc224846301" w:history="1">
            <w:r w:rsidRPr="005B5393">
              <w:rPr>
                <w:rStyle w:val="Hyperlink"/>
                <w:rFonts w:ascii="Calibri" w:hAnsi="Calibri" w:cs="Calibri"/>
                <w:noProof/>
                <w:szCs w:val="24"/>
              </w:rPr>
              <w:t>Literature Review</w:t>
            </w:r>
            <w:r w:rsidRPr="005B5393">
              <w:rPr>
                <w:rFonts w:ascii="Calibri" w:hAnsi="Calibri" w:cs="Calibri"/>
                <w:noProof/>
                <w:webHidden/>
                <w:szCs w:val="24"/>
              </w:rPr>
              <w:tab/>
            </w:r>
            <w:r w:rsidRPr="005B5393">
              <w:rPr>
                <w:rFonts w:ascii="Calibri" w:hAnsi="Calibri" w:cs="Calibri"/>
                <w:noProof/>
                <w:webHidden/>
                <w:szCs w:val="24"/>
              </w:rPr>
              <w:fldChar w:fldCharType="begin"/>
            </w:r>
            <w:r w:rsidRPr="005B5393">
              <w:rPr>
                <w:rFonts w:ascii="Calibri" w:hAnsi="Calibri" w:cs="Calibri"/>
                <w:noProof/>
                <w:webHidden/>
                <w:szCs w:val="24"/>
              </w:rPr>
              <w:instrText xml:space="preserve"> PAGEREF _Toc224846301 \h </w:instrText>
            </w:r>
            <w:r w:rsidRPr="005B5393">
              <w:rPr>
                <w:rFonts w:ascii="Calibri" w:hAnsi="Calibri" w:cs="Calibri"/>
                <w:noProof/>
                <w:webHidden/>
                <w:szCs w:val="24"/>
              </w:rPr>
            </w:r>
            <w:r w:rsidRPr="005B5393">
              <w:rPr>
                <w:rFonts w:ascii="Calibri" w:hAnsi="Calibri" w:cs="Calibri"/>
                <w:noProof/>
                <w:webHidden/>
                <w:szCs w:val="24"/>
              </w:rPr>
              <w:fldChar w:fldCharType="separate"/>
            </w:r>
            <w:r w:rsidRPr="005B5393">
              <w:rPr>
                <w:rFonts w:ascii="Calibri" w:hAnsi="Calibri" w:cs="Calibri"/>
                <w:noProof/>
                <w:webHidden/>
                <w:szCs w:val="24"/>
              </w:rPr>
              <w:t>6</w:t>
            </w:r>
            <w:r w:rsidRPr="005B5393">
              <w:rPr>
                <w:rFonts w:ascii="Calibri" w:hAnsi="Calibri" w:cs="Calibri"/>
                <w:noProof/>
                <w:webHidden/>
                <w:szCs w:val="24"/>
              </w:rPr>
              <w:fldChar w:fldCharType="end"/>
            </w:r>
          </w:hyperlink>
        </w:p>
        <w:p w14:paraId="7902B728" w14:textId="77777777" w:rsidR="00071966" w:rsidRPr="005B5393" w:rsidRDefault="00071966" w:rsidP="00071966">
          <w:pPr>
            <w:pStyle w:val="TOC2"/>
            <w:tabs>
              <w:tab w:val="right" w:leader="dot" w:pos="9350"/>
            </w:tabs>
            <w:rPr>
              <w:rFonts w:ascii="Calibri" w:hAnsi="Calibri" w:cs="Calibri"/>
              <w:noProof/>
              <w:szCs w:val="24"/>
            </w:rPr>
          </w:pPr>
          <w:hyperlink w:anchor="_Toc224846302" w:history="1">
            <w:r w:rsidRPr="005B5393">
              <w:rPr>
                <w:rStyle w:val="Hyperlink"/>
                <w:rFonts w:ascii="Calibri" w:hAnsi="Calibri" w:cs="Calibri"/>
                <w:noProof/>
                <w:szCs w:val="24"/>
              </w:rPr>
              <w:t>Methodology</w:t>
            </w:r>
            <w:r w:rsidRPr="005B5393">
              <w:rPr>
                <w:rFonts w:ascii="Calibri" w:hAnsi="Calibri" w:cs="Calibri"/>
                <w:noProof/>
                <w:webHidden/>
                <w:szCs w:val="24"/>
              </w:rPr>
              <w:tab/>
            </w:r>
            <w:r w:rsidRPr="005B5393">
              <w:rPr>
                <w:rFonts w:ascii="Calibri" w:hAnsi="Calibri" w:cs="Calibri"/>
                <w:noProof/>
                <w:webHidden/>
                <w:szCs w:val="24"/>
              </w:rPr>
              <w:fldChar w:fldCharType="begin"/>
            </w:r>
            <w:r w:rsidRPr="005B5393">
              <w:rPr>
                <w:rFonts w:ascii="Calibri" w:hAnsi="Calibri" w:cs="Calibri"/>
                <w:noProof/>
                <w:webHidden/>
                <w:szCs w:val="24"/>
              </w:rPr>
              <w:instrText xml:space="preserve"> PAGEREF _Toc224846302 \h </w:instrText>
            </w:r>
            <w:r w:rsidRPr="005B5393">
              <w:rPr>
                <w:rFonts w:ascii="Calibri" w:hAnsi="Calibri" w:cs="Calibri"/>
                <w:noProof/>
                <w:webHidden/>
                <w:szCs w:val="24"/>
              </w:rPr>
            </w:r>
            <w:r w:rsidRPr="005B5393">
              <w:rPr>
                <w:rFonts w:ascii="Calibri" w:hAnsi="Calibri" w:cs="Calibri"/>
                <w:noProof/>
                <w:webHidden/>
                <w:szCs w:val="24"/>
              </w:rPr>
              <w:fldChar w:fldCharType="separate"/>
            </w:r>
            <w:r w:rsidRPr="005B5393">
              <w:rPr>
                <w:rFonts w:ascii="Calibri" w:hAnsi="Calibri" w:cs="Calibri"/>
                <w:noProof/>
                <w:webHidden/>
                <w:szCs w:val="24"/>
              </w:rPr>
              <w:t>9</w:t>
            </w:r>
            <w:r w:rsidRPr="005B5393">
              <w:rPr>
                <w:rFonts w:ascii="Calibri" w:hAnsi="Calibri" w:cs="Calibri"/>
                <w:noProof/>
                <w:webHidden/>
                <w:szCs w:val="24"/>
              </w:rPr>
              <w:fldChar w:fldCharType="end"/>
            </w:r>
          </w:hyperlink>
        </w:p>
        <w:p w14:paraId="783965B9" w14:textId="77777777" w:rsidR="00071966" w:rsidRPr="005B5393" w:rsidRDefault="00071966" w:rsidP="00071966">
          <w:pPr>
            <w:pStyle w:val="TOC2"/>
            <w:tabs>
              <w:tab w:val="right" w:leader="dot" w:pos="9350"/>
            </w:tabs>
            <w:rPr>
              <w:rFonts w:ascii="Calibri" w:hAnsi="Calibri" w:cs="Calibri"/>
              <w:noProof/>
              <w:szCs w:val="24"/>
            </w:rPr>
          </w:pPr>
          <w:hyperlink w:anchor="_Toc224846303" w:history="1">
            <w:r w:rsidRPr="005B5393">
              <w:rPr>
                <w:rStyle w:val="Hyperlink"/>
                <w:rFonts w:ascii="Calibri" w:hAnsi="Calibri" w:cs="Calibri"/>
                <w:noProof/>
                <w:szCs w:val="24"/>
              </w:rPr>
              <w:t>Methodology</w:t>
            </w:r>
            <w:r w:rsidRPr="005B5393">
              <w:rPr>
                <w:rFonts w:ascii="Calibri" w:hAnsi="Calibri" w:cs="Calibri"/>
                <w:noProof/>
                <w:webHidden/>
                <w:szCs w:val="24"/>
              </w:rPr>
              <w:tab/>
            </w:r>
            <w:r w:rsidRPr="005B5393">
              <w:rPr>
                <w:rFonts w:ascii="Calibri" w:hAnsi="Calibri" w:cs="Calibri"/>
                <w:noProof/>
                <w:webHidden/>
                <w:szCs w:val="24"/>
              </w:rPr>
              <w:fldChar w:fldCharType="begin"/>
            </w:r>
            <w:r w:rsidRPr="005B5393">
              <w:rPr>
                <w:rFonts w:ascii="Calibri" w:hAnsi="Calibri" w:cs="Calibri"/>
                <w:noProof/>
                <w:webHidden/>
                <w:szCs w:val="24"/>
              </w:rPr>
              <w:instrText xml:space="preserve"> PAGEREF _Toc224846303 \h </w:instrText>
            </w:r>
            <w:r w:rsidRPr="005B5393">
              <w:rPr>
                <w:rFonts w:ascii="Calibri" w:hAnsi="Calibri" w:cs="Calibri"/>
                <w:noProof/>
                <w:webHidden/>
                <w:szCs w:val="24"/>
              </w:rPr>
            </w:r>
            <w:r w:rsidRPr="005B5393">
              <w:rPr>
                <w:rFonts w:ascii="Calibri" w:hAnsi="Calibri" w:cs="Calibri"/>
                <w:noProof/>
                <w:webHidden/>
                <w:szCs w:val="24"/>
              </w:rPr>
              <w:fldChar w:fldCharType="separate"/>
            </w:r>
            <w:r w:rsidRPr="005B5393">
              <w:rPr>
                <w:rFonts w:ascii="Calibri" w:hAnsi="Calibri" w:cs="Calibri"/>
                <w:noProof/>
                <w:webHidden/>
                <w:szCs w:val="24"/>
              </w:rPr>
              <w:t>11</w:t>
            </w:r>
            <w:r w:rsidRPr="005B5393">
              <w:rPr>
                <w:rFonts w:ascii="Calibri" w:hAnsi="Calibri" w:cs="Calibri"/>
                <w:noProof/>
                <w:webHidden/>
                <w:szCs w:val="24"/>
              </w:rPr>
              <w:fldChar w:fldCharType="end"/>
            </w:r>
          </w:hyperlink>
        </w:p>
        <w:p w14:paraId="4D007580" w14:textId="77777777" w:rsidR="00071966" w:rsidRPr="005B5393" w:rsidRDefault="00071966" w:rsidP="00071966">
          <w:pPr>
            <w:pStyle w:val="TOC2"/>
            <w:tabs>
              <w:tab w:val="right" w:leader="dot" w:pos="9350"/>
            </w:tabs>
            <w:rPr>
              <w:rFonts w:ascii="Calibri" w:hAnsi="Calibri" w:cs="Calibri"/>
              <w:noProof/>
              <w:szCs w:val="24"/>
            </w:rPr>
          </w:pPr>
          <w:hyperlink w:anchor="_Toc224846304" w:history="1">
            <w:r w:rsidRPr="005B5393">
              <w:rPr>
                <w:rStyle w:val="Hyperlink"/>
                <w:rFonts w:ascii="Calibri" w:hAnsi="Calibri" w:cs="Calibri"/>
                <w:noProof/>
                <w:szCs w:val="24"/>
              </w:rPr>
              <w:t>Findings</w:t>
            </w:r>
            <w:r w:rsidRPr="005B5393">
              <w:rPr>
                <w:rFonts w:ascii="Calibri" w:hAnsi="Calibri" w:cs="Calibri"/>
                <w:noProof/>
                <w:webHidden/>
                <w:szCs w:val="24"/>
              </w:rPr>
              <w:tab/>
            </w:r>
            <w:r w:rsidRPr="005B5393">
              <w:rPr>
                <w:rFonts w:ascii="Calibri" w:hAnsi="Calibri" w:cs="Calibri"/>
                <w:noProof/>
                <w:webHidden/>
                <w:szCs w:val="24"/>
              </w:rPr>
              <w:fldChar w:fldCharType="begin"/>
            </w:r>
            <w:r w:rsidRPr="005B5393">
              <w:rPr>
                <w:rFonts w:ascii="Calibri" w:hAnsi="Calibri" w:cs="Calibri"/>
                <w:noProof/>
                <w:webHidden/>
                <w:szCs w:val="24"/>
              </w:rPr>
              <w:instrText xml:space="preserve"> PAGEREF _Toc224846304 \h </w:instrText>
            </w:r>
            <w:r w:rsidRPr="005B5393">
              <w:rPr>
                <w:rFonts w:ascii="Calibri" w:hAnsi="Calibri" w:cs="Calibri"/>
                <w:noProof/>
                <w:webHidden/>
                <w:szCs w:val="24"/>
              </w:rPr>
            </w:r>
            <w:r w:rsidRPr="005B5393">
              <w:rPr>
                <w:rFonts w:ascii="Calibri" w:hAnsi="Calibri" w:cs="Calibri"/>
                <w:noProof/>
                <w:webHidden/>
                <w:szCs w:val="24"/>
              </w:rPr>
              <w:fldChar w:fldCharType="separate"/>
            </w:r>
            <w:r w:rsidRPr="005B5393">
              <w:rPr>
                <w:rFonts w:ascii="Calibri" w:hAnsi="Calibri" w:cs="Calibri"/>
                <w:noProof/>
                <w:webHidden/>
                <w:szCs w:val="24"/>
              </w:rPr>
              <w:t>13</w:t>
            </w:r>
            <w:r w:rsidRPr="005B5393">
              <w:rPr>
                <w:rFonts w:ascii="Calibri" w:hAnsi="Calibri" w:cs="Calibri"/>
                <w:noProof/>
                <w:webHidden/>
                <w:szCs w:val="24"/>
              </w:rPr>
              <w:fldChar w:fldCharType="end"/>
            </w:r>
          </w:hyperlink>
        </w:p>
        <w:p w14:paraId="25A87CC1" w14:textId="77777777" w:rsidR="00071966" w:rsidRPr="005B5393" w:rsidRDefault="00071966" w:rsidP="00071966">
          <w:pPr>
            <w:pStyle w:val="TOC2"/>
            <w:tabs>
              <w:tab w:val="right" w:leader="dot" w:pos="9350"/>
            </w:tabs>
            <w:rPr>
              <w:rFonts w:ascii="Calibri" w:hAnsi="Calibri" w:cs="Calibri"/>
              <w:noProof/>
              <w:szCs w:val="24"/>
            </w:rPr>
          </w:pPr>
          <w:hyperlink w:anchor="_Toc224846305" w:history="1">
            <w:r w:rsidRPr="005B5393">
              <w:rPr>
                <w:rStyle w:val="Hyperlink"/>
                <w:rFonts w:ascii="Calibri" w:hAnsi="Calibri" w:cs="Calibri"/>
                <w:noProof/>
                <w:szCs w:val="24"/>
              </w:rPr>
              <w:t>Discussion</w:t>
            </w:r>
            <w:r w:rsidRPr="005B5393">
              <w:rPr>
                <w:rFonts w:ascii="Calibri" w:hAnsi="Calibri" w:cs="Calibri"/>
                <w:noProof/>
                <w:webHidden/>
                <w:szCs w:val="24"/>
              </w:rPr>
              <w:tab/>
            </w:r>
            <w:r w:rsidRPr="005B5393">
              <w:rPr>
                <w:rFonts w:ascii="Calibri" w:hAnsi="Calibri" w:cs="Calibri"/>
                <w:noProof/>
                <w:webHidden/>
                <w:szCs w:val="24"/>
              </w:rPr>
              <w:fldChar w:fldCharType="begin"/>
            </w:r>
            <w:r w:rsidRPr="005B5393">
              <w:rPr>
                <w:rFonts w:ascii="Calibri" w:hAnsi="Calibri" w:cs="Calibri"/>
                <w:noProof/>
                <w:webHidden/>
                <w:szCs w:val="24"/>
              </w:rPr>
              <w:instrText xml:space="preserve"> PAGEREF _Toc224846305 \h </w:instrText>
            </w:r>
            <w:r w:rsidRPr="005B5393">
              <w:rPr>
                <w:rFonts w:ascii="Calibri" w:hAnsi="Calibri" w:cs="Calibri"/>
                <w:noProof/>
                <w:webHidden/>
                <w:szCs w:val="24"/>
              </w:rPr>
            </w:r>
            <w:r w:rsidRPr="005B5393">
              <w:rPr>
                <w:rFonts w:ascii="Calibri" w:hAnsi="Calibri" w:cs="Calibri"/>
                <w:noProof/>
                <w:webHidden/>
                <w:szCs w:val="24"/>
              </w:rPr>
              <w:fldChar w:fldCharType="separate"/>
            </w:r>
            <w:r w:rsidRPr="005B5393">
              <w:rPr>
                <w:rFonts w:ascii="Calibri" w:hAnsi="Calibri" w:cs="Calibri"/>
                <w:noProof/>
                <w:webHidden/>
                <w:szCs w:val="24"/>
              </w:rPr>
              <w:t>16</w:t>
            </w:r>
            <w:r w:rsidRPr="005B5393">
              <w:rPr>
                <w:rFonts w:ascii="Calibri" w:hAnsi="Calibri" w:cs="Calibri"/>
                <w:noProof/>
                <w:webHidden/>
                <w:szCs w:val="24"/>
              </w:rPr>
              <w:fldChar w:fldCharType="end"/>
            </w:r>
          </w:hyperlink>
        </w:p>
        <w:p w14:paraId="4BC6B601" w14:textId="77777777" w:rsidR="00071966" w:rsidRPr="005B5393" w:rsidRDefault="00071966" w:rsidP="00071966">
          <w:pPr>
            <w:pStyle w:val="TOC2"/>
            <w:tabs>
              <w:tab w:val="right" w:leader="dot" w:pos="9350"/>
            </w:tabs>
            <w:rPr>
              <w:rFonts w:ascii="Calibri" w:hAnsi="Calibri" w:cs="Calibri"/>
              <w:noProof/>
              <w:szCs w:val="24"/>
            </w:rPr>
          </w:pPr>
          <w:hyperlink w:anchor="_Toc224846306" w:history="1">
            <w:r w:rsidRPr="005B5393">
              <w:rPr>
                <w:rStyle w:val="Hyperlink"/>
                <w:rFonts w:ascii="Calibri" w:hAnsi="Calibri" w:cs="Calibri"/>
                <w:noProof/>
                <w:szCs w:val="24"/>
              </w:rPr>
              <w:t>Conclusion</w:t>
            </w:r>
            <w:r w:rsidRPr="005B5393">
              <w:rPr>
                <w:rFonts w:ascii="Calibri" w:hAnsi="Calibri" w:cs="Calibri"/>
                <w:noProof/>
                <w:webHidden/>
                <w:szCs w:val="24"/>
              </w:rPr>
              <w:tab/>
            </w:r>
            <w:r w:rsidRPr="005B5393">
              <w:rPr>
                <w:rFonts w:ascii="Calibri" w:hAnsi="Calibri" w:cs="Calibri"/>
                <w:noProof/>
                <w:webHidden/>
                <w:szCs w:val="24"/>
              </w:rPr>
              <w:fldChar w:fldCharType="begin"/>
            </w:r>
            <w:r w:rsidRPr="005B5393">
              <w:rPr>
                <w:rFonts w:ascii="Calibri" w:hAnsi="Calibri" w:cs="Calibri"/>
                <w:noProof/>
                <w:webHidden/>
                <w:szCs w:val="24"/>
              </w:rPr>
              <w:instrText xml:space="preserve"> PAGEREF _Toc224846306 \h </w:instrText>
            </w:r>
            <w:r w:rsidRPr="005B5393">
              <w:rPr>
                <w:rFonts w:ascii="Calibri" w:hAnsi="Calibri" w:cs="Calibri"/>
                <w:noProof/>
                <w:webHidden/>
                <w:szCs w:val="24"/>
              </w:rPr>
            </w:r>
            <w:r w:rsidRPr="005B5393">
              <w:rPr>
                <w:rFonts w:ascii="Calibri" w:hAnsi="Calibri" w:cs="Calibri"/>
                <w:noProof/>
                <w:webHidden/>
                <w:szCs w:val="24"/>
              </w:rPr>
              <w:fldChar w:fldCharType="separate"/>
            </w:r>
            <w:r w:rsidRPr="005B5393">
              <w:rPr>
                <w:rFonts w:ascii="Calibri" w:hAnsi="Calibri" w:cs="Calibri"/>
                <w:noProof/>
                <w:webHidden/>
                <w:szCs w:val="24"/>
              </w:rPr>
              <w:t>20</w:t>
            </w:r>
            <w:r w:rsidRPr="005B5393">
              <w:rPr>
                <w:rFonts w:ascii="Calibri" w:hAnsi="Calibri" w:cs="Calibri"/>
                <w:noProof/>
                <w:webHidden/>
                <w:szCs w:val="24"/>
              </w:rPr>
              <w:fldChar w:fldCharType="end"/>
            </w:r>
          </w:hyperlink>
        </w:p>
        <w:p w14:paraId="21411F8E" w14:textId="77777777" w:rsidR="00071966" w:rsidRPr="005B5393" w:rsidRDefault="00071966" w:rsidP="00071966">
          <w:pPr>
            <w:pStyle w:val="TOC2"/>
            <w:tabs>
              <w:tab w:val="right" w:leader="dot" w:pos="9350"/>
            </w:tabs>
            <w:rPr>
              <w:rFonts w:ascii="Calibri" w:hAnsi="Calibri" w:cs="Calibri"/>
              <w:noProof/>
              <w:szCs w:val="24"/>
            </w:rPr>
          </w:pPr>
          <w:hyperlink w:anchor="_Toc224846307" w:history="1">
            <w:r w:rsidRPr="005B5393">
              <w:rPr>
                <w:rStyle w:val="Hyperlink"/>
                <w:rFonts w:ascii="Calibri" w:hAnsi="Calibri" w:cs="Calibri"/>
                <w:noProof/>
                <w:szCs w:val="24"/>
              </w:rPr>
              <w:t>References</w:t>
            </w:r>
            <w:r w:rsidRPr="005B5393">
              <w:rPr>
                <w:rFonts w:ascii="Calibri" w:hAnsi="Calibri" w:cs="Calibri"/>
                <w:noProof/>
                <w:webHidden/>
                <w:szCs w:val="24"/>
              </w:rPr>
              <w:tab/>
            </w:r>
            <w:r w:rsidRPr="005B5393">
              <w:rPr>
                <w:rFonts w:ascii="Calibri" w:hAnsi="Calibri" w:cs="Calibri"/>
                <w:noProof/>
                <w:webHidden/>
                <w:szCs w:val="24"/>
              </w:rPr>
              <w:fldChar w:fldCharType="begin"/>
            </w:r>
            <w:r w:rsidRPr="005B5393">
              <w:rPr>
                <w:rFonts w:ascii="Calibri" w:hAnsi="Calibri" w:cs="Calibri"/>
                <w:noProof/>
                <w:webHidden/>
                <w:szCs w:val="24"/>
              </w:rPr>
              <w:instrText xml:space="preserve"> PAGEREF _Toc224846307 \h </w:instrText>
            </w:r>
            <w:r w:rsidRPr="005B5393">
              <w:rPr>
                <w:rFonts w:ascii="Calibri" w:hAnsi="Calibri" w:cs="Calibri"/>
                <w:noProof/>
                <w:webHidden/>
                <w:szCs w:val="24"/>
              </w:rPr>
            </w:r>
            <w:r w:rsidRPr="005B5393">
              <w:rPr>
                <w:rFonts w:ascii="Calibri" w:hAnsi="Calibri" w:cs="Calibri"/>
                <w:noProof/>
                <w:webHidden/>
                <w:szCs w:val="24"/>
              </w:rPr>
              <w:fldChar w:fldCharType="separate"/>
            </w:r>
            <w:r w:rsidRPr="005B5393">
              <w:rPr>
                <w:rFonts w:ascii="Calibri" w:hAnsi="Calibri" w:cs="Calibri"/>
                <w:noProof/>
                <w:webHidden/>
                <w:szCs w:val="24"/>
              </w:rPr>
              <w:t>22</w:t>
            </w:r>
            <w:r w:rsidRPr="005B5393">
              <w:rPr>
                <w:rFonts w:ascii="Calibri" w:hAnsi="Calibri" w:cs="Calibri"/>
                <w:noProof/>
                <w:webHidden/>
                <w:szCs w:val="24"/>
              </w:rPr>
              <w:fldChar w:fldCharType="end"/>
            </w:r>
          </w:hyperlink>
        </w:p>
        <w:p w14:paraId="5A64403C" w14:textId="77777777" w:rsidR="00071966" w:rsidRPr="005B5393" w:rsidRDefault="00071966" w:rsidP="00071966">
          <w:pPr>
            <w:rPr>
              <w:rFonts w:ascii="Calibri" w:hAnsi="Calibri" w:cs="Calibri"/>
              <w:szCs w:val="24"/>
            </w:rPr>
          </w:pPr>
          <w:r w:rsidRPr="005B5393">
            <w:rPr>
              <w:rFonts w:ascii="Calibri" w:hAnsi="Calibri" w:cs="Calibri"/>
              <w:b/>
              <w:bCs/>
              <w:noProof/>
              <w:szCs w:val="24"/>
            </w:rPr>
            <w:fldChar w:fldCharType="end"/>
          </w:r>
        </w:p>
      </w:sdtContent>
    </w:sdt>
    <w:p w14:paraId="530119BC" w14:textId="77777777" w:rsidR="00071966" w:rsidRPr="005B5393" w:rsidRDefault="00071966" w:rsidP="00071966">
      <w:pPr>
        <w:spacing w:line="480" w:lineRule="auto"/>
        <w:rPr>
          <w:rFonts w:ascii="Calibri" w:hAnsi="Calibri" w:cs="Calibri"/>
          <w:b/>
          <w:bCs/>
          <w:szCs w:val="24"/>
        </w:rPr>
      </w:pPr>
    </w:p>
    <w:p w14:paraId="6C451643" w14:textId="77777777" w:rsidR="00071966" w:rsidRPr="005B5393" w:rsidRDefault="00071966" w:rsidP="00071966">
      <w:pPr>
        <w:spacing w:line="480" w:lineRule="auto"/>
        <w:rPr>
          <w:rFonts w:ascii="Calibri" w:hAnsi="Calibri" w:cs="Calibri"/>
          <w:b/>
          <w:bCs/>
          <w:szCs w:val="24"/>
        </w:rPr>
      </w:pPr>
    </w:p>
    <w:p w14:paraId="317407CB" w14:textId="77777777" w:rsidR="00071966" w:rsidRPr="005B5393" w:rsidRDefault="00071966" w:rsidP="00071966">
      <w:pPr>
        <w:spacing w:line="480" w:lineRule="auto"/>
        <w:rPr>
          <w:rFonts w:ascii="Calibri" w:hAnsi="Calibri" w:cs="Calibri"/>
          <w:b/>
          <w:bCs/>
          <w:szCs w:val="24"/>
        </w:rPr>
      </w:pPr>
    </w:p>
    <w:p w14:paraId="4B5BCF89" w14:textId="77777777" w:rsidR="00071966" w:rsidRPr="005B5393" w:rsidRDefault="00071966" w:rsidP="00071966">
      <w:pPr>
        <w:spacing w:line="480" w:lineRule="auto"/>
        <w:rPr>
          <w:rFonts w:ascii="Calibri" w:hAnsi="Calibri" w:cs="Calibri"/>
          <w:b/>
          <w:bCs/>
          <w:szCs w:val="24"/>
        </w:rPr>
      </w:pPr>
    </w:p>
    <w:p w14:paraId="1C359DFA" w14:textId="77777777" w:rsidR="00071966" w:rsidRPr="005B5393" w:rsidRDefault="00071966" w:rsidP="00071966">
      <w:pPr>
        <w:spacing w:line="480" w:lineRule="auto"/>
        <w:rPr>
          <w:rFonts w:ascii="Calibri" w:hAnsi="Calibri" w:cs="Calibri"/>
          <w:b/>
          <w:bCs/>
          <w:szCs w:val="24"/>
        </w:rPr>
      </w:pPr>
    </w:p>
    <w:p w14:paraId="4FFA462D" w14:textId="77777777" w:rsidR="00071966" w:rsidRPr="005B5393" w:rsidRDefault="00071966" w:rsidP="00071966">
      <w:pPr>
        <w:spacing w:line="480" w:lineRule="auto"/>
        <w:rPr>
          <w:rFonts w:ascii="Calibri" w:hAnsi="Calibri" w:cs="Calibri"/>
          <w:b/>
          <w:bCs/>
          <w:szCs w:val="24"/>
        </w:rPr>
      </w:pPr>
    </w:p>
    <w:p w14:paraId="4F631BB1" w14:textId="77777777" w:rsidR="00071966" w:rsidRPr="005B5393" w:rsidRDefault="00071966" w:rsidP="00071966">
      <w:pPr>
        <w:spacing w:line="480" w:lineRule="auto"/>
        <w:rPr>
          <w:rFonts w:ascii="Calibri" w:hAnsi="Calibri" w:cs="Calibri"/>
          <w:b/>
          <w:bCs/>
          <w:szCs w:val="24"/>
        </w:rPr>
      </w:pPr>
    </w:p>
    <w:p w14:paraId="282A2BFF" w14:textId="77777777" w:rsidR="00071966" w:rsidRPr="005B5393" w:rsidRDefault="00071966" w:rsidP="00071966">
      <w:pPr>
        <w:spacing w:line="480" w:lineRule="auto"/>
        <w:rPr>
          <w:rFonts w:ascii="Calibri" w:hAnsi="Calibri" w:cs="Calibri"/>
          <w:b/>
          <w:bCs/>
          <w:szCs w:val="24"/>
        </w:rPr>
      </w:pPr>
    </w:p>
    <w:p w14:paraId="08BA045E" w14:textId="77777777" w:rsidR="00406815" w:rsidRPr="005B5393" w:rsidRDefault="00406815" w:rsidP="00071966">
      <w:pPr>
        <w:spacing w:line="480" w:lineRule="auto"/>
        <w:rPr>
          <w:rFonts w:ascii="Calibri" w:hAnsi="Calibri" w:cs="Calibri"/>
          <w:b/>
          <w:bCs/>
          <w:szCs w:val="24"/>
        </w:rPr>
      </w:pPr>
    </w:p>
    <w:p w14:paraId="1732E642" w14:textId="77777777" w:rsidR="00406815" w:rsidRPr="005B5393" w:rsidRDefault="00406815" w:rsidP="00071966">
      <w:pPr>
        <w:spacing w:line="480" w:lineRule="auto"/>
        <w:rPr>
          <w:rFonts w:ascii="Calibri" w:hAnsi="Calibri" w:cs="Calibri"/>
          <w:b/>
          <w:bCs/>
          <w:szCs w:val="24"/>
        </w:rPr>
      </w:pPr>
    </w:p>
    <w:p w14:paraId="74E68F2E" w14:textId="77777777" w:rsidR="00071966" w:rsidRPr="005B5393" w:rsidRDefault="00071966" w:rsidP="00071966">
      <w:pPr>
        <w:spacing w:line="480" w:lineRule="auto"/>
        <w:rPr>
          <w:rFonts w:ascii="Calibri" w:hAnsi="Calibri" w:cs="Calibri"/>
          <w:b/>
          <w:bCs/>
          <w:szCs w:val="24"/>
        </w:rPr>
      </w:pPr>
    </w:p>
    <w:p w14:paraId="423440A3" w14:textId="77777777" w:rsidR="00071966" w:rsidRPr="005B5393" w:rsidRDefault="00071966" w:rsidP="00071966">
      <w:pPr>
        <w:spacing w:line="480" w:lineRule="auto"/>
        <w:rPr>
          <w:rFonts w:ascii="Calibri" w:hAnsi="Calibri" w:cs="Calibri"/>
          <w:szCs w:val="24"/>
        </w:rPr>
      </w:pPr>
    </w:p>
    <w:p w14:paraId="554BD4F0"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Introduction</w:t>
      </w:r>
    </w:p>
    <w:p w14:paraId="5934DE04" w14:textId="77777777" w:rsidR="00605D87" w:rsidRPr="005B5393" w:rsidRDefault="00605D87" w:rsidP="00605D87">
      <w:pPr>
        <w:spacing w:line="480" w:lineRule="auto"/>
        <w:rPr>
          <w:rFonts w:ascii="Calibri" w:hAnsi="Calibri" w:cs="Calibri"/>
          <w:szCs w:val="24"/>
        </w:rPr>
      </w:pPr>
    </w:p>
    <w:p w14:paraId="5C362FB2"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The accounting profession has come a long way since its simple role of record keeping, it is now a complex system that aids in strategic decision making in the contemporary business world. The accounting equation of Assets = Liabilities + Owner Equity is the backbone of accounting and on which financial reporting is based. Yet, due to the development of global markets and more sophisticated financial transactions, the traditional accounting concepts have been significantly changed to be relevant and reliable (</w:t>
      </w:r>
      <w:proofErr w:type="spellStart"/>
      <w:r w:rsidRPr="005B5393">
        <w:rPr>
          <w:rFonts w:ascii="Calibri" w:hAnsi="Calibri" w:cs="Calibri"/>
          <w:szCs w:val="24"/>
        </w:rPr>
        <w:t>Kieso</w:t>
      </w:r>
      <w:proofErr w:type="spellEnd"/>
      <w:r w:rsidRPr="005B5393">
        <w:rPr>
          <w:rFonts w:ascii="Calibri" w:hAnsi="Calibri" w:cs="Calibri"/>
          <w:szCs w:val="24"/>
        </w:rPr>
        <w:t xml:space="preserve"> et al., 2020). Modern-day accounting has adopted modern measurement tools, regulatory standards, </w:t>
      </w:r>
      <w:proofErr w:type="gramStart"/>
      <w:r w:rsidRPr="005B5393">
        <w:rPr>
          <w:rFonts w:ascii="Calibri" w:hAnsi="Calibri" w:cs="Calibri"/>
          <w:szCs w:val="24"/>
        </w:rPr>
        <w:t>and also</w:t>
      </w:r>
      <w:proofErr w:type="gramEnd"/>
      <w:r w:rsidRPr="005B5393">
        <w:rPr>
          <w:rFonts w:ascii="Calibri" w:hAnsi="Calibri" w:cs="Calibri"/>
          <w:szCs w:val="24"/>
        </w:rPr>
        <w:t xml:space="preserve"> the ethical considerations to ensure that the needs of various stakeholders are satisfied.</w:t>
      </w:r>
    </w:p>
    <w:p w14:paraId="25D09D40" w14:textId="77777777" w:rsidR="00605D87" w:rsidRPr="005B5393" w:rsidRDefault="00605D87" w:rsidP="00605D87">
      <w:pPr>
        <w:spacing w:line="480" w:lineRule="auto"/>
        <w:rPr>
          <w:rFonts w:ascii="Calibri" w:hAnsi="Calibri" w:cs="Calibri"/>
          <w:szCs w:val="24"/>
        </w:rPr>
      </w:pPr>
    </w:p>
    <w:p w14:paraId="4F2D7511"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The introduction of global standard in accounting like International Financial Reporting Standards (IFRS) is one of the greatest changes that have occurred in modern accounting as it seeks to promote comparability and transparency in international markets. Generally Accepted Accounting Principles (GAAP) (mainly in the United States) are more of a rule-based approach. These disparities between the two frameworks play a significant role in financial reporting and investment decisions (Barth et al., 2012). Moreover, corporate governance has been a key factor in assuring integrity of financial information since robust governance systems will prevent frauds and accountability (Bushman and Smith, 2001).</w:t>
      </w:r>
    </w:p>
    <w:p w14:paraId="1DF0FEB2" w14:textId="77777777" w:rsidR="00605D87" w:rsidRPr="005B5393" w:rsidRDefault="00605D87" w:rsidP="00605D87">
      <w:pPr>
        <w:spacing w:line="480" w:lineRule="auto"/>
        <w:rPr>
          <w:rFonts w:ascii="Calibri" w:hAnsi="Calibri" w:cs="Calibri"/>
          <w:szCs w:val="24"/>
        </w:rPr>
      </w:pPr>
    </w:p>
    <w:p w14:paraId="4167AD42"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Moreover, the interrelationship between the financial statements i.e. </w:t>
      </w:r>
      <w:proofErr w:type="gramStart"/>
      <w:r w:rsidRPr="005B5393">
        <w:rPr>
          <w:rFonts w:ascii="Calibri" w:hAnsi="Calibri" w:cs="Calibri"/>
          <w:szCs w:val="24"/>
        </w:rPr>
        <w:t>balance</w:t>
      </w:r>
      <w:proofErr w:type="gramEnd"/>
      <w:r w:rsidRPr="005B5393">
        <w:rPr>
          <w:rFonts w:ascii="Calibri" w:hAnsi="Calibri" w:cs="Calibri"/>
          <w:szCs w:val="24"/>
        </w:rPr>
        <w:t xml:space="preserve"> sheet, income statement, and the cash flow statement has a holistic perspective of the financial performance and position of an organization. Such advanced accounting concepts as fair value accounting, asset impairment, off-balance-sheet financing, among others, also display the rising complexity of financial reporting. Although these concepts make them more relevant, they create issues of measurement reliability and transparency (Penman, 2007).</w:t>
      </w:r>
    </w:p>
    <w:p w14:paraId="416E9877"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All in all, it is crucial to know these changing accounting principles </w:t>
      </w:r>
      <w:proofErr w:type="gramStart"/>
      <w:r w:rsidRPr="005B5393">
        <w:rPr>
          <w:rFonts w:ascii="Calibri" w:hAnsi="Calibri" w:cs="Calibri"/>
          <w:szCs w:val="24"/>
        </w:rPr>
        <w:t>in order to</w:t>
      </w:r>
      <w:proofErr w:type="gramEnd"/>
      <w:r w:rsidRPr="005B5393">
        <w:rPr>
          <w:rFonts w:ascii="Calibri" w:hAnsi="Calibri" w:cs="Calibri"/>
          <w:szCs w:val="24"/>
        </w:rPr>
        <w:t xml:space="preserve"> </w:t>
      </w:r>
      <w:proofErr w:type="spellStart"/>
      <w:r w:rsidRPr="005B5393">
        <w:rPr>
          <w:rFonts w:ascii="Calibri" w:hAnsi="Calibri" w:cs="Calibri"/>
          <w:szCs w:val="24"/>
        </w:rPr>
        <w:t>analyze</w:t>
      </w:r>
      <w:proofErr w:type="spellEnd"/>
      <w:r w:rsidRPr="005B5393">
        <w:rPr>
          <w:rFonts w:ascii="Calibri" w:hAnsi="Calibri" w:cs="Calibri"/>
          <w:szCs w:val="24"/>
        </w:rPr>
        <w:t xml:space="preserve"> financial health, make sure that ethical practices are conducted, and facilitate sound business decision-making in a dynamic global economy.</w:t>
      </w:r>
    </w:p>
    <w:p w14:paraId="4ADBDEC1" w14:textId="77777777" w:rsidR="00605D87" w:rsidRPr="005B5393" w:rsidRDefault="00605D87" w:rsidP="00605D87">
      <w:pPr>
        <w:spacing w:line="480" w:lineRule="auto"/>
        <w:rPr>
          <w:rFonts w:ascii="Calibri" w:hAnsi="Calibri" w:cs="Calibri"/>
          <w:szCs w:val="24"/>
        </w:rPr>
      </w:pPr>
    </w:p>
    <w:p w14:paraId="6FFD5D90" w14:textId="77777777" w:rsidR="00605D87" w:rsidRPr="005B5393" w:rsidRDefault="00605D87" w:rsidP="00605D87">
      <w:pPr>
        <w:spacing w:line="480" w:lineRule="auto"/>
        <w:rPr>
          <w:rFonts w:ascii="Calibri" w:hAnsi="Calibri" w:cs="Calibri"/>
          <w:szCs w:val="24"/>
        </w:rPr>
      </w:pPr>
    </w:p>
    <w:p w14:paraId="65FB5A24"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Literature Review</w:t>
      </w:r>
    </w:p>
    <w:p w14:paraId="76BE0897" w14:textId="77777777" w:rsidR="00605D87" w:rsidRPr="005B5393" w:rsidRDefault="00605D87" w:rsidP="00605D87">
      <w:pPr>
        <w:spacing w:line="480" w:lineRule="auto"/>
        <w:rPr>
          <w:rFonts w:ascii="Calibri" w:hAnsi="Calibri" w:cs="Calibri"/>
          <w:szCs w:val="24"/>
        </w:rPr>
      </w:pPr>
    </w:p>
    <w:p w14:paraId="735C902C"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The development of the accounting theory is related to the increasing complexity of the business environment and the ever-growing requirements in terms of transparency, comparability, and reliability of financial reporting. Financial reporting has long been based on traditional accounting concepts, in particular, the accounting equation (Assets = Liabilities + Owner’s Equity). Nevertheless, it has been asserted by scholars that this framework has been greatly extended </w:t>
      </w:r>
      <w:proofErr w:type="gramStart"/>
      <w:r w:rsidRPr="005B5393">
        <w:rPr>
          <w:rFonts w:ascii="Calibri" w:hAnsi="Calibri" w:cs="Calibri"/>
          <w:szCs w:val="24"/>
        </w:rPr>
        <w:t>so as to</w:t>
      </w:r>
      <w:proofErr w:type="gramEnd"/>
      <w:r w:rsidRPr="005B5393">
        <w:rPr>
          <w:rFonts w:ascii="Calibri" w:hAnsi="Calibri" w:cs="Calibri"/>
          <w:szCs w:val="24"/>
        </w:rPr>
        <w:t xml:space="preserve"> encompass contemporary financial products, international dealings </w:t>
      </w:r>
      <w:r w:rsidRPr="005B5393">
        <w:rPr>
          <w:rFonts w:ascii="Calibri" w:hAnsi="Calibri" w:cs="Calibri"/>
          <w:szCs w:val="24"/>
        </w:rPr>
        <w:lastRenderedPageBreak/>
        <w:t>and regulatory necessities (</w:t>
      </w:r>
      <w:proofErr w:type="spellStart"/>
      <w:r w:rsidRPr="005B5393">
        <w:rPr>
          <w:rFonts w:ascii="Calibri" w:hAnsi="Calibri" w:cs="Calibri"/>
          <w:szCs w:val="24"/>
        </w:rPr>
        <w:t>Kieso</w:t>
      </w:r>
      <w:proofErr w:type="spellEnd"/>
      <w:r w:rsidRPr="005B5393">
        <w:rPr>
          <w:rFonts w:ascii="Calibri" w:hAnsi="Calibri" w:cs="Calibri"/>
          <w:szCs w:val="24"/>
        </w:rPr>
        <w:t xml:space="preserve"> et al., 2020). The transformation of the historical cost accounting to more market-oriented strategies is evidence of the dynamism of the accounting theory.</w:t>
      </w:r>
    </w:p>
    <w:p w14:paraId="4113E9FC" w14:textId="77777777" w:rsidR="00605D87" w:rsidRPr="005B5393" w:rsidRDefault="00605D87" w:rsidP="00605D87">
      <w:pPr>
        <w:spacing w:line="480" w:lineRule="auto"/>
        <w:rPr>
          <w:rFonts w:ascii="Calibri" w:hAnsi="Calibri" w:cs="Calibri"/>
          <w:szCs w:val="24"/>
        </w:rPr>
      </w:pPr>
    </w:p>
    <w:p w14:paraId="34044815"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The implementation of International Financial Reporting Standards (IFRS) and their comparison with Generally Accepted Accounting Principles (GAAP) is one of the most widely studied topics of accounting literature. The IFRS has been said to be more principles-oriented and flexible, with more room to professional judgment, whereas the GAAP is more rule-based and gives specific guidelines to be used </w:t>
      </w:r>
      <w:proofErr w:type="gramStart"/>
      <w:r w:rsidRPr="005B5393">
        <w:rPr>
          <w:rFonts w:ascii="Calibri" w:hAnsi="Calibri" w:cs="Calibri"/>
          <w:szCs w:val="24"/>
        </w:rPr>
        <w:t>in particular situations</w:t>
      </w:r>
      <w:proofErr w:type="gramEnd"/>
      <w:r w:rsidRPr="005B5393">
        <w:rPr>
          <w:rFonts w:ascii="Calibri" w:hAnsi="Calibri" w:cs="Calibri"/>
          <w:szCs w:val="24"/>
        </w:rPr>
        <w:t xml:space="preserve"> (Barth et al., 2012). According to the research, adoption of IFRS will lead to an increase in financial reporting quality through comparability and lessening information asymmetry among investors (Barth et al., 2012). The critics however state that the greater dependence on judgment under the IFRS can create inconsistencies and be subject to manipulation unless it is backed by good governance systems (Soderstrom and Sun, 2007).</w:t>
      </w:r>
    </w:p>
    <w:p w14:paraId="234E17CF" w14:textId="77777777" w:rsidR="00605D87" w:rsidRPr="005B5393" w:rsidRDefault="00605D87" w:rsidP="00605D87">
      <w:pPr>
        <w:spacing w:line="480" w:lineRule="auto"/>
        <w:rPr>
          <w:rFonts w:ascii="Calibri" w:hAnsi="Calibri" w:cs="Calibri"/>
          <w:szCs w:val="24"/>
        </w:rPr>
      </w:pPr>
    </w:p>
    <w:p w14:paraId="05F4334C"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Corporate governance has become one of the themes of accounting studies, especially regarding financial transparency and ethical reporting. Bushman and Smith (2001) assert that quality financial accounting information is very significant in corporate governance as it minimizes the agency problem between the management and the shareholders. Proper governance systems such as independent boards and audit committees lead to better financial reporting and low chances of fraud. In the same vein, Healy and Palepu (2001) point out that </w:t>
      </w:r>
      <w:r w:rsidRPr="005B5393">
        <w:rPr>
          <w:rFonts w:ascii="Calibri" w:hAnsi="Calibri" w:cs="Calibri"/>
          <w:szCs w:val="24"/>
        </w:rPr>
        <w:lastRenderedPageBreak/>
        <w:t>regulation and disclosure practices play an important role in reducing information asymmetry and improving investor confidence. The merging of governance practices and accounting practices is thus essential in ensuring that financial systems remain intact.</w:t>
      </w:r>
    </w:p>
    <w:p w14:paraId="0460AEF3" w14:textId="77777777" w:rsidR="00605D87" w:rsidRPr="005B5393" w:rsidRDefault="00605D87" w:rsidP="00605D87">
      <w:pPr>
        <w:spacing w:line="480" w:lineRule="auto"/>
        <w:rPr>
          <w:rFonts w:ascii="Calibri" w:hAnsi="Calibri" w:cs="Calibri"/>
          <w:szCs w:val="24"/>
        </w:rPr>
      </w:pPr>
    </w:p>
    <w:p w14:paraId="0C244692"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The other important research area is in the interrelationship between financial statements. The balance sheet, income statement and cash flow statement are not stand-alone reports but are interdependent items that when taken collectively give a complete picture of the financial wellbeing of an organization. Penman (2007) believes that these relationships are critical </w:t>
      </w:r>
      <w:proofErr w:type="gramStart"/>
      <w:r w:rsidRPr="005B5393">
        <w:rPr>
          <w:rFonts w:ascii="Calibri" w:hAnsi="Calibri" w:cs="Calibri"/>
          <w:szCs w:val="24"/>
        </w:rPr>
        <w:t>in order to</w:t>
      </w:r>
      <w:proofErr w:type="gramEnd"/>
      <w:r w:rsidRPr="005B5393">
        <w:rPr>
          <w:rFonts w:ascii="Calibri" w:hAnsi="Calibri" w:cs="Calibri"/>
          <w:szCs w:val="24"/>
        </w:rPr>
        <w:t xml:space="preserve"> measure the performance of firms and predict their future cash flows. As an example, changes in net income used in the income statement directly translate to retained earnings in the balance sheet and cash flow statements reflect the liquidity and operational efficiency. This interrelationship adds value to the analysis of financial reports and makes decision-making more informed.</w:t>
      </w:r>
    </w:p>
    <w:p w14:paraId="66B3FB8B" w14:textId="77777777" w:rsidR="00605D87" w:rsidRPr="005B5393" w:rsidRDefault="00605D87" w:rsidP="00605D87">
      <w:pPr>
        <w:spacing w:line="480" w:lineRule="auto"/>
        <w:rPr>
          <w:rFonts w:ascii="Calibri" w:hAnsi="Calibri" w:cs="Calibri"/>
          <w:szCs w:val="24"/>
        </w:rPr>
      </w:pPr>
    </w:p>
    <w:p w14:paraId="21C5FFA8"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The literature also emphasizes the increased significance of complex accounting concepts like fair value accounting. In some situations, especially with financial instruments, fair value measurement that reflects current market conditions is deemed more applicable than the historical cost accounting (Penman, 2007). Nevertheless, its consistency has been doubted particularly in times of market instability. Opponents believe that fair value accounting may add subjectivism and volatility of earnings, which may be misleading to interested parties (Laux &amp; </w:t>
      </w:r>
      <w:proofErr w:type="spellStart"/>
      <w:r w:rsidRPr="005B5393">
        <w:rPr>
          <w:rFonts w:ascii="Calibri" w:hAnsi="Calibri" w:cs="Calibri"/>
          <w:szCs w:val="24"/>
        </w:rPr>
        <w:lastRenderedPageBreak/>
        <w:t>Leuz</w:t>
      </w:r>
      <w:proofErr w:type="spellEnd"/>
      <w:r w:rsidRPr="005B5393">
        <w:rPr>
          <w:rFonts w:ascii="Calibri" w:hAnsi="Calibri" w:cs="Calibri"/>
          <w:szCs w:val="24"/>
        </w:rPr>
        <w:t>, 2009). Nevertheless, despite these issues, its supporters argue that fair value presents timely and decision-relevant data especially in volatile financial markets.</w:t>
      </w:r>
    </w:p>
    <w:p w14:paraId="43ED82AF" w14:textId="77777777" w:rsidR="00605D87" w:rsidRPr="005B5393" w:rsidRDefault="00605D87" w:rsidP="00605D87">
      <w:pPr>
        <w:spacing w:line="480" w:lineRule="auto"/>
        <w:rPr>
          <w:rFonts w:ascii="Calibri" w:hAnsi="Calibri" w:cs="Calibri"/>
          <w:szCs w:val="24"/>
        </w:rPr>
      </w:pPr>
    </w:p>
    <w:p w14:paraId="09BB4553"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Another critical concept that has been discussed in accounting research is asset impairment. Impairment accounting will make sure that assets are not recognized at amounts higher than recoverable amounts, which will improve the accuracy of the financial statements. Research shows that the impairment testing enhances the relevance of financial information and can also be associated with managerial discretion, which can be leveraged at any given moment (</w:t>
      </w:r>
      <w:proofErr w:type="spellStart"/>
      <w:r w:rsidRPr="005B5393">
        <w:rPr>
          <w:rFonts w:ascii="Calibri" w:hAnsi="Calibri" w:cs="Calibri"/>
          <w:szCs w:val="24"/>
        </w:rPr>
        <w:t>Ramanna</w:t>
      </w:r>
      <w:proofErr w:type="spellEnd"/>
      <w:r w:rsidRPr="005B5393">
        <w:rPr>
          <w:rFonts w:ascii="Calibri" w:hAnsi="Calibri" w:cs="Calibri"/>
          <w:szCs w:val="24"/>
        </w:rPr>
        <w:t xml:space="preserve"> and Watts, 2012). This emphasizes the importance of effective auditing and regulatory control to guarantee faithful reporting of financial data.</w:t>
      </w:r>
    </w:p>
    <w:p w14:paraId="705F3B25" w14:textId="77777777" w:rsidR="00605D87" w:rsidRPr="005B5393" w:rsidRDefault="00605D87" w:rsidP="00605D87">
      <w:pPr>
        <w:spacing w:line="480" w:lineRule="auto"/>
        <w:rPr>
          <w:rFonts w:ascii="Calibri" w:hAnsi="Calibri" w:cs="Calibri"/>
          <w:szCs w:val="24"/>
        </w:rPr>
      </w:pPr>
    </w:p>
    <w:p w14:paraId="106CEAE9"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Off-balance-sheet financing has equally been significant because of the implications they may have on financial transparency. Such practice enables the companies to exclude some liabilities and assets in their balance sheets which might mislead on the actual financial position of the firm. The fall of Enron is frequently quoted as a </w:t>
      </w:r>
      <w:proofErr w:type="gramStart"/>
      <w:r w:rsidRPr="005B5393">
        <w:rPr>
          <w:rFonts w:ascii="Calibri" w:hAnsi="Calibri" w:cs="Calibri"/>
          <w:szCs w:val="24"/>
        </w:rPr>
        <w:t>high profile</w:t>
      </w:r>
      <w:proofErr w:type="gramEnd"/>
      <w:r w:rsidRPr="005B5393">
        <w:rPr>
          <w:rFonts w:ascii="Calibri" w:hAnsi="Calibri" w:cs="Calibri"/>
          <w:szCs w:val="24"/>
        </w:rPr>
        <w:t xml:space="preserve"> example of how off-balance-sheet arrangements could be abused to cause more regulation and reforms (Healy and Palepu, 2003). Later standards, including the IFRS 16 on the recognition of leases have sought to enhance transparency by obliging recognition of items that were previously off-balance-sheet.</w:t>
      </w:r>
    </w:p>
    <w:p w14:paraId="3D7CB8D9" w14:textId="77777777" w:rsidR="00605D87" w:rsidRPr="005B5393" w:rsidRDefault="00605D87" w:rsidP="00605D87">
      <w:pPr>
        <w:spacing w:line="480" w:lineRule="auto"/>
        <w:rPr>
          <w:rFonts w:ascii="Calibri" w:hAnsi="Calibri" w:cs="Calibri"/>
          <w:szCs w:val="24"/>
        </w:rPr>
      </w:pPr>
    </w:p>
    <w:p w14:paraId="74CC2C41"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lastRenderedPageBreak/>
        <w:t>In general, the literature suggests that contemporary accounting practices are defined by the necessity to balance relevance and reliability and deal with the issues of globalization and financial innovation. Though some frameworks like IFRS have enhanced comparability, their effectiveness is subject to enforcement, governance and ethical practices. Advanced accounting principles, such as fair value measurement, impairment, and off-balance-sheet financing, contribute to the informational value of financial statements, but also present complexities which need to be regulated and professionally judged. Therefore, the modern accounting theory is still developing given the fluctuating economic conditions, technological developments and the demands of stakeholders.</w:t>
      </w:r>
    </w:p>
    <w:p w14:paraId="57CAA822" w14:textId="77777777" w:rsidR="00605D87" w:rsidRPr="005B5393" w:rsidRDefault="00605D87" w:rsidP="00605D87">
      <w:pPr>
        <w:spacing w:line="480" w:lineRule="auto"/>
        <w:rPr>
          <w:rFonts w:ascii="Calibri" w:hAnsi="Calibri" w:cs="Calibri"/>
          <w:szCs w:val="24"/>
        </w:rPr>
      </w:pPr>
    </w:p>
    <w:p w14:paraId="14A0F732" w14:textId="77777777" w:rsidR="00605D87" w:rsidRPr="005B5393" w:rsidRDefault="00605D87" w:rsidP="00605D87">
      <w:pPr>
        <w:spacing w:line="480" w:lineRule="auto"/>
        <w:rPr>
          <w:rFonts w:ascii="Calibri" w:hAnsi="Calibri" w:cs="Calibri"/>
          <w:szCs w:val="24"/>
        </w:rPr>
      </w:pPr>
    </w:p>
    <w:p w14:paraId="7E3800A4"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Methodology</w:t>
      </w:r>
    </w:p>
    <w:p w14:paraId="457D9EB8" w14:textId="77777777" w:rsidR="00605D87" w:rsidRPr="005B5393" w:rsidRDefault="00605D87" w:rsidP="00605D87">
      <w:pPr>
        <w:spacing w:line="480" w:lineRule="auto"/>
        <w:rPr>
          <w:rFonts w:ascii="Calibri" w:hAnsi="Calibri" w:cs="Calibri"/>
          <w:szCs w:val="24"/>
        </w:rPr>
      </w:pPr>
    </w:p>
    <w:p w14:paraId="7F3EDE85"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The research paper is based on the qualitative research approach of the study as it tries to critically examine the advanced theoretical concepts of accounting and their application in the contemporary business practice. The qualitative design is thought to be the best because the study is aimed at examining existing theories, frameworks, and practices instead of gathering numerical data. The research mainly will be based on secondary data through peer-reviewed journal articles, academic textbooks and official accounting standards published by regulatory organizations like the International Accounting Standards Board (IASB) and the Financial Accounting Standards Board (FASB).</w:t>
      </w:r>
    </w:p>
    <w:p w14:paraId="29EB80D0" w14:textId="77777777" w:rsidR="00605D87" w:rsidRPr="005B5393" w:rsidRDefault="00605D87" w:rsidP="00605D87">
      <w:pPr>
        <w:spacing w:line="480" w:lineRule="auto"/>
        <w:rPr>
          <w:rFonts w:ascii="Calibri" w:hAnsi="Calibri" w:cs="Calibri"/>
          <w:szCs w:val="24"/>
        </w:rPr>
      </w:pPr>
    </w:p>
    <w:p w14:paraId="4AB98600"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The study employs a systematic literature review approach to determine, </w:t>
      </w:r>
      <w:proofErr w:type="spellStart"/>
      <w:r w:rsidRPr="005B5393">
        <w:rPr>
          <w:rFonts w:ascii="Calibri" w:hAnsi="Calibri" w:cs="Calibri"/>
          <w:szCs w:val="24"/>
        </w:rPr>
        <w:t>analyze</w:t>
      </w:r>
      <w:proofErr w:type="spellEnd"/>
      <w:r w:rsidRPr="005B5393">
        <w:rPr>
          <w:rFonts w:ascii="Calibri" w:hAnsi="Calibri" w:cs="Calibri"/>
          <w:szCs w:val="24"/>
        </w:rPr>
        <w:t xml:space="preserve">, and synthesize any academic contributions that are pertinent to accounting concepts that are relevant. The sources were chosen </w:t>
      </w:r>
      <w:proofErr w:type="gramStart"/>
      <w:r w:rsidRPr="005B5393">
        <w:rPr>
          <w:rFonts w:ascii="Calibri" w:hAnsi="Calibri" w:cs="Calibri"/>
          <w:szCs w:val="24"/>
        </w:rPr>
        <w:t>on the basis of</w:t>
      </w:r>
      <w:proofErr w:type="gramEnd"/>
      <w:r w:rsidRPr="005B5393">
        <w:rPr>
          <w:rFonts w:ascii="Calibri" w:hAnsi="Calibri" w:cs="Calibri"/>
          <w:szCs w:val="24"/>
        </w:rPr>
        <w:t xml:space="preserve"> their relevance, credibility and contribution to the field of accounting theory and practice. Scholarly articles </w:t>
      </w:r>
      <w:proofErr w:type="gramStart"/>
      <w:r w:rsidRPr="005B5393">
        <w:rPr>
          <w:rFonts w:ascii="Calibri" w:hAnsi="Calibri" w:cs="Calibri"/>
          <w:szCs w:val="24"/>
        </w:rPr>
        <w:t>were located in</w:t>
      </w:r>
      <w:proofErr w:type="gramEnd"/>
      <w:r w:rsidRPr="005B5393">
        <w:rPr>
          <w:rFonts w:ascii="Calibri" w:hAnsi="Calibri" w:cs="Calibri"/>
          <w:szCs w:val="24"/>
        </w:rPr>
        <w:t xml:space="preserve"> databases like Google Scholar, JSTOR, and ScienceDirect, but preference was given to the most recent articles </w:t>
      </w:r>
      <w:proofErr w:type="gramStart"/>
      <w:r w:rsidRPr="005B5393">
        <w:rPr>
          <w:rFonts w:ascii="Calibri" w:hAnsi="Calibri" w:cs="Calibri"/>
          <w:szCs w:val="24"/>
        </w:rPr>
        <w:t>in order to</w:t>
      </w:r>
      <w:proofErr w:type="gramEnd"/>
      <w:r w:rsidRPr="005B5393">
        <w:rPr>
          <w:rFonts w:ascii="Calibri" w:hAnsi="Calibri" w:cs="Calibri"/>
          <w:szCs w:val="24"/>
        </w:rPr>
        <w:t xml:space="preserve"> cover current views. Classical works were as well incorporated to offer a background and theoretical context. The search process involved the use of keywords, such as accounting equation evolution, IFRS vs GAAP, corporate governance in accounting, fair value accounting, and off-balance-sheet financing.</w:t>
      </w:r>
    </w:p>
    <w:p w14:paraId="4A56910E" w14:textId="77777777" w:rsidR="00605D87" w:rsidRPr="005B5393" w:rsidRDefault="00605D87" w:rsidP="00605D87">
      <w:pPr>
        <w:spacing w:line="480" w:lineRule="auto"/>
        <w:rPr>
          <w:rFonts w:ascii="Calibri" w:hAnsi="Calibri" w:cs="Calibri"/>
          <w:szCs w:val="24"/>
        </w:rPr>
      </w:pPr>
    </w:p>
    <w:p w14:paraId="7607A4DE"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The study is based on a critical analysis framework to achieve reliability and validity. This is a process of comparing the various opinions expressed in the literature, finding out the inconsistency and contradictions and assessing the consequences of various accounting practices. The comparative study of IFRS and GAAP is carried </w:t>
      </w:r>
      <w:proofErr w:type="gramStart"/>
      <w:r w:rsidRPr="005B5393">
        <w:rPr>
          <w:rFonts w:ascii="Calibri" w:hAnsi="Calibri" w:cs="Calibri"/>
          <w:szCs w:val="24"/>
        </w:rPr>
        <w:t>on the basis of</w:t>
      </w:r>
      <w:proofErr w:type="gramEnd"/>
      <w:r w:rsidRPr="005B5393">
        <w:rPr>
          <w:rFonts w:ascii="Calibri" w:hAnsi="Calibri" w:cs="Calibri"/>
          <w:szCs w:val="24"/>
        </w:rPr>
        <w:t xml:space="preserve"> </w:t>
      </w:r>
      <w:proofErr w:type="spellStart"/>
      <w:r w:rsidRPr="005B5393">
        <w:rPr>
          <w:rFonts w:ascii="Calibri" w:hAnsi="Calibri" w:cs="Calibri"/>
          <w:szCs w:val="24"/>
        </w:rPr>
        <w:t>analyzing</w:t>
      </w:r>
      <w:proofErr w:type="spellEnd"/>
      <w:r w:rsidRPr="005B5393">
        <w:rPr>
          <w:rFonts w:ascii="Calibri" w:hAnsi="Calibri" w:cs="Calibri"/>
          <w:szCs w:val="24"/>
        </w:rPr>
        <w:t xml:space="preserve"> their conceptual frameworks, application guidelines, and the reported effects on the quality of financial reporting. In this respect, the functions of corporate governance are evaluated based on the examination of the academic discourse of transparency, accountability, and ethical practice.</w:t>
      </w:r>
    </w:p>
    <w:p w14:paraId="1E4CD03D" w14:textId="77777777" w:rsidR="00605D87" w:rsidRPr="005B5393" w:rsidRDefault="00605D87" w:rsidP="00605D87">
      <w:pPr>
        <w:spacing w:line="480" w:lineRule="auto"/>
        <w:rPr>
          <w:rFonts w:ascii="Calibri" w:hAnsi="Calibri" w:cs="Calibri"/>
          <w:szCs w:val="24"/>
        </w:rPr>
      </w:pPr>
    </w:p>
    <w:p w14:paraId="03DD63BE"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lastRenderedPageBreak/>
        <w:t>A conceptual analysis of the financial statements is also part of the methodology and revolves around the relationship that exists among the balance sheet, income statement and cash flow statement. This is done through synthesis of theoretical explanations and practical examples of the available literature. Also, the complex accounting concepts like fair value and asset impairment and off-balance-sheet financing are explored using case-based knowledge supported by previous research and real business cases.</w:t>
      </w:r>
    </w:p>
    <w:p w14:paraId="5F48309C" w14:textId="77777777" w:rsidR="00605D87" w:rsidRPr="005B5393" w:rsidRDefault="00605D87" w:rsidP="00605D87">
      <w:pPr>
        <w:spacing w:line="480" w:lineRule="auto"/>
        <w:rPr>
          <w:rFonts w:ascii="Calibri" w:hAnsi="Calibri" w:cs="Calibri"/>
          <w:szCs w:val="24"/>
        </w:rPr>
      </w:pPr>
    </w:p>
    <w:p w14:paraId="6F7DC08A"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The weakness of this methodology is that it depends on secondary data which can be affected by biases of original studies. Moreover, the lack of primary data collection implies that the results cannot be said to be </w:t>
      </w:r>
      <w:proofErr w:type="gramStart"/>
      <w:r w:rsidRPr="005B5393">
        <w:rPr>
          <w:rFonts w:ascii="Calibri" w:hAnsi="Calibri" w:cs="Calibri"/>
          <w:szCs w:val="24"/>
        </w:rPr>
        <w:t>empirical, but</w:t>
      </w:r>
      <w:proofErr w:type="gramEnd"/>
      <w:r w:rsidRPr="005B5393">
        <w:rPr>
          <w:rFonts w:ascii="Calibri" w:hAnsi="Calibri" w:cs="Calibri"/>
          <w:szCs w:val="24"/>
        </w:rPr>
        <w:t xml:space="preserve"> are interpretative. But the weakness is addressed by the fact that a variety of credible and peer-reviewed materials are used to secure a balanced and complete analysis.</w:t>
      </w:r>
    </w:p>
    <w:p w14:paraId="46504F3D" w14:textId="77777777" w:rsidR="00605D87" w:rsidRPr="005B5393" w:rsidRDefault="00605D87" w:rsidP="00605D87">
      <w:pPr>
        <w:spacing w:line="480" w:lineRule="auto"/>
        <w:rPr>
          <w:rFonts w:ascii="Calibri" w:hAnsi="Calibri" w:cs="Calibri"/>
          <w:szCs w:val="24"/>
        </w:rPr>
      </w:pPr>
    </w:p>
    <w:p w14:paraId="11FCC096"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On balance, this methodology offers an organized and systematic way to study the advanced accounting concepts to be able to critically examine their theoretical bases and practical implementation in the contemporary business settings.</w:t>
      </w:r>
    </w:p>
    <w:p w14:paraId="287503C6" w14:textId="77777777" w:rsidR="00605D87" w:rsidRPr="005B5393" w:rsidRDefault="00605D87" w:rsidP="00605D87">
      <w:pPr>
        <w:spacing w:line="480" w:lineRule="auto"/>
        <w:rPr>
          <w:rFonts w:ascii="Calibri" w:hAnsi="Calibri" w:cs="Calibri"/>
          <w:szCs w:val="24"/>
        </w:rPr>
      </w:pPr>
    </w:p>
    <w:p w14:paraId="2C1E8F22" w14:textId="77777777" w:rsidR="00605D87" w:rsidRPr="005B5393" w:rsidRDefault="00605D87" w:rsidP="00605D87">
      <w:pPr>
        <w:spacing w:line="480" w:lineRule="auto"/>
        <w:rPr>
          <w:rFonts w:ascii="Calibri" w:hAnsi="Calibri" w:cs="Calibri"/>
          <w:szCs w:val="24"/>
        </w:rPr>
      </w:pPr>
    </w:p>
    <w:p w14:paraId="2B65DAC7"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Findings</w:t>
      </w:r>
    </w:p>
    <w:p w14:paraId="7D86CC72" w14:textId="77777777" w:rsidR="00605D87" w:rsidRPr="005B5393" w:rsidRDefault="00605D87" w:rsidP="00605D87">
      <w:pPr>
        <w:spacing w:line="480" w:lineRule="auto"/>
        <w:rPr>
          <w:rFonts w:ascii="Calibri" w:hAnsi="Calibri" w:cs="Calibri"/>
          <w:szCs w:val="24"/>
        </w:rPr>
      </w:pPr>
    </w:p>
    <w:p w14:paraId="375E2E8C"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lastRenderedPageBreak/>
        <w:t>The review of the literature shows that accounting has continued to change tremendously to be able to respond to the intricacies of the contemporary business environments. Among the most notable discoveries is that the conventional accounting formula is basic, but it has changed its usage to suit complicated financial instruments and international transactions. Although the equation (Assets = Liabilities + Owner’s Equity) still forms the basis of financial reporting, it is now interpreted with fair value adjustments, contingent liabilities, and intangible assets, and is based on a broader and more dynamic definition of financial position (</w:t>
      </w:r>
      <w:proofErr w:type="spellStart"/>
      <w:r w:rsidRPr="005B5393">
        <w:rPr>
          <w:rFonts w:ascii="Calibri" w:hAnsi="Calibri" w:cs="Calibri"/>
          <w:szCs w:val="24"/>
        </w:rPr>
        <w:t>Kieso</w:t>
      </w:r>
      <w:proofErr w:type="spellEnd"/>
      <w:r w:rsidRPr="005B5393">
        <w:rPr>
          <w:rFonts w:ascii="Calibri" w:hAnsi="Calibri" w:cs="Calibri"/>
          <w:szCs w:val="24"/>
        </w:rPr>
        <w:t xml:space="preserve"> et al., 2020).</w:t>
      </w:r>
    </w:p>
    <w:p w14:paraId="332C7186" w14:textId="77777777" w:rsidR="00605D87" w:rsidRPr="005B5393" w:rsidRDefault="00605D87" w:rsidP="00605D87">
      <w:pPr>
        <w:spacing w:line="480" w:lineRule="auto"/>
        <w:rPr>
          <w:rFonts w:ascii="Calibri" w:hAnsi="Calibri" w:cs="Calibri"/>
          <w:szCs w:val="24"/>
        </w:rPr>
      </w:pPr>
    </w:p>
    <w:p w14:paraId="4B0BF227"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One of the most important results of the present study is the increasing popularity of International Financial Reporting Standards (IFRS) in the world of accounting. The adoption of IFRS has enhanced comparability and transparency in the international markets and it is now easier to </w:t>
      </w:r>
      <w:proofErr w:type="spellStart"/>
      <w:r w:rsidRPr="005B5393">
        <w:rPr>
          <w:rFonts w:ascii="Calibri" w:hAnsi="Calibri" w:cs="Calibri"/>
          <w:szCs w:val="24"/>
        </w:rPr>
        <w:t>analyze</w:t>
      </w:r>
      <w:proofErr w:type="spellEnd"/>
      <w:r w:rsidRPr="005B5393">
        <w:rPr>
          <w:rFonts w:ascii="Calibri" w:hAnsi="Calibri" w:cs="Calibri"/>
          <w:szCs w:val="24"/>
        </w:rPr>
        <w:t xml:space="preserve"> financial statements of various jurisdictions by investors and other stakeholders. It has been empirically found that companies that have moved to IFRS have better accounting quality and less information asymmetry (Barth et al., 2012). Nevertheless, it is also stated in the findings that the principles-based approach of IFRS creates subjectivity that may expose inconsistencies in interpretations and inconsistencies in financial reporting (Soderstrom and Sun, 2007). Conversely, GAAP is more rule-based and thus offers more specific </w:t>
      </w:r>
      <w:proofErr w:type="gramStart"/>
      <w:r w:rsidRPr="005B5393">
        <w:rPr>
          <w:rFonts w:ascii="Calibri" w:hAnsi="Calibri" w:cs="Calibri"/>
          <w:szCs w:val="24"/>
        </w:rPr>
        <w:t>instruction, but</w:t>
      </w:r>
      <w:proofErr w:type="gramEnd"/>
      <w:r w:rsidRPr="005B5393">
        <w:rPr>
          <w:rFonts w:ascii="Calibri" w:hAnsi="Calibri" w:cs="Calibri"/>
          <w:szCs w:val="24"/>
        </w:rPr>
        <w:t xml:space="preserve"> can sometimes be inflexible when dealing with special financial situations.</w:t>
      </w:r>
    </w:p>
    <w:p w14:paraId="24559F28" w14:textId="77777777" w:rsidR="00605D87" w:rsidRPr="005B5393" w:rsidRDefault="00605D87" w:rsidP="00605D87">
      <w:pPr>
        <w:spacing w:line="480" w:lineRule="auto"/>
        <w:rPr>
          <w:rFonts w:ascii="Calibri" w:hAnsi="Calibri" w:cs="Calibri"/>
          <w:szCs w:val="24"/>
        </w:rPr>
      </w:pPr>
    </w:p>
    <w:p w14:paraId="03C784F9"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It is also concluded in the study that corporate governance is a crucial component in assuring reliability and integrity of accounting information. Effective internal controls and independent </w:t>
      </w:r>
      <w:r w:rsidRPr="005B5393">
        <w:rPr>
          <w:rFonts w:ascii="Calibri" w:hAnsi="Calibri" w:cs="Calibri"/>
          <w:szCs w:val="24"/>
        </w:rPr>
        <w:lastRenderedPageBreak/>
        <w:t xml:space="preserve">audit committees are among the strong governance mechanisms that can greatly mitigate the risk of financial misreporting and fraud. Studies show that those firms that have strong governance frameworks have a high likelihood of generating clear and </w:t>
      </w:r>
      <w:proofErr w:type="gramStart"/>
      <w:r w:rsidRPr="005B5393">
        <w:rPr>
          <w:rFonts w:ascii="Calibri" w:hAnsi="Calibri" w:cs="Calibri"/>
          <w:szCs w:val="24"/>
        </w:rPr>
        <w:t>high quality</w:t>
      </w:r>
      <w:proofErr w:type="gramEnd"/>
      <w:r w:rsidRPr="005B5393">
        <w:rPr>
          <w:rFonts w:ascii="Calibri" w:hAnsi="Calibri" w:cs="Calibri"/>
          <w:szCs w:val="24"/>
        </w:rPr>
        <w:t xml:space="preserve"> financial reports (Bushman and Smith, 2001). Moreover, the governance structures assist in balancing the interests of the management and shareholders, thus, reducing agency issues and strengthening accountability.</w:t>
      </w:r>
    </w:p>
    <w:p w14:paraId="1844E3DB" w14:textId="77777777" w:rsidR="00605D87" w:rsidRPr="005B5393" w:rsidRDefault="00605D87" w:rsidP="00605D87">
      <w:pPr>
        <w:spacing w:line="480" w:lineRule="auto"/>
        <w:rPr>
          <w:rFonts w:ascii="Calibri" w:hAnsi="Calibri" w:cs="Calibri"/>
          <w:szCs w:val="24"/>
        </w:rPr>
      </w:pPr>
    </w:p>
    <w:p w14:paraId="25E60028"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The other significant discovery is that financial statements are interrelated and that they have a combined and synergistic ability to evaluate financial health. The balance sheet, income statement, and cash flow statement are dependent on each other and their combination gives a holistic view of the performance of an organization. As an illustration, net income of the income statement directly affects retained earnings in the balance sheet, whereas cash flow statements show the liquidity implication of operating, investing, and financing activity. </w:t>
      </w:r>
      <w:proofErr w:type="gramStart"/>
      <w:r w:rsidRPr="005B5393">
        <w:rPr>
          <w:rFonts w:ascii="Calibri" w:hAnsi="Calibri" w:cs="Calibri"/>
          <w:szCs w:val="24"/>
        </w:rPr>
        <w:t>This interconnections</w:t>
      </w:r>
      <w:proofErr w:type="gramEnd"/>
      <w:r w:rsidRPr="005B5393">
        <w:rPr>
          <w:rFonts w:ascii="Calibri" w:hAnsi="Calibri" w:cs="Calibri"/>
          <w:szCs w:val="24"/>
        </w:rPr>
        <w:t xml:space="preserve"> allows the stakeholders to make a better decision by evaluating the profitability as well as cash flow sustainability (Penman, 2007).</w:t>
      </w:r>
    </w:p>
    <w:p w14:paraId="03A0CFD5" w14:textId="77777777" w:rsidR="00605D87" w:rsidRPr="005B5393" w:rsidRDefault="00605D87" w:rsidP="00605D87">
      <w:pPr>
        <w:spacing w:line="480" w:lineRule="auto"/>
        <w:rPr>
          <w:rFonts w:ascii="Calibri" w:hAnsi="Calibri" w:cs="Calibri"/>
          <w:szCs w:val="24"/>
        </w:rPr>
      </w:pPr>
    </w:p>
    <w:p w14:paraId="4B51D4ED"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The investigation also indicates higher-order accounting theories especially fair value accounting have gained relevance in the contemporary financial reporting. The fair value measurement increases relevancy of the financial information in the sense that it represents the prevailing market conditions. It is particularly critical with financial instruments, where the historical cost might not be a true economic value. Yet, it has been found that fair value accounting also can </w:t>
      </w:r>
      <w:r w:rsidRPr="005B5393">
        <w:rPr>
          <w:rFonts w:ascii="Calibri" w:hAnsi="Calibri" w:cs="Calibri"/>
          <w:szCs w:val="24"/>
        </w:rPr>
        <w:lastRenderedPageBreak/>
        <w:t xml:space="preserve">cause volatility and subjectivity, especially in illiquid markets, where market prices cannot be easily measured (Laux and </w:t>
      </w:r>
      <w:proofErr w:type="spellStart"/>
      <w:r w:rsidRPr="005B5393">
        <w:rPr>
          <w:rFonts w:ascii="Calibri" w:hAnsi="Calibri" w:cs="Calibri"/>
          <w:szCs w:val="24"/>
        </w:rPr>
        <w:t>Leuz</w:t>
      </w:r>
      <w:proofErr w:type="spellEnd"/>
      <w:r w:rsidRPr="005B5393">
        <w:rPr>
          <w:rFonts w:ascii="Calibri" w:hAnsi="Calibri" w:cs="Calibri"/>
          <w:szCs w:val="24"/>
        </w:rPr>
        <w:t>, 2009). This makes the preparation and use of financial statements difficult because estimates can differ according to assumptions and methods of valuation.</w:t>
      </w:r>
    </w:p>
    <w:p w14:paraId="1D626AEE" w14:textId="77777777" w:rsidR="00605D87" w:rsidRPr="005B5393" w:rsidRDefault="00605D87" w:rsidP="00605D87">
      <w:pPr>
        <w:spacing w:line="480" w:lineRule="auto"/>
        <w:rPr>
          <w:rFonts w:ascii="Calibri" w:hAnsi="Calibri" w:cs="Calibri"/>
          <w:szCs w:val="24"/>
        </w:rPr>
      </w:pPr>
    </w:p>
    <w:p w14:paraId="63ACF657"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Another aspect where important insights can be discovered is asset impairment. Impairment accounting helps record assets at recoverable amounts, which enhances the quality and dependability of financial statements. The findings however indicate that impairment testing is mostly associated with managerial judgment which may be affected by incentives to manage earnings. Research has revealed a tendency of managers to postpone or hasten the recognition of impairment to meet the required financial results, which underscores the need to regulate managers and auditing procedures (</w:t>
      </w:r>
      <w:proofErr w:type="spellStart"/>
      <w:r w:rsidRPr="005B5393">
        <w:rPr>
          <w:rFonts w:ascii="Calibri" w:hAnsi="Calibri" w:cs="Calibri"/>
          <w:szCs w:val="24"/>
        </w:rPr>
        <w:t>Ramanna</w:t>
      </w:r>
      <w:proofErr w:type="spellEnd"/>
      <w:r w:rsidRPr="005B5393">
        <w:rPr>
          <w:rFonts w:ascii="Calibri" w:hAnsi="Calibri" w:cs="Calibri"/>
          <w:szCs w:val="24"/>
        </w:rPr>
        <w:t xml:space="preserve"> and Watts, 2012).</w:t>
      </w:r>
    </w:p>
    <w:p w14:paraId="7D734530" w14:textId="77777777" w:rsidR="00605D87" w:rsidRPr="005B5393" w:rsidRDefault="00605D87" w:rsidP="00605D87">
      <w:pPr>
        <w:spacing w:line="480" w:lineRule="auto"/>
        <w:rPr>
          <w:rFonts w:ascii="Calibri" w:hAnsi="Calibri" w:cs="Calibri"/>
          <w:szCs w:val="24"/>
        </w:rPr>
      </w:pPr>
    </w:p>
    <w:p w14:paraId="4A323D9F"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Off-balance-sheet financing is mentioned as a serious problem to financial transparency. The results show that in the past, firms have adopted the off-balance-sheet structures to cover liabilities and value financial ratios to place a more attractive financial picture. The Enron scandal is a good example of how such practices may result in a great deal of financial misrepresentation and loss of investor confidence (Healy &amp; Palepu, 2003). Regulatory authorities have reacted to this by issuing more demanding standards, including the IFRS 16 which mandates more disclosure and recognition of previously concealed liabilities. These </w:t>
      </w:r>
      <w:r w:rsidRPr="005B5393">
        <w:rPr>
          <w:rFonts w:ascii="Calibri" w:hAnsi="Calibri" w:cs="Calibri"/>
          <w:szCs w:val="24"/>
        </w:rPr>
        <w:lastRenderedPageBreak/>
        <w:t>reforms have enhanced transparency, where some issues are still in the way of complete capture of complex financial arrangements.</w:t>
      </w:r>
    </w:p>
    <w:p w14:paraId="0472C7EB" w14:textId="77777777" w:rsidR="00605D87" w:rsidRPr="005B5393" w:rsidRDefault="00605D87" w:rsidP="00605D87">
      <w:pPr>
        <w:spacing w:line="480" w:lineRule="auto"/>
        <w:rPr>
          <w:rFonts w:ascii="Calibri" w:hAnsi="Calibri" w:cs="Calibri"/>
          <w:szCs w:val="24"/>
        </w:rPr>
      </w:pPr>
    </w:p>
    <w:p w14:paraId="426C3CF7"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Further, the results indicate that accounting practice has been greatly affected by globalization. The growing interconnectedness of world markets has meant that the accounting standards need to be aligned so that people can invest and cooperate across borders. The leading role in this process has been played by IFRS yet discrepancies between national standards remain. The convergence processes between IFRS and GAAP have shown that they are trying to build a single international accounting standard, but they are not fully standardized because of the differences in regulatory, cultural, and economic conditions.</w:t>
      </w:r>
    </w:p>
    <w:p w14:paraId="4D6BAB38" w14:textId="77777777" w:rsidR="00605D87" w:rsidRPr="005B5393" w:rsidRDefault="00605D87" w:rsidP="00605D87">
      <w:pPr>
        <w:spacing w:line="480" w:lineRule="auto"/>
        <w:rPr>
          <w:rFonts w:ascii="Calibri" w:hAnsi="Calibri" w:cs="Calibri"/>
          <w:szCs w:val="24"/>
        </w:rPr>
      </w:pPr>
    </w:p>
    <w:p w14:paraId="369454DE" w14:textId="77777777" w:rsidR="00605D87" w:rsidRPr="005B5393" w:rsidRDefault="00605D87" w:rsidP="00605D87">
      <w:pPr>
        <w:spacing w:line="480" w:lineRule="auto"/>
        <w:rPr>
          <w:rFonts w:ascii="Calibri" w:hAnsi="Calibri" w:cs="Calibri"/>
          <w:szCs w:val="24"/>
        </w:rPr>
      </w:pPr>
      <w:proofErr w:type="gramStart"/>
      <w:r w:rsidRPr="005B5393">
        <w:rPr>
          <w:rFonts w:ascii="Calibri" w:hAnsi="Calibri" w:cs="Calibri"/>
          <w:szCs w:val="24"/>
        </w:rPr>
        <w:t>On the whole</w:t>
      </w:r>
      <w:proofErr w:type="gramEnd"/>
      <w:r w:rsidRPr="005B5393">
        <w:rPr>
          <w:rFonts w:ascii="Calibri" w:hAnsi="Calibri" w:cs="Calibri"/>
          <w:szCs w:val="24"/>
        </w:rPr>
        <w:t>, the research results prove that the current accounting practices are typified by a trade-off between relevance and reliability. Although more sophisticated concepts like the fair value accounting and global standards make the financial information more useful, they also add complexity and demand prudent judgment. A major requirement of these practices is effective corporate governance, enforcement of regulations, and ethical standards. All these factors put together will ensure that accounting remains in its main role of offering decision-useful, accurate and transparent information to stakeholders.</w:t>
      </w:r>
    </w:p>
    <w:p w14:paraId="73889419" w14:textId="77777777" w:rsidR="00605D87" w:rsidRPr="005B5393" w:rsidRDefault="00605D87" w:rsidP="00605D87">
      <w:pPr>
        <w:spacing w:line="480" w:lineRule="auto"/>
        <w:rPr>
          <w:rFonts w:ascii="Calibri" w:hAnsi="Calibri" w:cs="Calibri"/>
          <w:szCs w:val="24"/>
        </w:rPr>
      </w:pPr>
    </w:p>
    <w:p w14:paraId="59A67FE9" w14:textId="77777777" w:rsidR="00605D87" w:rsidRPr="005B5393" w:rsidRDefault="00605D87" w:rsidP="00605D87">
      <w:pPr>
        <w:spacing w:line="480" w:lineRule="auto"/>
        <w:rPr>
          <w:rFonts w:ascii="Calibri" w:hAnsi="Calibri" w:cs="Calibri"/>
          <w:szCs w:val="24"/>
        </w:rPr>
      </w:pPr>
    </w:p>
    <w:p w14:paraId="6385FF29"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lastRenderedPageBreak/>
        <w:t>Discussion</w:t>
      </w:r>
    </w:p>
    <w:p w14:paraId="269AA8DB" w14:textId="77777777" w:rsidR="00605D87" w:rsidRPr="005B5393" w:rsidRDefault="00605D87" w:rsidP="00605D87">
      <w:pPr>
        <w:spacing w:line="480" w:lineRule="auto"/>
        <w:rPr>
          <w:rFonts w:ascii="Calibri" w:hAnsi="Calibri" w:cs="Calibri"/>
          <w:szCs w:val="24"/>
        </w:rPr>
      </w:pPr>
    </w:p>
    <w:p w14:paraId="164C8EB0"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The results of this paper have indicated the dynamic nature of accounting because it is still developing in relation to the trend of globalization, financial innovations, and rising stakeholder expectations. The fact that the old accounting ideals have been turned into more sophisticated and dynamic systems reflects the capacity of the field to adjust to the dynamics of doing business. This discussion critically assesses these findings against the existing literature and discusses them in greater detail as to their implications within the accounting theory and practice.</w:t>
      </w:r>
    </w:p>
    <w:p w14:paraId="120AA119" w14:textId="77777777" w:rsidR="00605D87" w:rsidRPr="005B5393" w:rsidRDefault="00605D87" w:rsidP="00605D87">
      <w:pPr>
        <w:spacing w:line="480" w:lineRule="auto"/>
        <w:rPr>
          <w:rFonts w:ascii="Calibri" w:hAnsi="Calibri" w:cs="Calibri"/>
          <w:szCs w:val="24"/>
        </w:rPr>
      </w:pPr>
    </w:p>
    <w:p w14:paraId="3CD30789"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A major theme that came out of the research is the relevancy of the accounting equation as the basis of financial reporting. Although the equation has not changed in its basic form, it is now widely used to include the contemporary financial aspects like intangible assets, derivatives and contingent liabilities. This development is consistent with the thesis of </w:t>
      </w:r>
      <w:proofErr w:type="spellStart"/>
      <w:r w:rsidRPr="005B5393">
        <w:rPr>
          <w:rFonts w:ascii="Calibri" w:hAnsi="Calibri" w:cs="Calibri"/>
          <w:szCs w:val="24"/>
        </w:rPr>
        <w:t>Kieso</w:t>
      </w:r>
      <w:proofErr w:type="spellEnd"/>
      <w:r w:rsidRPr="005B5393">
        <w:rPr>
          <w:rFonts w:ascii="Calibri" w:hAnsi="Calibri" w:cs="Calibri"/>
          <w:szCs w:val="24"/>
        </w:rPr>
        <w:t xml:space="preserve"> et al. (2020), who state that accounting models </w:t>
      </w:r>
      <w:proofErr w:type="gramStart"/>
      <w:r w:rsidRPr="005B5393">
        <w:rPr>
          <w:rFonts w:ascii="Calibri" w:hAnsi="Calibri" w:cs="Calibri"/>
          <w:szCs w:val="24"/>
        </w:rPr>
        <w:t>have to</w:t>
      </w:r>
      <w:proofErr w:type="gramEnd"/>
      <w:r w:rsidRPr="005B5393">
        <w:rPr>
          <w:rFonts w:ascii="Calibri" w:hAnsi="Calibri" w:cs="Calibri"/>
          <w:szCs w:val="24"/>
        </w:rPr>
        <w:t xml:space="preserve"> keep up with economic realities, being more reflective of them. Nevertheless, the fact that it is becoming more complex when it comes to such adjustments is a cause of concern in terms of the comprehensibility of financial statements to the user, that is, non-expert stakeholders. This implies that there is a necessity to balance between technical accuracy and clarity of financial reporting.</w:t>
      </w:r>
    </w:p>
    <w:p w14:paraId="06D4E93E" w14:textId="77777777" w:rsidR="00605D87" w:rsidRPr="005B5393" w:rsidRDefault="00605D87" w:rsidP="00605D87">
      <w:pPr>
        <w:spacing w:line="480" w:lineRule="auto"/>
        <w:rPr>
          <w:rFonts w:ascii="Calibri" w:hAnsi="Calibri" w:cs="Calibri"/>
          <w:szCs w:val="24"/>
        </w:rPr>
      </w:pPr>
    </w:p>
    <w:p w14:paraId="3104942A"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lastRenderedPageBreak/>
        <w:t>As it is discussed, the IFRS and GAAP brings to light some significant insights into the debate over which accounting system is currently more principles-based versus rules-based. The results align with the previous studies that point out the fact that the IFRS promotes comparability and transparency in global markets (Barth et al., 2012). It is especially significant in the globalized economy when investors tend to compare companies with various jurisdictions. Nevertheless, subjectivity is also brought about by the flexibility of IFRS, which can cause inconsistency in application. According to Soderstrom and Sun (2007), enforcement mechanisms and institutional structures are very important in the effectiveness of IFRS. By comparison, rules-based approach of GAAP gives very specific guidance, minimizing ambiguity but possibly minimizing the capacity to reflect the economic substance of transactions. As such, the two systems are not necessarily superior to each other; however, their use can be effective depending on the context in which they are used.</w:t>
      </w:r>
    </w:p>
    <w:p w14:paraId="17B4E248" w14:textId="77777777" w:rsidR="00605D87" w:rsidRPr="005B5393" w:rsidRDefault="00605D87" w:rsidP="00605D87">
      <w:pPr>
        <w:spacing w:line="480" w:lineRule="auto"/>
        <w:rPr>
          <w:rFonts w:ascii="Calibri" w:hAnsi="Calibri" w:cs="Calibri"/>
          <w:szCs w:val="24"/>
        </w:rPr>
      </w:pPr>
    </w:p>
    <w:p w14:paraId="1159A187"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Corporate governance comes out as a major critical factor that determines the quality and reliability of accounting information. The results support the perception that effective governance frameworks promote transparency and minimize risks of misreporting of financial information. Bushman and Smith (2001) emphasize that financial accounting systems are important to monitor the </w:t>
      </w:r>
      <w:proofErr w:type="spellStart"/>
      <w:r w:rsidRPr="005B5393">
        <w:rPr>
          <w:rFonts w:ascii="Calibri" w:hAnsi="Calibri" w:cs="Calibri"/>
          <w:szCs w:val="24"/>
        </w:rPr>
        <w:t>behavior</w:t>
      </w:r>
      <w:proofErr w:type="spellEnd"/>
      <w:r w:rsidRPr="005B5393">
        <w:rPr>
          <w:rFonts w:ascii="Calibri" w:hAnsi="Calibri" w:cs="Calibri"/>
          <w:szCs w:val="24"/>
        </w:rPr>
        <w:t xml:space="preserve"> of the managers and to make their </w:t>
      </w:r>
      <w:proofErr w:type="spellStart"/>
      <w:r w:rsidRPr="005B5393">
        <w:rPr>
          <w:rFonts w:ascii="Calibri" w:hAnsi="Calibri" w:cs="Calibri"/>
          <w:szCs w:val="24"/>
        </w:rPr>
        <w:t>behavior</w:t>
      </w:r>
      <w:proofErr w:type="spellEnd"/>
      <w:r w:rsidRPr="005B5393">
        <w:rPr>
          <w:rFonts w:ascii="Calibri" w:hAnsi="Calibri" w:cs="Calibri"/>
          <w:szCs w:val="24"/>
        </w:rPr>
        <w:t xml:space="preserve"> consistent with the interests of the shareholders. The discussion also indicates that there is the need to have mechanisms of governance like independent audits and regulation to curb the risks involved in subjective accounting practices. Even well-designed accounting standards might not be effective </w:t>
      </w:r>
      <w:r w:rsidRPr="005B5393">
        <w:rPr>
          <w:rFonts w:ascii="Calibri" w:hAnsi="Calibri" w:cs="Calibri"/>
          <w:szCs w:val="24"/>
        </w:rPr>
        <w:lastRenderedPageBreak/>
        <w:t>in the absence of good governance. This highlights the interdependence of accounting structures and governance structures.</w:t>
      </w:r>
    </w:p>
    <w:p w14:paraId="36966274" w14:textId="77777777" w:rsidR="00605D87" w:rsidRPr="005B5393" w:rsidRDefault="00605D87" w:rsidP="00605D87">
      <w:pPr>
        <w:spacing w:line="480" w:lineRule="auto"/>
        <w:rPr>
          <w:rFonts w:ascii="Calibri" w:hAnsi="Calibri" w:cs="Calibri"/>
          <w:szCs w:val="24"/>
        </w:rPr>
      </w:pPr>
    </w:p>
    <w:p w14:paraId="424BCEA3"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Another important aspect that is brought about in the findings is the interrelationship between financial statements. The combination of the balance sheet, the income statement and the cash flow statement gives an overall view of the financial performance and position of an organization. According to Penman (2007), a simultaneous analysis of these statements can help to better estimate the value of these firms and their future performance. According to the discussion, this interrelated method is especially crucial in the contemporary accounting where more intricate transactions frequently possess numerous financial consequences. Nonetheless, the growing complexity of financial statements can also be a problem to users, and this requires better disclosures and financial literacy.</w:t>
      </w:r>
    </w:p>
    <w:p w14:paraId="71431C87" w14:textId="77777777" w:rsidR="00605D87" w:rsidRPr="005B5393" w:rsidRDefault="00605D87" w:rsidP="00605D87">
      <w:pPr>
        <w:spacing w:line="480" w:lineRule="auto"/>
        <w:rPr>
          <w:rFonts w:ascii="Calibri" w:hAnsi="Calibri" w:cs="Calibri"/>
          <w:szCs w:val="24"/>
        </w:rPr>
      </w:pPr>
    </w:p>
    <w:p w14:paraId="36AA54AA"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One of the most controversial issues of modern accounting literature is fair value accounting. The results show that fair value improves the relevance of financial information as it presents the prevailing market conditions. This is the reason why decision-useful information must be timely and realistic to the economic reality (Penman, 2007). Critics like Laux and </w:t>
      </w:r>
      <w:proofErr w:type="spellStart"/>
      <w:r w:rsidRPr="005B5393">
        <w:rPr>
          <w:rFonts w:ascii="Calibri" w:hAnsi="Calibri" w:cs="Calibri"/>
          <w:szCs w:val="24"/>
        </w:rPr>
        <w:t>Leuz</w:t>
      </w:r>
      <w:proofErr w:type="spellEnd"/>
      <w:r w:rsidRPr="005B5393">
        <w:rPr>
          <w:rFonts w:ascii="Calibri" w:hAnsi="Calibri" w:cs="Calibri"/>
          <w:szCs w:val="24"/>
        </w:rPr>
        <w:t xml:space="preserve"> (2009) however note that fair value accounting may bring volatility and subjectivity especially where illiquid markets exist and reliable market prices are not available. The argument shows the relevance-reliability trade-off, which is a key issue in accounting. Although fair value has more valuable information, its accuracy is determined by the effectiveness of valuation methods and </w:t>
      </w:r>
      <w:r w:rsidRPr="005B5393">
        <w:rPr>
          <w:rFonts w:ascii="Calibri" w:hAnsi="Calibri" w:cs="Calibri"/>
          <w:szCs w:val="24"/>
        </w:rPr>
        <w:lastRenderedPageBreak/>
        <w:t>assumptions. This highlights the need to have strong valuation standards and professional judgment.</w:t>
      </w:r>
    </w:p>
    <w:p w14:paraId="3F7ECDB5" w14:textId="77777777" w:rsidR="00605D87" w:rsidRPr="005B5393" w:rsidRDefault="00605D87" w:rsidP="00605D87">
      <w:pPr>
        <w:spacing w:line="480" w:lineRule="auto"/>
        <w:rPr>
          <w:rFonts w:ascii="Calibri" w:hAnsi="Calibri" w:cs="Calibri"/>
          <w:szCs w:val="24"/>
        </w:rPr>
      </w:pPr>
    </w:p>
    <w:p w14:paraId="7EA66B52"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Asset impairment also demonstrates the problems of subjective accounting practices. The results indicate that impairment testing enhances the accuracy of asset valuation, as well as the earnings management opportunities. According to </w:t>
      </w:r>
      <w:proofErr w:type="spellStart"/>
      <w:r w:rsidRPr="005B5393">
        <w:rPr>
          <w:rFonts w:ascii="Calibri" w:hAnsi="Calibri" w:cs="Calibri"/>
          <w:szCs w:val="24"/>
        </w:rPr>
        <w:t>Ramanna</w:t>
      </w:r>
      <w:proofErr w:type="spellEnd"/>
      <w:r w:rsidRPr="005B5393">
        <w:rPr>
          <w:rFonts w:ascii="Calibri" w:hAnsi="Calibri" w:cs="Calibri"/>
          <w:szCs w:val="24"/>
        </w:rPr>
        <w:t xml:space="preserve"> and Watts (2012), incentives may affect managerial discretion in impairment decisions and thus such decisions may give rise to biased reporting. This is a critical ethical issue and brings forth the necessity of strict auditing and regulatory measures. It is argued in the discussion that stakeholder confidence will be ensured by disclosure of impairment and consistent application of standards.</w:t>
      </w:r>
    </w:p>
    <w:p w14:paraId="51702F6F" w14:textId="77777777" w:rsidR="00605D87" w:rsidRPr="005B5393" w:rsidRDefault="00605D87" w:rsidP="00605D87">
      <w:pPr>
        <w:spacing w:line="480" w:lineRule="auto"/>
        <w:rPr>
          <w:rFonts w:ascii="Calibri" w:hAnsi="Calibri" w:cs="Calibri"/>
          <w:szCs w:val="24"/>
        </w:rPr>
      </w:pPr>
    </w:p>
    <w:p w14:paraId="57D89EE6"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Another very important problem this study addresses is off-balance-sheet financing. The results prove that these practices may distort the actual financial status of a </w:t>
      </w:r>
      <w:proofErr w:type="gramStart"/>
      <w:r w:rsidRPr="005B5393">
        <w:rPr>
          <w:rFonts w:ascii="Calibri" w:hAnsi="Calibri" w:cs="Calibri"/>
          <w:szCs w:val="24"/>
        </w:rPr>
        <w:t>company</w:t>
      </w:r>
      <w:proofErr w:type="gramEnd"/>
      <w:r w:rsidRPr="005B5393">
        <w:rPr>
          <w:rFonts w:ascii="Calibri" w:hAnsi="Calibri" w:cs="Calibri"/>
          <w:szCs w:val="24"/>
        </w:rPr>
        <w:t xml:space="preserve"> hence compromising transparency. The Enron case, as Healy and Palepu (2003) explain, is used as a warning sign of what can happen in the case of poor disclosure and regulation. The implementation of standards like IFRS 16 is an important move towards enhancing transparency as the standards will enforce obligation to recognize lease obligations in the balance sheet. Nevertheless, as the discussion goes, companies can still find ways to structure the transactions that will lead to the same results, which means that constant monitoring and modification of the rules must be provided.</w:t>
      </w:r>
    </w:p>
    <w:p w14:paraId="2C54B4C6" w14:textId="77777777" w:rsidR="00605D87" w:rsidRPr="005B5393" w:rsidRDefault="00605D87" w:rsidP="00605D87">
      <w:pPr>
        <w:spacing w:line="480" w:lineRule="auto"/>
        <w:rPr>
          <w:rFonts w:ascii="Calibri" w:hAnsi="Calibri" w:cs="Calibri"/>
          <w:szCs w:val="24"/>
        </w:rPr>
      </w:pPr>
    </w:p>
    <w:p w14:paraId="48A7D3E4"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lastRenderedPageBreak/>
        <w:t>Globalization has also played a key role in the creation and implementation of the accounting standards. The use of IFRS is rampant because of the requirement of common language of reporting financial transactions to promote cross-border investment and economic integration. Nevertheless, as it has been discussed, full convergence between IFRS and GAAP has been a dilemma as there are disparities in legal systems, culture, and economic conditions. This implies that although harmonization is a good idea, some level of diversity in the accounting practices might be necessary.</w:t>
      </w:r>
    </w:p>
    <w:p w14:paraId="6978A200" w14:textId="77777777" w:rsidR="00605D87" w:rsidRPr="005B5393" w:rsidRDefault="00605D87" w:rsidP="00605D87">
      <w:pPr>
        <w:spacing w:line="480" w:lineRule="auto"/>
        <w:rPr>
          <w:rFonts w:ascii="Calibri" w:hAnsi="Calibri" w:cs="Calibri"/>
          <w:szCs w:val="24"/>
        </w:rPr>
      </w:pPr>
    </w:p>
    <w:p w14:paraId="53EBC17A"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In general, the discussion highlights the complexity and changing nature of modern accounting. It has made the financial information relevant and useful, yet the integration of advanced concepts and global standards has come with challenges of reliability, consistency, and ethical practices. The results indicate that the effectiveness of accounting systems is not only determined by the design of standards but also by the quality of governance, enforcement of regulations and professional judgment. The future of accounting is most likely to be concerned with increased levels of transparency, improved comparability and dealing with the problems that are caused by technological progress and financial innovation.</w:t>
      </w:r>
    </w:p>
    <w:p w14:paraId="166A393E" w14:textId="77777777" w:rsidR="00605D87" w:rsidRPr="005B5393" w:rsidRDefault="00605D87" w:rsidP="00605D87">
      <w:pPr>
        <w:spacing w:line="480" w:lineRule="auto"/>
        <w:rPr>
          <w:rFonts w:ascii="Calibri" w:hAnsi="Calibri" w:cs="Calibri"/>
          <w:szCs w:val="24"/>
        </w:rPr>
      </w:pPr>
    </w:p>
    <w:p w14:paraId="0422C3C9"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To sum up, it has been emphasized in the discussion that accounting is not a fixed field but an ever-evolving discipline, which is subject to changing economic and social circumstances. The relevance versus reliability issue has always been a major focus, and to attain such a balance, continual cooperation of the standard-setters, regulators, and practitioners is essential. By </w:t>
      </w:r>
      <w:r w:rsidRPr="005B5393">
        <w:rPr>
          <w:rFonts w:ascii="Calibri" w:hAnsi="Calibri" w:cs="Calibri"/>
          <w:szCs w:val="24"/>
        </w:rPr>
        <w:lastRenderedPageBreak/>
        <w:t>overcoming these obstacles, accounting will still be able to be instrumental in facilitating informed decision-making and fostering trust in financial markets.</w:t>
      </w:r>
    </w:p>
    <w:p w14:paraId="44BDBBB4" w14:textId="77777777" w:rsidR="00605D87" w:rsidRPr="005B5393" w:rsidRDefault="00605D87" w:rsidP="00605D87">
      <w:pPr>
        <w:spacing w:line="480" w:lineRule="auto"/>
        <w:rPr>
          <w:rFonts w:ascii="Calibri" w:hAnsi="Calibri" w:cs="Calibri"/>
          <w:szCs w:val="24"/>
        </w:rPr>
      </w:pPr>
    </w:p>
    <w:p w14:paraId="3DD6BF62" w14:textId="77777777" w:rsidR="00605D87" w:rsidRPr="005B5393" w:rsidRDefault="00605D87" w:rsidP="00605D87">
      <w:pPr>
        <w:spacing w:line="480" w:lineRule="auto"/>
        <w:rPr>
          <w:rFonts w:ascii="Calibri" w:hAnsi="Calibri" w:cs="Calibri"/>
          <w:szCs w:val="24"/>
        </w:rPr>
      </w:pPr>
    </w:p>
    <w:p w14:paraId="7278E804"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Conclusion</w:t>
      </w:r>
    </w:p>
    <w:p w14:paraId="2369E45B" w14:textId="77777777" w:rsidR="00605D87" w:rsidRPr="005B5393" w:rsidRDefault="00605D87" w:rsidP="00605D87">
      <w:pPr>
        <w:spacing w:line="480" w:lineRule="auto"/>
        <w:rPr>
          <w:rFonts w:ascii="Calibri" w:hAnsi="Calibri" w:cs="Calibri"/>
          <w:szCs w:val="24"/>
        </w:rPr>
      </w:pPr>
    </w:p>
    <w:p w14:paraId="306A3720"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This report has critically </w:t>
      </w:r>
      <w:proofErr w:type="spellStart"/>
      <w:r w:rsidRPr="005B5393">
        <w:rPr>
          <w:rFonts w:ascii="Calibri" w:hAnsi="Calibri" w:cs="Calibri"/>
          <w:szCs w:val="24"/>
        </w:rPr>
        <w:t>analyzed</w:t>
      </w:r>
      <w:proofErr w:type="spellEnd"/>
      <w:r w:rsidRPr="005B5393">
        <w:rPr>
          <w:rFonts w:ascii="Calibri" w:hAnsi="Calibri" w:cs="Calibri"/>
          <w:szCs w:val="24"/>
        </w:rPr>
        <w:t xml:space="preserve"> the higher theory concepts of accounting and how they are applicable in the contemporary business world. Through the analysis, it has been revealed that although the basics of accounting like accounting equation have not changed, its meanings and usage have changed a lot with the growing financial complexity and globalization. The new accounting standards are now resonant with the new avenues of fair value measurement, the impairment of assets, and </w:t>
      </w:r>
      <w:proofErr w:type="gramStart"/>
      <w:r w:rsidRPr="005B5393">
        <w:rPr>
          <w:rFonts w:ascii="Calibri" w:hAnsi="Calibri" w:cs="Calibri"/>
          <w:szCs w:val="24"/>
        </w:rPr>
        <w:t>off balance</w:t>
      </w:r>
      <w:proofErr w:type="gramEnd"/>
      <w:r w:rsidRPr="005B5393">
        <w:rPr>
          <w:rFonts w:ascii="Calibri" w:hAnsi="Calibri" w:cs="Calibri"/>
          <w:szCs w:val="24"/>
        </w:rPr>
        <w:t xml:space="preserve"> sheet financing that make the financial information more relevant but also create problems regarding the reliability and subjectiveness.</w:t>
      </w:r>
    </w:p>
    <w:p w14:paraId="75D185B6" w14:textId="77777777" w:rsidR="00605D87" w:rsidRPr="005B5393" w:rsidRDefault="00605D87" w:rsidP="00605D87">
      <w:pPr>
        <w:spacing w:line="480" w:lineRule="auto"/>
        <w:rPr>
          <w:rFonts w:ascii="Calibri" w:hAnsi="Calibri" w:cs="Calibri"/>
          <w:szCs w:val="24"/>
        </w:rPr>
      </w:pPr>
    </w:p>
    <w:p w14:paraId="02039513"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The IFRS vs. GAAP comparison has brought to the fore the existing conflict between principles-based and rules-based frameworks. Although IFRS enhances flexibility and comparability across the globe, it needs effective professional judgment and effective enforcement systems to achieve a state of consistency. GAAP on the other hand is very specific and eliminates </w:t>
      </w:r>
      <w:proofErr w:type="gramStart"/>
      <w:r w:rsidRPr="005B5393">
        <w:rPr>
          <w:rFonts w:ascii="Calibri" w:hAnsi="Calibri" w:cs="Calibri"/>
          <w:szCs w:val="24"/>
        </w:rPr>
        <w:t>ambiguity, but</w:t>
      </w:r>
      <w:proofErr w:type="gramEnd"/>
      <w:r w:rsidRPr="005B5393">
        <w:rPr>
          <w:rFonts w:ascii="Calibri" w:hAnsi="Calibri" w:cs="Calibri"/>
          <w:szCs w:val="24"/>
        </w:rPr>
        <w:t xml:space="preserve"> perhaps limits flexibility. The results indicate that both frameworks are not necessarily more </w:t>
      </w:r>
      <w:r w:rsidRPr="005B5393">
        <w:rPr>
          <w:rFonts w:ascii="Calibri" w:hAnsi="Calibri" w:cs="Calibri"/>
          <w:szCs w:val="24"/>
        </w:rPr>
        <w:lastRenderedPageBreak/>
        <w:t>superior and both their efficacy is determined by the nature of governance, regulatory frameworks, and ethical standards.</w:t>
      </w:r>
    </w:p>
    <w:p w14:paraId="5E7ABA6A" w14:textId="77777777" w:rsidR="00605D87" w:rsidRPr="005B5393" w:rsidRDefault="00605D87" w:rsidP="00605D87">
      <w:pPr>
        <w:spacing w:line="480" w:lineRule="auto"/>
        <w:rPr>
          <w:rFonts w:ascii="Calibri" w:hAnsi="Calibri" w:cs="Calibri"/>
          <w:szCs w:val="24"/>
        </w:rPr>
      </w:pPr>
    </w:p>
    <w:p w14:paraId="254E5D69"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Corporate governance can be considered an important consideration in enhancing integrity and transparency in financial reporting. Effective governance systems, such as the use of independent auditors and regulation, are critical in averting the risk of managerial discretion and misrepresentation of financial information. Also, the interdependence of financial statements highlights the significance of the holistic approach to financial analysis, as a holistic financial analysis allows the stakeholders to make informed decisions </w:t>
      </w:r>
      <w:proofErr w:type="gramStart"/>
      <w:r w:rsidRPr="005B5393">
        <w:rPr>
          <w:rFonts w:ascii="Calibri" w:hAnsi="Calibri" w:cs="Calibri"/>
          <w:szCs w:val="24"/>
        </w:rPr>
        <w:t>on the basis of</w:t>
      </w:r>
      <w:proofErr w:type="gramEnd"/>
      <w:r w:rsidRPr="005B5393">
        <w:rPr>
          <w:rFonts w:ascii="Calibri" w:hAnsi="Calibri" w:cs="Calibri"/>
          <w:szCs w:val="24"/>
        </w:rPr>
        <w:t xml:space="preserve"> extensive financial data.</w:t>
      </w:r>
    </w:p>
    <w:p w14:paraId="4A625B03" w14:textId="77777777" w:rsidR="00605D87" w:rsidRPr="005B5393" w:rsidRDefault="00605D87" w:rsidP="00605D87">
      <w:pPr>
        <w:spacing w:line="480" w:lineRule="auto"/>
        <w:rPr>
          <w:rFonts w:ascii="Calibri" w:hAnsi="Calibri" w:cs="Calibri"/>
          <w:szCs w:val="24"/>
        </w:rPr>
      </w:pPr>
    </w:p>
    <w:p w14:paraId="3A4A6213"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Moreover, the paper identifies that the trend of globalization has also played a key role in the harmonization and development of accounting standards. Although convergence efforts have yielded greater comparability, full standardization is often difficult because of a wide range of economic and regulatory environments. This suggests that accounting will keep on changing as it adjusts in accordance with new global and technological trends.</w:t>
      </w:r>
    </w:p>
    <w:p w14:paraId="52A14087" w14:textId="77777777" w:rsidR="00605D87" w:rsidRPr="005B5393" w:rsidRDefault="00605D87" w:rsidP="00605D87">
      <w:pPr>
        <w:spacing w:line="480" w:lineRule="auto"/>
        <w:rPr>
          <w:rFonts w:ascii="Calibri" w:hAnsi="Calibri" w:cs="Calibri"/>
          <w:szCs w:val="24"/>
        </w:rPr>
      </w:pPr>
    </w:p>
    <w:p w14:paraId="0F355BC7" w14:textId="77777777" w:rsidR="00605D87" w:rsidRPr="005B5393" w:rsidRDefault="00605D87" w:rsidP="00605D87">
      <w:pPr>
        <w:spacing w:line="480" w:lineRule="auto"/>
        <w:rPr>
          <w:rFonts w:ascii="Calibri" w:hAnsi="Calibri" w:cs="Calibri"/>
          <w:szCs w:val="24"/>
        </w:rPr>
      </w:pPr>
      <w:r w:rsidRPr="005B5393">
        <w:rPr>
          <w:rFonts w:ascii="Calibri" w:hAnsi="Calibri" w:cs="Calibri"/>
          <w:szCs w:val="24"/>
        </w:rPr>
        <w:t xml:space="preserve">To conclude, contemporary accounting is a compromise between theory and practice. It is based on the ability to be transparent and ethical and be able to adapt to evolving business </w:t>
      </w:r>
      <w:r w:rsidRPr="005B5393">
        <w:rPr>
          <w:rFonts w:ascii="Calibri" w:hAnsi="Calibri" w:cs="Calibri"/>
          <w:szCs w:val="24"/>
        </w:rPr>
        <w:lastRenderedPageBreak/>
        <w:t>environments. Overcoming these difficulties, accounting can keep helping make informed decisions and facilitate the confidence in financial systems.</w:t>
      </w:r>
    </w:p>
    <w:p w14:paraId="3453245A" w14:textId="77777777" w:rsidR="00406815" w:rsidRPr="005B5393" w:rsidRDefault="00406815" w:rsidP="00071966">
      <w:pPr>
        <w:spacing w:line="480" w:lineRule="auto"/>
        <w:rPr>
          <w:rFonts w:ascii="Calibri" w:hAnsi="Calibri" w:cs="Calibri"/>
          <w:szCs w:val="24"/>
        </w:rPr>
      </w:pPr>
    </w:p>
    <w:p w14:paraId="064B1A44" w14:textId="77777777" w:rsidR="00605D87" w:rsidRPr="005B5393" w:rsidRDefault="00605D87" w:rsidP="00071966">
      <w:pPr>
        <w:spacing w:line="480" w:lineRule="auto"/>
        <w:rPr>
          <w:rFonts w:ascii="Calibri" w:hAnsi="Calibri" w:cs="Calibri"/>
          <w:szCs w:val="24"/>
        </w:rPr>
      </w:pPr>
    </w:p>
    <w:p w14:paraId="43B99E19" w14:textId="77777777" w:rsidR="00605D87" w:rsidRPr="005B5393" w:rsidRDefault="00605D87" w:rsidP="00071966">
      <w:pPr>
        <w:spacing w:line="480" w:lineRule="auto"/>
        <w:rPr>
          <w:rFonts w:ascii="Calibri" w:hAnsi="Calibri" w:cs="Calibri"/>
          <w:szCs w:val="24"/>
        </w:rPr>
      </w:pPr>
    </w:p>
    <w:p w14:paraId="707D066C" w14:textId="77777777" w:rsidR="00605D87" w:rsidRPr="005B5393" w:rsidRDefault="00605D87" w:rsidP="00071966">
      <w:pPr>
        <w:spacing w:line="480" w:lineRule="auto"/>
        <w:rPr>
          <w:rFonts w:ascii="Calibri" w:hAnsi="Calibri" w:cs="Calibri"/>
          <w:szCs w:val="24"/>
        </w:rPr>
      </w:pPr>
    </w:p>
    <w:p w14:paraId="1BE1FD96" w14:textId="77777777" w:rsidR="00605D87" w:rsidRPr="005B5393" w:rsidRDefault="00605D87" w:rsidP="00071966">
      <w:pPr>
        <w:spacing w:line="480" w:lineRule="auto"/>
        <w:rPr>
          <w:rFonts w:ascii="Calibri" w:hAnsi="Calibri" w:cs="Calibri"/>
          <w:szCs w:val="24"/>
        </w:rPr>
      </w:pPr>
    </w:p>
    <w:p w14:paraId="200B7514" w14:textId="77777777" w:rsidR="00605D87" w:rsidRPr="005B5393" w:rsidRDefault="00605D87" w:rsidP="00071966">
      <w:pPr>
        <w:spacing w:line="480" w:lineRule="auto"/>
        <w:rPr>
          <w:rFonts w:ascii="Calibri" w:hAnsi="Calibri" w:cs="Calibri"/>
          <w:szCs w:val="24"/>
        </w:rPr>
      </w:pPr>
    </w:p>
    <w:p w14:paraId="69A09669" w14:textId="77777777" w:rsidR="00071966" w:rsidRPr="005B5393" w:rsidRDefault="00071966" w:rsidP="00071966">
      <w:pPr>
        <w:pStyle w:val="Heading2"/>
        <w:rPr>
          <w:rFonts w:ascii="Calibri" w:hAnsi="Calibri" w:cs="Calibri"/>
          <w:sz w:val="24"/>
          <w:szCs w:val="24"/>
        </w:rPr>
      </w:pPr>
      <w:bookmarkStart w:id="1" w:name="_Toc224846307"/>
      <w:r w:rsidRPr="005B5393">
        <w:rPr>
          <w:rFonts w:ascii="Calibri" w:hAnsi="Calibri" w:cs="Calibri"/>
          <w:sz w:val="24"/>
          <w:szCs w:val="24"/>
        </w:rPr>
        <w:t>References</w:t>
      </w:r>
      <w:bookmarkEnd w:id="1"/>
    </w:p>
    <w:p w14:paraId="50B73B3F" w14:textId="77777777" w:rsidR="00071966" w:rsidRPr="005B5393" w:rsidRDefault="00071966" w:rsidP="00071966">
      <w:pPr>
        <w:spacing w:line="480" w:lineRule="auto"/>
        <w:rPr>
          <w:rFonts w:ascii="Calibri" w:hAnsi="Calibri" w:cs="Calibri"/>
          <w:szCs w:val="24"/>
        </w:rPr>
      </w:pPr>
    </w:p>
    <w:p w14:paraId="162EEE03" w14:textId="77777777" w:rsidR="005B5393" w:rsidRPr="005B5393" w:rsidRDefault="005B5393" w:rsidP="005B5393">
      <w:pPr>
        <w:rPr>
          <w:rFonts w:ascii="Calibri" w:hAnsi="Calibri" w:cs="Calibri"/>
        </w:rPr>
      </w:pPr>
      <w:r w:rsidRPr="005B5393">
        <w:rPr>
          <w:rFonts w:ascii="Calibri" w:hAnsi="Calibri" w:cs="Calibri"/>
        </w:rPr>
        <w:t xml:space="preserve">Rezaee, Z. (2005). Causes, consequences, and deterrence of financial statement fraud. </w:t>
      </w:r>
      <w:r w:rsidRPr="005B5393">
        <w:rPr>
          <w:rFonts w:ascii="Calibri" w:hAnsi="Calibri" w:cs="Calibri"/>
          <w:i/>
          <w:iCs/>
        </w:rPr>
        <w:t>Critical Perspectives on Accounting</w:t>
      </w:r>
      <w:r w:rsidRPr="005B5393">
        <w:rPr>
          <w:rFonts w:ascii="Calibri" w:hAnsi="Calibri" w:cs="Calibri"/>
        </w:rPr>
        <w:t>, 16(3), 277–298. https://doi.org/10.1016/S1045-2354(03)00072-8</w:t>
      </w:r>
    </w:p>
    <w:p w14:paraId="216DA2F0" w14:textId="77777777" w:rsidR="005B5393" w:rsidRPr="005B5393" w:rsidRDefault="005B5393" w:rsidP="005B5393">
      <w:pPr>
        <w:rPr>
          <w:rFonts w:ascii="Calibri" w:hAnsi="Calibri" w:cs="Calibri"/>
        </w:rPr>
      </w:pPr>
      <w:r w:rsidRPr="005B5393">
        <w:rPr>
          <w:rFonts w:ascii="Calibri" w:hAnsi="Calibri" w:cs="Calibri"/>
        </w:rPr>
        <w:t xml:space="preserve">Zhang, Y., &amp; Andrew, J. (2020). Blockchain and accounting: An emerging research agenda. </w:t>
      </w:r>
      <w:r w:rsidRPr="005B5393">
        <w:rPr>
          <w:rFonts w:ascii="Calibri" w:hAnsi="Calibri" w:cs="Calibri"/>
          <w:i/>
          <w:iCs/>
        </w:rPr>
        <w:t>Accounting, Auditing &amp; Accountability Journal</w:t>
      </w:r>
      <w:r w:rsidRPr="005B5393">
        <w:rPr>
          <w:rFonts w:ascii="Calibri" w:hAnsi="Calibri" w:cs="Calibri"/>
        </w:rPr>
        <w:t>, 33(8), 1849–1870. https://doi.org/10.1108/AAAJ-12-2018-3791</w:t>
      </w:r>
    </w:p>
    <w:p w14:paraId="06108D5C" w14:textId="77777777" w:rsidR="005B5393" w:rsidRPr="005B5393" w:rsidRDefault="005B5393" w:rsidP="005B5393">
      <w:pPr>
        <w:rPr>
          <w:rFonts w:ascii="Calibri" w:hAnsi="Calibri" w:cs="Calibri"/>
        </w:rPr>
      </w:pPr>
      <w:r w:rsidRPr="005B5393">
        <w:rPr>
          <w:rFonts w:ascii="Calibri" w:hAnsi="Calibri" w:cs="Calibri"/>
        </w:rPr>
        <w:t xml:space="preserve">Alles, M. G., Brennan, G., Kogan, A., &amp; </w:t>
      </w:r>
      <w:proofErr w:type="spellStart"/>
      <w:r w:rsidRPr="005B5393">
        <w:rPr>
          <w:rFonts w:ascii="Calibri" w:hAnsi="Calibri" w:cs="Calibri"/>
        </w:rPr>
        <w:t>Vasarhelyi</w:t>
      </w:r>
      <w:proofErr w:type="spellEnd"/>
      <w:r w:rsidRPr="005B5393">
        <w:rPr>
          <w:rFonts w:ascii="Calibri" w:hAnsi="Calibri" w:cs="Calibri"/>
        </w:rPr>
        <w:t xml:space="preserve">, M. A. (2018). Continuous auditing and analytics: Implications for fraud detection. </w:t>
      </w:r>
      <w:r w:rsidRPr="005B5393">
        <w:rPr>
          <w:rFonts w:ascii="Calibri" w:hAnsi="Calibri" w:cs="Calibri"/>
          <w:i/>
          <w:iCs/>
        </w:rPr>
        <w:t>Journal of Emerging Technologies in Accounting</w:t>
      </w:r>
      <w:r w:rsidRPr="005B5393">
        <w:rPr>
          <w:rFonts w:ascii="Calibri" w:hAnsi="Calibri" w:cs="Calibri"/>
        </w:rPr>
        <w:t>, 15(1), 1–16. https://doi.org/10.2308/jeta-10531</w:t>
      </w:r>
    </w:p>
    <w:p w14:paraId="440BB06E" w14:textId="77777777" w:rsidR="005B5393" w:rsidRPr="005B5393" w:rsidRDefault="005B5393" w:rsidP="005B5393">
      <w:pPr>
        <w:rPr>
          <w:rFonts w:ascii="Calibri" w:hAnsi="Calibri" w:cs="Calibri"/>
        </w:rPr>
      </w:pPr>
      <w:r w:rsidRPr="005B5393">
        <w:rPr>
          <w:rFonts w:ascii="Calibri" w:hAnsi="Calibri" w:cs="Calibri"/>
        </w:rPr>
        <w:t xml:space="preserve">Jensen, M. C., &amp; Meckling, W. H. (1976). Theory of the firm: Managerial </w:t>
      </w:r>
      <w:proofErr w:type="spellStart"/>
      <w:r w:rsidRPr="005B5393">
        <w:rPr>
          <w:rFonts w:ascii="Calibri" w:hAnsi="Calibri" w:cs="Calibri"/>
        </w:rPr>
        <w:t>behavior</w:t>
      </w:r>
      <w:proofErr w:type="spellEnd"/>
      <w:r w:rsidRPr="005B5393">
        <w:rPr>
          <w:rFonts w:ascii="Calibri" w:hAnsi="Calibri" w:cs="Calibri"/>
        </w:rPr>
        <w:t xml:space="preserve">, agency costs and ownership structure. </w:t>
      </w:r>
      <w:r w:rsidRPr="005B5393">
        <w:rPr>
          <w:rFonts w:ascii="Calibri" w:hAnsi="Calibri" w:cs="Calibri"/>
          <w:i/>
          <w:iCs/>
        </w:rPr>
        <w:t>Journal of Financial Economics</w:t>
      </w:r>
      <w:r w:rsidRPr="005B5393">
        <w:rPr>
          <w:rFonts w:ascii="Calibri" w:hAnsi="Calibri" w:cs="Calibri"/>
        </w:rPr>
        <w:t>, 3(4), 305–360. https://doi.org/10.1016/0304-405X(76)90026-X</w:t>
      </w:r>
    </w:p>
    <w:p w14:paraId="0F7C33AC" w14:textId="77777777" w:rsidR="005B5393" w:rsidRPr="005B5393" w:rsidRDefault="005B5393" w:rsidP="005B5393">
      <w:pPr>
        <w:rPr>
          <w:rFonts w:ascii="Calibri" w:hAnsi="Calibri" w:cs="Calibri"/>
        </w:rPr>
      </w:pPr>
      <w:r w:rsidRPr="005B5393">
        <w:rPr>
          <w:rFonts w:ascii="Calibri" w:hAnsi="Calibri" w:cs="Calibri"/>
        </w:rPr>
        <w:t xml:space="preserve">Ball, R. (2006). International financial reporting standards (IFRS): Pros and cons for investors. </w:t>
      </w:r>
      <w:r w:rsidRPr="005B5393">
        <w:rPr>
          <w:rFonts w:ascii="Calibri" w:hAnsi="Calibri" w:cs="Calibri"/>
          <w:i/>
          <w:iCs/>
        </w:rPr>
        <w:t>Accounting and Business Research</w:t>
      </w:r>
      <w:r w:rsidRPr="005B5393">
        <w:rPr>
          <w:rFonts w:ascii="Calibri" w:hAnsi="Calibri" w:cs="Calibri"/>
        </w:rPr>
        <w:t xml:space="preserve">, 36(sup1), 5–27. </w:t>
      </w:r>
      <w:hyperlink r:id="rId6" w:tgtFrame="_new" w:history="1">
        <w:r w:rsidRPr="005B5393">
          <w:rPr>
            <w:rStyle w:val="Hyperlink"/>
            <w:rFonts w:ascii="Calibri" w:hAnsi="Calibri" w:cs="Calibri"/>
          </w:rPr>
          <w:t>https://doi.org/10.1080/00014788.2006.9730040</w:t>
        </w:r>
      </w:hyperlink>
    </w:p>
    <w:p w14:paraId="2AD6FA71" w14:textId="77777777" w:rsidR="005B5393" w:rsidRPr="005B5393" w:rsidRDefault="005B5393" w:rsidP="005B5393">
      <w:pPr>
        <w:rPr>
          <w:rFonts w:ascii="Calibri" w:hAnsi="Calibri" w:cs="Calibri"/>
        </w:rPr>
      </w:pPr>
      <w:r w:rsidRPr="005B5393">
        <w:rPr>
          <w:rFonts w:ascii="Calibri" w:hAnsi="Calibri" w:cs="Calibri"/>
        </w:rPr>
        <w:lastRenderedPageBreak/>
        <w:t xml:space="preserve">Coyne, J. G., &amp; McMickle, P. L. (2017). Can blockchains serve an accounting purpose? </w:t>
      </w:r>
      <w:r w:rsidRPr="005B5393">
        <w:rPr>
          <w:rFonts w:ascii="Calibri" w:hAnsi="Calibri" w:cs="Calibri"/>
          <w:i/>
          <w:iCs/>
        </w:rPr>
        <w:t>Journal of Emerging Technologies in Accounting</w:t>
      </w:r>
      <w:r w:rsidRPr="005B5393">
        <w:rPr>
          <w:rFonts w:ascii="Calibri" w:hAnsi="Calibri" w:cs="Calibri"/>
        </w:rPr>
        <w:t xml:space="preserve">, 14(2), 101–111. </w:t>
      </w:r>
      <w:hyperlink r:id="rId7" w:tgtFrame="_new" w:history="1">
        <w:r w:rsidRPr="005B5393">
          <w:rPr>
            <w:rStyle w:val="Hyperlink"/>
            <w:rFonts w:ascii="Calibri" w:hAnsi="Calibri" w:cs="Calibri"/>
          </w:rPr>
          <w:t>https://doi.org/10.2308/jeta-51910</w:t>
        </w:r>
      </w:hyperlink>
    </w:p>
    <w:p w14:paraId="14529A4B" w14:textId="77777777" w:rsidR="005B5393" w:rsidRPr="005B5393" w:rsidRDefault="005B5393" w:rsidP="005B5393">
      <w:pPr>
        <w:rPr>
          <w:rFonts w:ascii="Calibri" w:hAnsi="Calibri" w:cs="Calibri"/>
        </w:rPr>
      </w:pPr>
      <w:proofErr w:type="spellStart"/>
      <w:r w:rsidRPr="005B5393">
        <w:rPr>
          <w:rFonts w:ascii="Calibri" w:hAnsi="Calibri" w:cs="Calibri"/>
        </w:rPr>
        <w:t>Vasarhelyi</w:t>
      </w:r>
      <w:proofErr w:type="spellEnd"/>
      <w:r w:rsidRPr="005B5393">
        <w:rPr>
          <w:rFonts w:ascii="Calibri" w:hAnsi="Calibri" w:cs="Calibri"/>
        </w:rPr>
        <w:t xml:space="preserve">, M. A., Kogan, A., &amp; Tuttle, B. M. (2015). Big data in accounting. </w:t>
      </w:r>
      <w:r w:rsidRPr="005B5393">
        <w:rPr>
          <w:rFonts w:ascii="Calibri" w:hAnsi="Calibri" w:cs="Calibri"/>
          <w:i/>
          <w:iCs/>
        </w:rPr>
        <w:t>Accounting Horizons</w:t>
      </w:r>
      <w:r w:rsidRPr="005B5393">
        <w:rPr>
          <w:rFonts w:ascii="Calibri" w:hAnsi="Calibri" w:cs="Calibri"/>
        </w:rPr>
        <w:t xml:space="preserve">, 29(2), 381–396. </w:t>
      </w:r>
      <w:hyperlink r:id="rId8" w:tgtFrame="_new" w:history="1">
        <w:r w:rsidRPr="005B5393">
          <w:rPr>
            <w:rStyle w:val="Hyperlink"/>
            <w:rFonts w:ascii="Calibri" w:hAnsi="Calibri" w:cs="Calibri"/>
          </w:rPr>
          <w:t>https://doi.org/10.2308/acch-51071</w:t>
        </w:r>
      </w:hyperlink>
    </w:p>
    <w:p w14:paraId="3FF5EF89" w14:textId="77777777" w:rsidR="005B5393" w:rsidRPr="005B5393" w:rsidRDefault="005B5393" w:rsidP="005B5393">
      <w:pPr>
        <w:rPr>
          <w:rFonts w:ascii="Calibri" w:hAnsi="Calibri" w:cs="Calibri"/>
        </w:rPr>
      </w:pPr>
      <w:r w:rsidRPr="005B5393">
        <w:rPr>
          <w:rFonts w:ascii="Calibri" w:hAnsi="Calibri" w:cs="Calibri"/>
        </w:rPr>
        <w:t xml:space="preserve">Healy, P. M., &amp; Palepu, K. G. (2001). Information asymmetry, corporate disclosure, and the capital markets. </w:t>
      </w:r>
      <w:r w:rsidRPr="005B5393">
        <w:rPr>
          <w:rFonts w:ascii="Calibri" w:hAnsi="Calibri" w:cs="Calibri"/>
          <w:i/>
          <w:iCs/>
        </w:rPr>
        <w:t>Journal of Accounting and Economics</w:t>
      </w:r>
      <w:r w:rsidRPr="005B5393">
        <w:rPr>
          <w:rFonts w:ascii="Calibri" w:hAnsi="Calibri" w:cs="Calibri"/>
        </w:rPr>
        <w:t>, 31(1–3), 405–440. https://doi.org/10.1016/S0165-4101(01)00018-0</w:t>
      </w:r>
    </w:p>
    <w:p w14:paraId="58F32EC3" w14:textId="77777777" w:rsidR="005B5393" w:rsidRPr="005B5393" w:rsidRDefault="005B5393" w:rsidP="005B5393">
      <w:pPr>
        <w:rPr>
          <w:rFonts w:ascii="Calibri" w:hAnsi="Calibri" w:cs="Calibri"/>
        </w:rPr>
      </w:pPr>
      <w:r w:rsidRPr="005B5393">
        <w:rPr>
          <w:rFonts w:ascii="Calibri" w:hAnsi="Calibri" w:cs="Calibri"/>
        </w:rPr>
        <w:t xml:space="preserve">Schmitz, J., &amp; Leoni, G. (2019). Accounting and auditing at the time of blockchain technology: A research agenda. </w:t>
      </w:r>
      <w:r w:rsidRPr="005B5393">
        <w:rPr>
          <w:rFonts w:ascii="Calibri" w:hAnsi="Calibri" w:cs="Calibri"/>
          <w:i/>
          <w:iCs/>
        </w:rPr>
        <w:t>Australian Accounting Review</w:t>
      </w:r>
      <w:r w:rsidRPr="005B5393">
        <w:rPr>
          <w:rFonts w:ascii="Calibri" w:hAnsi="Calibri" w:cs="Calibri"/>
        </w:rPr>
        <w:t>, 29(2), 331–342. https://doi.org/10.1111/auar.12286</w:t>
      </w:r>
    </w:p>
    <w:p w14:paraId="0455E06F" w14:textId="77777777" w:rsidR="005B5393" w:rsidRPr="005B5393" w:rsidRDefault="005B5393" w:rsidP="005B5393">
      <w:pPr>
        <w:rPr>
          <w:rFonts w:ascii="Calibri" w:hAnsi="Calibri" w:cs="Calibri"/>
        </w:rPr>
      </w:pPr>
      <w:r w:rsidRPr="005B5393">
        <w:rPr>
          <w:rFonts w:ascii="Calibri" w:hAnsi="Calibri" w:cs="Calibri"/>
        </w:rPr>
        <w:t xml:space="preserve">Ryan, S. G. (2008). Accounting in and for the subprime crisis. </w:t>
      </w:r>
      <w:r w:rsidRPr="005B5393">
        <w:rPr>
          <w:rFonts w:ascii="Calibri" w:hAnsi="Calibri" w:cs="Calibri"/>
          <w:i/>
          <w:iCs/>
        </w:rPr>
        <w:t>The Accounting Review</w:t>
      </w:r>
      <w:r w:rsidRPr="005B5393">
        <w:rPr>
          <w:rFonts w:ascii="Calibri" w:hAnsi="Calibri" w:cs="Calibri"/>
        </w:rPr>
        <w:t>, 83(6), 1605–1638. https://doi.org/10.2308/accr.2008.83.6.1605</w:t>
      </w:r>
    </w:p>
    <w:p w14:paraId="6D8FC3E2" w14:textId="77777777" w:rsidR="005B5393" w:rsidRPr="005B5393" w:rsidRDefault="005B5393" w:rsidP="005B5393">
      <w:pPr>
        <w:rPr>
          <w:rFonts w:ascii="Calibri" w:hAnsi="Calibri" w:cs="Calibri"/>
        </w:rPr>
      </w:pPr>
      <w:r w:rsidRPr="005B5393">
        <w:rPr>
          <w:rFonts w:ascii="Calibri" w:hAnsi="Calibri" w:cs="Calibri"/>
        </w:rPr>
        <w:t xml:space="preserve">Bushman, R. M., &amp; Smith, A. J. (2001). Financial accounting information and corporate governance. </w:t>
      </w:r>
      <w:r w:rsidRPr="005B5393">
        <w:rPr>
          <w:rFonts w:ascii="Calibri" w:hAnsi="Calibri" w:cs="Calibri"/>
          <w:i/>
          <w:iCs/>
        </w:rPr>
        <w:t>Journal of Accounting and Economics</w:t>
      </w:r>
      <w:r w:rsidRPr="005B5393">
        <w:rPr>
          <w:rFonts w:ascii="Calibri" w:hAnsi="Calibri" w:cs="Calibri"/>
        </w:rPr>
        <w:t>, 32(1–3), 237–333. https://doi.org/10.1016/S0165-4101(01)00027-1</w:t>
      </w:r>
    </w:p>
    <w:p w14:paraId="3F5AB2D5" w14:textId="77777777" w:rsidR="005B5393" w:rsidRPr="005B5393" w:rsidRDefault="005B5393" w:rsidP="005B5393">
      <w:pPr>
        <w:rPr>
          <w:rFonts w:ascii="Calibri" w:hAnsi="Calibri" w:cs="Calibri"/>
        </w:rPr>
      </w:pPr>
      <w:r w:rsidRPr="005B5393">
        <w:rPr>
          <w:rFonts w:ascii="Calibri" w:hAnsi="Calibri" w:cs="Calibri"/>
        </w:rPr>
        <w:t xml:space="preserve">Issa, H., Sun, T., &amp; </w:t>
      </w:r>
      <w:proofErr w:type="spellStart"/>
      <w:r w:rsidRPr="005B5393">
        <w:rPr>
          <w:rFonts w:ascii="Calibri" w:hAnsi="Calibri" w:cs="Calibri"/>
        </w:rPr>
        <w:t>Vasarhelyi</w:t>
      </w:r>
      <w:proofErr w:type="spellEnd"/>
      <w:r w:rsidRPr="005B5393">
        <w:rPr>
          <w:rFonts w:ascii="Calibri" w:hAnsi="Calibri" w:cs="Calibri"/>
        </w:rPr>
        <w:t xml:space="preserve">, M. A. (2016). Research ideas for artificial intelligence in auditing. </w:t>
      </w:r>
      <w:r w:rsidRPr="005B5393">
        <w:rPr>
          <w:rFonts w:ascii="Calibri" w:hAnsi="Calibri" w:cs="Calibri"/>
          <w:i/>
          <w:iCs/>
        </w:rPr>
        <w:t>Journal of Emerging Technologies in Accounting</w:t>
      </w:r>
      <w:r w:rsidRPr="005B5393">
        <w:rPr>
          <w:rFonts w:ascii="Calibri" w:hAnsi="Calibri" w:cs="Calibri"/>
        </w:rPr>
        <w:t xml:space="preserve">, 13(2), 1–20. </w:t>
      </w:r>
      <w:hyperlink r:id="rId9" w:tgtFrame="_new" w:history="1">
        <w:r w:rsidRPr="005B5393">
          <w:rPr>
            <w:rStyle w:val="Hyperlink"/>
            <w:rFonts w:ascii="Calibri" w:hAnsi="Calibri" w:cs="Calibri"/>
          </w:rPr>
          <w:t>https://doi.org/10.2308/jeta-10511</w:t>
        </w:r>
      </w:hyperlink>
    </w:p>
    <w:p w14:paraId="158B676E" w14:textId="77777777" w:rsidR="005B5393" w:rsidRPr="005B5393" w:rsidRDefault="005B5393" w:rsidP="005B5393">
      <w:pPr>
        <w:rPr>
          <w:rFonts w:ascii="Calibri" w:hAnsi="Calibri" w:cs="Calibri"/>
        </w:rPr>
      </w:pPr>
      <w:r w:rsidRPr="005B5393">
        <w:rPr>
          <w:rFonts w:ascii="Calibri" w:hAnsi="Calibri" w:cs="Calibri"/>
        </w:rPr>
        <w:t xml:space="preserve">Penman, S. H. (2007). Financial reporting quality: Is fair value a plus or a minus? </w:t>
      </w:r>
      <w:r w:rsidRPr="005B5393">
        <w:rPr>
          <w:rFonts w:ascii="Calibri" w:hAnsi="Calibri" w:cs="Calibri"/>
          <w:i/>
          <w:iCs/>
        </w:rPr>
        <w:t>Accounting and Business Research</w:t>
      </w:r>
      <w:r w:rsidRPr="005B5393">
        <w:rPr>
          <w:rFonts w:ascii="Calibri" w:hAnsi="Calibri" w:cs="Calibri"/>
        </w:rPr>
        <w:t>, 37(sup1), 33–44. https://doi.org/10.1080/00014788.2007.9730083</w:t>
      </w:r>
    </w:p>
    <w:p w14:paraId="200B9678" w14:textId="77777777" w:rsidR="005B5393" w:rsidRPr="005B5393" w:rsidRDefault="005B5393" w:rsidP="005B5393">
      <w:pPr>
        <w:rPr>
          <w:rFonts w:ascii="Calibri" w:hAnsi="Calibri" w:cs="Calibri"/>
        </w:rPr>
      </w:pPr>
      <w:r w:rsidRPr="005B5393">
        <w:rPr>
          <w:rFonts w:ascii="Calibri" w:hAnsi="Calibri" w:cs="Calibri"/>
        </w:rPr>
        <w:t xml:space="preserve">Appelbaum, D., Kogan, A., &amp; </w:t>
      </w:r>
      <w:proofErr w:type="spellStart"/>
      <w:r w:rsidRPr="005B5393">
        <w:rPr>
          <w:rFonts w:ascii="Calibri" w:hAnsi="Calibri" w:cs="Calibri"/>
        </w:rPr>
        <w:t>Vasarhelyi</w:t>
      </w:r>
      <w:proofErr w:type="spellEnd"/>
      <w:r w:rsidRPr="005B5393">
        <w:rPr>
          <w:rFonts w:ascii="Calibri" w:hAnsi="Calibri" w:cs="Calibri"/>
        </w:rPr>
        <w:t xml:space="preserve">, M. (2017). Big data and analytics in the modern audit engagement. </w:t>
      </w:r>
      <w:r w:rsidRPr="005B5393">
        <w:rPr>
          <w:rFonts w:ascii="Calibri" w:hAnsi="Calibri" w:cs="Calibri"/>
          <w:i/>
          <w:iCs/>
        </w:rPr>
        <w:t>Accounting Horizons</w:t>
      </w:r>
      <w:r w:rsidRPr="005B5393">
        <w:rPr>
          <w:rFonts w:ascii="Calibri" w:hAnsi="Calibri" w:cs="Calibri"/>
        </w:rPr>
        <w:t>, 31(4), 1–19. https://doi.org/10.2308/acch-51756</w:t>
      </w:r>
    </w:p>
    <w:p w14:paraId="77983336" w14:textId="77777777" w:rsidR="005B5393" w:rsidRPr="005B5393" w:rsidRDefault="005B5393" w:rsidP="005B5393">
      <w:pPr>
        <w:rPr>
          <w:rFonts w:ascii="Calibri" w:hAnsi="Calibri" w:cs="Calibri"/>
        </w:rPr>
      </w:pPr>
      <w:proofErr w:type="spellStart"/>
      <w:r w:rsidRPr="005B5393">
        <w:rPr>
          <w:rFonts w:ascii="Calibri" w:hAnsi="Calibri" w:cs="Calibri"/>
        </w:rPr>
        <w:t>Leuz</w:t>
      </w:r>
      <w:proofErr w:type="spellEnd"/>
      <w:r w:rsidRPr="005B5393">
        <w:rPr>
          <w:rFonts w:ascii="Calibri" w:hAnsi="Calibri" w:cs="Calibri"/>
        </w:rPr>
        <w:t xml:space="preserve">, C., Nanda, D., &amp; Wysocki, P. D. (2003). Earnings management and investor protection. </w:t>
      </w:r>
      <w:r w:rsidRPr="005B5393">
        <w:rPr>
          <w:rFonts w:ascii="Calibri" w:hAnsi="Calibri" w:cs="Calibri"/>
          <w:i/>
          <w:iCs/>
        </w:rPr>
        <w:t>Journal of Financial Economics</w:t>
      </w:r>
      <w:r w:rsidRPr="005B5393">
        <w:rPr>
          <w:rFonts w:ascii="Calibri" w:hAnsi="Calibri" w:cs="Calibri"/>
        </w:rPr>
        <w:t>, 69(3), 505–527. https://doi.org/10.1016/S0304-405X(03)00121-1</w:t>
      </w:r>
    </w:p>
    <w:p w14:paraId="24F1929C" w14:textId="77777777" w:rsidR="005B5393" w:rsidRPr="005B5393" w:rsidRDefault="005B5393" w:rsidP="005B5393">
      <w:pPr>
        <w:rPr>
          <w:rFonts w:ascii="Calibri" w:hAnsi="Calibri" w:cs="Calibri"/>
        </w:rPr>
      </w:pPr>
      <w:r w:rsidRPr="005B5393">
        <w:rPr>
          <w:rFonts w:ascii="Calibri" w:hAnsi="Calibri" w:cs="Calibri"/>
        </w:rPr>
        <w:t xml:space="preserve">Dai, J., &amp; </w:t>
      </w:r>
      <w:proofErr w:type="spellStart"/>
      <w:r w:rsidRPr="005B5393">
        <w:rPr>
          <w:rFonts w:ascii="Calibri" w:hAnsi="Calibri" w:cs="Calibri"/>
        </w:rPr>
        <w:t>Vasarhelyi</w:t>
      </w:r>
      <w:proofErr w:type="spellEnd"/>
      <w:r w:rsidRPr="005B5393">
        <w:rPr>
          <w:rFonts w:ascii="Calibri" w:hAnsi="Calibri" w:cs="Calibri"/>
        </w:rPr>
        <w:t xml:space="preserve">, M. A. (2017). Toward blockchain-based accounting and assurance. </w:t>
      </w:r>
      <w:r w:rsidRPr="005B5393">
        <w:rPr>
          <w:rFonts w:ascii="Calibri" w:hAnsi="Calibri" w:cs="Calibri"/>
          <w:i/>
          <w:iCs/>
        </w:rPr>
        <w:t>Journal of Information Systems</w:t>
      </w:r>
      <w:r w:rsidRPr="005B5393">
        <w:rPr>
          <w:rFonts w:ascii="Calibri" w:hAnsi="Calibri" w:cs="Calibri"/>
        </w:rPr>
        <w:t xml:space="preserve">, 31(3), 5–21. </w:t>
      </w:r>
      <w:hyperlink r:id="rId10" w:tgtFrame="_new" w:history="1">
        <w:r w:rsidRPr="005B5393">
          <w:rPr>
            <w:rStyle w:val="Hyperlink"/>
            <w:rFonts w:ascii="Calibri" w:hAnsi="Calibri" w:cs="Calibri"/>
          </w:rPr>
          <w:t>https://doi.org/10.2308/isys-51804</w:t>
        </w:r>
      </w:hyperlink>
    </w:p>
    <w:p w14:paraId="6292250A" w14:textId="77777777" w:rsidR="005B5393" w:rsidRPr="005B5393" w:rsidRDefault="005B5393" w:rsidP="005B5393">
      <w:pPr>
        <w:rPr>
          <w:rFonts w:ascii="Calibri" w:hAnsi="Calibri" w:cs="Calibri"/>
        </w:rPr>
      </w:pPr>
      <w:r w:rsidRPr="005B5393">
        <w:rPr>
          <w:rFonts w:ascii="Calibri" w:hAnsi="Calibri" w:cs="Calibri"/>
        </w:rPr>
        <w:t xml:space="preserve">Yamey, B. S. (1949). Scientific bookkeeping and the rise of capitalism. </w:t>
      </w:r>
      <w:r w:rsidRPr="005B5393">
        <w:rPr>
          <w:rFonts w:ascii="Calibri" w:hAnsi="Calibri" w:cs="Calibri"/>
          <w:i/>
          <w:iCs/>
        </w:rPr>
        <w:t>The Economic History Review</w:t>
      </w:r>
      <w:r w:rsidRPr="005B5393">
        <w:rPr>
          <w:rFonts w:ascii="Calibri" w:hAnsi="Calibri" w:cs="Calibri"/>
        </w:rPr>
        <w:t>, 1(2/3), 99–113. https://doi.org/10.2307/2590488</w:t>
      </w:r>
    </w:p>
    <w:p w14:paraId="1BA3DD95" w14:textId="77777777" w:rsidR="005B5393" w:rsidRPr="005B5393" w:rsidRDefault="005B5393" w:rsidP="005B5393">
      <w:pPr>
        <w:rPr>
          <w:rFonts w:ascii="Calibri" w:hAnsi="Calibri" w:cs="Calibri"/>
        </w:rPr>
      </w:pPr>
      <w:proofErr w:type="spellStart"/>
      <w:r w:rsidRPr="005B5393">
        <w:rPr>
          <w:rFonts w:ascii="Calibri" w:hAnsi="Calibri" w:cs="Calibri"/>
        </w:rPr>
        <w:t>Kieso</w:t>
      </w:r>
      <w:proofErr w:type="spellEnd"/>
      <w:r w:rsidRPr="005B5393">
        <w:rPr>
          <w:rFonts w:ascii="Calibri" w:hAnsi="Calibri" w:cs="Calibri"/>
        </w:rPr>
        <w:t xml:space="preserve">, D. E., Weygandt, J. J., &amp; Warfield, T. D. (2020). </w:t>
      </w:r>
      <w:r w:rsidRPr="005B5393">
        <w:rPr>
          <w:rFonts w:ascii="Calibri" w:hAnsi="Calibri" w:cs="Calibri"/>
          <w:i/>
          <w:iCs/>
        </w:rPr>
        <w:t>Intermediate accounting</w:t>
      </w:r>
      <w:r w:rsidRPr="005B5393">
        <w:rPr>
          <w:rFonts w:ascii="Calibri" w:hAnsi="Calibri" w:cs="Calibri"/>
        </w:rPr>
        <w:t xml:space="preserve"> (17th ed.). Wiley.</w:t>
      </w:r>
    </w:p>
    <w:p w14:paraId="787854A6" w14:textId="77777777" w:rsidR="005B5393" w:rsidRPr="005B5393" w:rsidRDefault="005B5393" w:rsidP="005B5393">
      <w:pPr>
        <w:rPr>
          <w:rFonts w:ascii="Calibri" w:hAnsi="Calibri" w:cs="Calibri"/>
        </w:rPr>
      </w:pPr>
      <w:r w:rsidRPr="005B5393">
        <w:rPr>
          <w:rFonts w:ascii="Calibri" w:hAnsi="Calibri" w:cs="Calibri"/>
        </w:rPr>
        <w:t xml:space="preserve">Healy, P. M., &amp; Palepu, K. G. (2003). The fall of Enron. </w:t>
      </w:r>
      <w:r w:rsidRPr="005B5393">
        <w:rPr>
          <w:rFonts w:ascii="Calibri" w:hAnsi="Calibri" w:cs="Calibri"/>
          <w:i/>
          <w:iCs/>
        </w:rPr>
        <w:t>Journal of Economic Perspectives</w:t>
      </w:r>
      <w:r w:rsidRPr="005B5393">
        <w:rPr>
          <w:rFonts w:ascii="Calibri" w:hAnsi="Calibri" w:cs="Calibri"/>
        </w:rPr>
        <w:t>, 17(2), 3–26. https://doi.org/10.1257/089533003765888403</w:t>
      </w:r>
    </w:p>
    <w:p w14:paraId="07537D18" w14:textId="77777777" w:rsidR="00071966" w:rsidRPr="005B5393" w:rsidRDefault="00071966">
      <w:pPr>
        <w:rPr>
          <w:rFonts w:ascii="Calibri" w:hAnsi="Calibri" w:cs="Calibri"/>
        </w:rPr>
      </w:pPr>
    </w:p>
    <w:sectPr w:rsidR="00071966" w:rsidRPr="005B53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966"/>
    <w:rsid w:val="00071966"/>
    <w:rsid w:val="00406815"/>
    <w:rsid w:val="005B5393"/>
    <w:rsid w:val="00605D87"/>
    <w:rsid w:val="007D35A9"/>
    <w:rsid w:val="00EC562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25B33"/>
  <w15:chartTrackingRefBased/>
  <w15:docId w15:val="{6C9B5250-A77A-41C5-AB2C-D10EEA41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966"/>
  </w:style>
  <w:style w:type="paragraph" w:styleId="Heading1">
    <w:name w:val="heading 1"/>
    <w:basedOn w:val="Normal"/>
    <w:next w:val="Normal"/>
    <w:link w:val="Heading1Char"/>
    <w:uiPriority w:val="9"/>
    <w:qFormat/>
    <w:rsid w:val="00071966"/>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71966"/>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71966"/>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719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19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19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19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19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19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966"/>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71966"/>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71966"/>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719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19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19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19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19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1966"/>
    <w:rPr>
      <w:rFonts w:eastAsiaTheme="majorEastAsia" w:cstheme="majorBidi"/>
      <w:color w:val="272727" w:themeColor="text1" w:themeTint="D8"/>
    </w:rPr>
  </w:style>
  <w:style w:type="paragraph" w:styleId="Title">
    <w:name w:val="Title"/>
    <w:basedOn w:val="Normal"/>
    <w:next w:val="Normal"/>
    <w:link w:val="TitleChar"/>
    <w:uiPriority w:val="10"/>
    <w:qFormat/>
    <w:rsid w:val="00071966"/>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71966"/>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71966"/>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71966"/>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71966"/>
    <w:pPr>
      <w:spacing w:before="160"/>
      <w:jc w:val="center"/>
    </w:pPr>
    <w:rPr>
      <w:i/>
      <w:iCs/>
      <w:color w:val="404040" w:themeColor="text1" w:themeTint="BF"/>
    </w:rPr>
  </w:style>
  <w:style w:type="character" w:customStyle="1" w:styleId="QuoteChar">
    <w:name w:val="Quote Char"/>
    <w:basedOn w:val="DefaultParagraphFont"/>
    <w:link w:val="Quote"/>
    <w:uiPriority w:val="29"/>
    <w:rsid w:val="00071966"/>
    <w:rPr>
      <w:i/>
      <w:iCs/>
      <w:color w:val="404040" w:themeColor="text1" w:themeTint="BF"/>
    </w:rPr>
  </w:style>
  <w:style w:type="paragraph" w:styleId="ListParagraph">
    <w:name w:val="List Paragraph"/>
    <w:basedOn w:val="Normal"/>
    <w:uiPriority w:val="34"/>
    <w:qFormat/>
    <w:rsid w:val="00071966"/>
    <w:pPr>
      <w:ind w:left="720"/>
      <w:contextualSpacing/>
    </w:pPr>
  </w:style>
  <w:style w:type="character" w:styleId="IntenseEmphasis">
    <w:name w:val="Intense Emphasis"/>
    <w:basedOn w:val="DefaultParagraphFont"/>
    <w:uiPriority w:val="21"/>
    <w:qFormat/>
    <w:rsid w:val="00071966"/>
    <w:rPr>
      <w:i/>
      <w:iCs/>
      <w:color w:val="0F4761" w:themeColor="accent1" w:themeShade="BF"/>
    </w:rPr>
  </w:style>
  <w:style w:type="paragraph" w:styleId="IntenseQuote">
    <w:name w:val="Intense Quote"/>
    <w:basedOn w:val="Normal"/>
    <w:next w:val="Normal"/>
    <w:link w:val="IntenseQuoteChar"/>
    <w:uiPriority w:val="30"/>
    <w:qFormat/>
    <w:rsid w:val="000719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1966"/>
    <w:rPr>
      <w:i/>
      <w:iCs/>
      <w:color w:val="0F4761" w:themeColor="accent1" w:themeShade="BF"/>
    </w:rPr>
  </w:style>
  <w:style w:type="character" w:styleId="IntenseReference">
    <w:name w:val="Intense Reference"/>
    <w:basedOn w:val="DefaultParagraphFont"/>
    <w:uiPriority w:val="32"/>
    <w:qFormat/>
    <w:rsid w:val="00071966"/>
    <w:rPr>
      <w:b/>
      <w:bCs/>
      <w:smallCaps/>
      <w:color w:val="0F4761" w:themeColor="accent1" w:themeShade="BF"/>
      <w:spacing w:val="5"/>
    </w:rPr>
  </w:style>
  <w:style w:type="character" w:styleId="Hyperlink">
    <w:name w:val="Hyperlink"/>
    <w:basedOn w:val="DefaultParagraphFont"/>
    <w:uiPriority w:val="99"/>
    <w:unhideWhenUsed/>
    <w:rsid w:val="00071966"/>
    <w:rPr>
      <w:color w:val="467886" w:themeColor="hyperlink"/>
      <w:u w:val="single"/>
    </w:rPr>
  </w:style>
  <w:style w:type="paragraph" w:styleId="TOCHeading">
    <w:name w:val="TOC Heading"/>
    <w:basedOn w:val="Heading1"/>
    <w:next w:val="Normal"/>
    <w:uiPriority w:val="39"/>
    <w:unhideWhenUsed/>
    <w:qFormat/>
    <w:rsid w:val="00071966"/>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071966"/>
    <w:pPr>
      <w:spacing w:after="100"/>
      <w:ind w:left="240"/>
    </w:pPr>
  </w:style>
  <w:style w:type="character" w:styleId="UnresolvedMention">
    <w:name w:val="Unresolved Mention"/>
    <w:basedOn w:val="DefaultParagraphFont"/>
    <w:uiPriority w:val="99"/>
    <w:semiHidden/>
    <w:unhideWhenUsed/>
    <w:rsid w:val="005B5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acch-51071" TargetMode="External"/><Relationship Id="rId3" Type="http://schemas.openxmlformats.org/officeDocument/2006/relationships/webSettings" Target="webSettings.xml"/><Relationship Id="rId7" Type="http://schemas.openxmlformats.org/officeDocument/2006/relationships/hyperlink" Target="https://doi.org/10.2308/jeta-5191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0014788.2006.9730040"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doi.org/10.2308/isys-51804" TargetMode="External"/><Relationship Id="rId4" Type="http://schemas.openxmlformats.org/officeDocument/2006/relationships/image" Target="media/image1.png"/><Relationship Id="rId9" Type="http://schemas.openxmlformats.org/officeDocument/2006/relationships/hyperlink" Target="https://doi.org/10.2308/jeta-10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5176</Words>
  <Characters>29504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2026-03-20T07:40:00Z</dcterms:created>
  <dcterms:modified xsi:type="dcterms:W3CDTF">2026-03-20T07:59:00Z</dcterms:modified>
</cp:coreProperties>
</file>