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431A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C1A138" w14:textId="77777777" w:rsidR="00672345" w:rsidRPr="0019504D" w:rsidRDefault="00672345" w:rsidP="00672345">
      <w:pPr>
        <w:rPr>
          <w:b/>
          <w:bCs/>
          <w:lang w:val="en-US"/>
        </w:rPr>
      </w:pPr>
      <w:r>
        <w:rPr>
          <w:b/>
          <w:bCs/>
          <w:lang w:val="en-US"/>
        </w:rPr>
        <w:t xml:space="preserve">Cultural Heritage Management </w:t>
      </w:r>
    </w:p>
    <w:p w14:paraId="0252BB1D"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A057BE">
        <w:rPr>
          <w:lang w:val="en-US"/>
        </w:rPr>
        <w:t>7</w:t>
      </w:r>
    </w:p>
    <w:p w14:paraId="3AE0EBE0" w14:textId="77777777" w:rsidR="00672345" w:rsidRPr="0019504D" w:rsidRDefault="007C7917" w:rsidP="00672345">
      <w:pPr>
        <w:rPr>
          <w:lang w:val="en-US"/>
        </w:rPr>
      </w:pPr>
      <w:r>
        <w:rPr>
          <w:lang w:val="en-US"/>
        </w:rPr>
        <w:t>2</w:t>
      </w:r>
      <w:r w:rsidR="00A057BE">
        <w:rPr>
          <w:lang w:val="en-US"/>
        </w:rPr>
        <w:t>7</w:t>
      </w:r>
      <w:r w:rsidR="00672345">
        <w:rPr>
          <w:lang w:val="en-US"/>
        </w:rPr>
        <w:t>.0</w:t>
      </w:r>
      <w:r w:rsidR="00C80777">
        <w:rPr>
          <w:lang w:val="en-US"/>
        </w:rPr>
        <w:t>5</w:t>
      </w:r>
      <w:r w:rsidR="00672345">
        <w:rPr>
          <w:lang w:val="en-US"/>
        </w:rPr>
        <w:t>.2026</w:t>
      </w:r>
    </w:p>
    <w:p w14:paraId="61C5CDE3" w14:textId="77777777" w:rsidR="00672345" w:rsidRDefault="00672345"/>
    <w:p w14:paraId="7C786251" w14:textId="77777777" w:rsidR="00672345" w:rsidRDefault="00672345"/>
    <w:p w14:paraId="3160AA00" w14:textId="77777777" w:rsidR="00672345" w:rsidRDefault="00672345"/>
    <w:p w14:paraId="64667D1E" w14:textId="77777777" w:rsidR="00672345" w:rsidRDefault="00672345"/>
    <w:p w14:paraId="4ADACDCD" w14:textId="77777777" w:rsidR="00672345" w:rsidRDefault="00672345"/>
    <w:p w14:paraId="47160C83" w14:textId="77777777" w:rsidR="00672345" w:rsidRDefault="00672345"/>
    <w:p w14:paraId="33EACBAB" w14:textId="77777777" w:rsidR="00672345" w:rsidRDefault="00672345"/>
    <w:p w14:paraId="51941CF0" w14:textId="77777777" w:rsidR="00672345" w:rsidRDefault="00672345"/>
    <w:p w14:paraId="3A26F768" w14:textId="77777777" w:rsidR="00672345" w:rsidRDefault="00672345"/>
    <w:p w14:paraId="03EE30EB" w14:textId="77777777" w:rsidR="00672345" w:rsidRDefault="00672345"/>
    <w:p w14:paraId="63D75C91" w14:textId="77777777" w:rsidR="00672345" w:rsidRDefault="00672345"/>
    <w:p w14:paraId="58072587" w14:textId="77777777" w:rsidR="00672345" w:rsidRDefault="00672345"/>
    <w:p w14:paraId="253799BD" w14:textId="77777777" w:rsidR="00672345" w:rsidRDefault="00672345"/>
    <w:p w14:paraId="6111BE80"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00C62259" w14:textId="77777777" w:rsidR="00016EE8" w:rsidRDefault="00016EE8" w:rsidP="00016EE8">
      <w:pPr>
        <w:rPr>
          <w:lang w:val="en-US"/>
        </w:rPr>
      </w:pPr>
    </w:p>
    <w:p w14:paraId="4C206EBF" w14:textId="77777777" w:rsidR="00A057BE" w:rsidRPr="007C7917" w:rsidRDefault="007C7917" w:rsidP="00A057BE">
      <w:pPr>
        <w:spacing w:line="276" w:lineRule="auto"/>
        <w:rPr>
          <w:lang w:val="en-US"/>
        </w:rPr>
      </w:pPr>
      <w:r>
        <w:rPr>
          <w:lang w:val="en-US"/>
        </w:rPr>
        <w:t xml:space="preserve">1- </w:t>
      </w:r>
      <w:r w:rsidR="00A057BE" w:rsidRPr="00A057BE">
        <w:rPr>
          <w:lang w:val="en-US"/>
        </w:rPr>
        <w:t>Select a cultural site and discuss the impacts of a proposed measure on this site within the framework of conducting a cultural heritage impact assessment.</w:t>
      </w:r>
    </w:p>
    <w:p w14:paraId="13457AFE" w14:textId="77777777" w:rsidR="00CF34F8" w:rsidRDefault="00CF34F8" w:rsidP="00A057BE">
      <w:pPr>
        <w:spacing w:line="276" w:lineRule="auto"/>
        <w:rPr>
          <w:lang w:val="en-US"/>
        </w:rPr>
      </w:pPr>
    </w:p>
    <w:p w14:paraId="7FE44A0A" w14:textId="77777777" w:rsidR="00E46841" w:rsidRDefault="00E46841" w:rsidP="00A057BE">
      <w:pPr>
        <w:spacing w:line="276" w:lineRule="auto"/>
        <w:rPr>
          <w:lang w:val="en-US"/>
        </w:rPr>
      </w:pPr>
    </w:p>
    <w:p w14:paraId="41E31836" w14:textId="77777777" w:rsidR="00E46841" w:rsidRDefault="00E46841" w:rsidP="00A057BE">
      <w:pPr>
        <w:spacing w:line="276" w:lineRule="auto"/>
        <w:rPr>
          <w:lang w:val="en-US"/>
        </w:rPr>
      </w:pPr>
    </w:p>
    <w:p w14:paraId="5B3AAB84" w14:textId="77777777" w:rsidR="00E46841" w:rsidRDefault="00E46841" w:rsidP="00A057BE">
      <w:pPr>
        <w:spacing w:line="276" w:lineRule="auto"/>
        <w:rPr>
          <w:lang w:val="en-US"/>
        </w:rPr>
      </w:pPr>
    </w:p>
    <w:p w14:paraId="580691B4" w14:textId="77777777" w:rsidR="00E46841" w:rsidRDefault="00E46841" w:rsidP="00A057BE">
      <w:pPr>
        <w:spacing w:line="276" w:lineRule="auto"/>
        <w:rPr>
          <w:lang w:val="en-US"/>
        </w:rPr>
      </w:pPr>
    </w:p>
    <w:p w14:paraId="0AFC7C1B" w14:textId="77777777" w:rsidR="00E46841" w:rsidRDefault="00E46841" w:rsidP="00A057BE">
      <w:pPr>
        <w:spacing w:line="276" w:lineRule="auto"/>
        <w:rPr>
          <w:lang w:val="en-US"/>
        </w:rPr>
      </w:pPr>
    </w:p>
    <w:p w14:paraId="760BDB50" w14:textId="77777777" w:rsidR="00E46841" w:rsidRDefault="00E46841" w:rsidP="00A057BE">
      <w:pPr>
        <w:spacing w:line="276" w:lineRule="auto"/>
        <w:rPr>
          <w:lang w:val="en-US"/>
        </w:rPr>
      </w:pPr>
    </w:p>
    <w:p w14:paraId="7BEAF324" w14:textId="77777777" w:rsidR="00E46841" w:rsidRDefault="00E46841" w:rsidP="00A057BE">
      <w:pPr>
        <w:spacing w:line="276" w:lineRule="auto"/>
        <w:rPr>
          <w:lang w:val="en-US"/>
        </w:rPr>
      </w:pPr>
    </w:p>
    <w:p w14:paraId="35F26287" w14:textId="77777777" w:rsidR="00E46841" w:rsidRDefault="00E46841" w:rsidP="00A057BE">
      <w:pPr>
        <w:spacing w:line="276" w:lineRule="auto"/>
        <w:rPr>
          <w:lang w:val="en-US"/>
        </w:rPr>
      </w:pPr>
    </w:p>
    <w:p w14:paraId="491379F3" w14:textId="77777777" w:rsidR="00E46841" w:rsidRDefault="00E46841" w:rsidP="00A057BE">
      <w:pPr>
        <w:spacing w:line="276" w:lineRule="auto"/>
        <w:rPr>
          <w:lang w:val="en-US"/>
        </w:rPr>
      </w:pPr>
    </w:p>
    <w:p w14:paraId="52385662" w14:textId="77777777" w:rsidR="00E46841" w:rsidRDefault="00E46841" w:rsidP="00A057BE">
      <w:pPr>
        <w:spacing w:line="276" w:lineRule="auto"/>
        <w:rPr>
          <w:lang w:val="en-US"/>
        </w:rPr>
      </w:pPr>
    </w:p>
    <w:p w14:paraId="59E90ED3" w14:textId="77777777" w:rsidR="00E46841" w:rsidRDefault="00E46841" w:rsidP="00A057BE">
      <w:pPr>
        <w:spacing w:line="276" w:lineRule="auto"/>
        <w:rPr>
          <w:lang w:val="en-US"/>
        </w:rPr>
      </w:pPr>
    </w:p>
    <w:p w14:paraId="30AAE3F1" w14:textId="77777777" w:rsidR="00E46841" w:rsidRDefault="00E46841" w:rsidP="00A057BE">
      <w:pPr>
        <w:spacing w:line="276" w:lineRule="auto"/>
        <w:rPr>
          <w:lang w:val="en-US"/>
        </w:rPr>
      </w:pPr>
    </w:p>
    <w:p w14:paraId="7C614EDC" w14:textId="77777777" w:rsidR="00E46841" w:rsidRDefault="00E46841" w:rsidP="00A057BE">
      <w:pPr>
        <w:spacing w:line="276" w:lineRule="auto"/>
        <w:rPr>
          <w:lang w:val="en-US"/>
        </w:rPr>
      </w:pPr>
    </w:p>
    <w:p w14:paraId="7EA23298" w14:textId="77777777" w:rsidR="00E46841" w:rsidRDefault="00E46841" w:rsidP="00A057BE">
      <w:pPr>
        <w:spacing w:line="276" w:lineRule="auto"/>
        <w:rPr>
          <w:lang w:val="en-US"/>
        </w:rPr>
      </w:pPr>
    </w:p>
    <w:p w14:paraId="3E2F0D55" w14:textId="77777777" w:rsidR="00E46841" w:rsidRDefault="00E46841" w:rsidP="00A057BE">
      <w:pPr>
        <w:spacing w:line="276" w:lineRule="auto"/>
        <w:rPr>
          <w:lang w:val="en-US"/>
        </w:rPr>
      </w:pPr>
    </w:p>
    <w:p w14:paraId="02C93171" w14:textId="77777777" w:rsidR="00E46841" w:rsidRDefault="00E46841" w:rsidP="00A057BE">
      <w:pPr>
        <w:spacing w:line="276" w:lineRule="auto"/>
        <w:rPr>
          <w:lang w:val="en-US"/>
        </w:rPr>
      </w:pPr>
    </w:p>
    <w:p w14:paraId="22BC43BA" w14:textId="77777777" w:rsidR="00E46841" w:rsidRDefault="00E46841" w:rsidP="00A057BE">
      <w:pPr>
        <w:spacing w:line="276" w:lineRule="auto"/>
        <w:rPr>
          <w:lang w:val="en-US"/>
        </w:rPr>
      </w:pPr>
    </w:p>
    <w:p w14:paraId="442CA340" w14:textId="77777777" w:rsidR="00E46841" w:rsidRDefault="00E46841" w:rsidP="00A057BE">
      <w:pPr>
        <w:spacing w:line="276" w:lineRule="auto"/>
        <w:rPr>
          <w:lang w:val="en-US"/>
        </w:rPr>
      </w:pPr>
    </w:p>
    <w:p w14:paraId="5C806D22" w14:textId="77777777" w:rsidR="00E46841" w:rsidRDefault="00E46841" w:rsidP="00A057BE">
      <w:pPr>
        <w:spacing w:line="276" w:lineRule="auto"/>
        <w:rPr>
          <w:lang w:val="en-US"/>
        </w:rPr>
      </w:pPr>
    </w:p>
    <w:p w14:paraId="61A807E1" w14:textId="77777777" w:rsidR="00E46841" w:rsidRDefault="00E46841" w:rsidP="00A057BE">
      <w:pPr>
        <w:spacing w:line="276" w:lineRule="auto"/>
        <w:rPr>
          <w:lang w:val="en-US"/>
        </w:rPr>
      </w:pPr>
    </w:p>
    <w:p w14:paraId="5CF32EA7" w14:textId="77777777" w:rsidR="00E46841" w:rsidRDefault="00E46841" w:rsidP="00A057BE">
      <w:pPr>
        <w:spacing w:line="276" w:lineRule="auto"/>
        <w:rPr>
          <w:lang w:val="en-US"/>
        </w:rPr>
      </w:pPr>
    </w:p>
    <w:p w14:paraId="4D892BC6" w14:textId="77777777" w:rsidR="00667B61" w:rsidRDefault="00667B61" w:rsidP="00667B61">
      <w:pPr>
        <w:spacing w:line="276" w:lineRule="auto"/>
        <w:rPr>
          <w:b/>
          <w:bCs/>
          <w:lang w:val="en-GB"/>
        </w:rPr>
      </w:pPr>
      <w:r w:rsidRPr="00667B61">
        <w:rPr>
          <w:b/>
          <w:bCs/>
          <w:lang w:val="en-GB"/>
        </w:rPr>
        <w:lastRenderedPageBreak/>
        <w:t>Cultural Heritage Impact Assessment of Machu Picchu, Peru</w:t>
      </w:r>
    </w:p>
    <w:p w14:paraId="0830EE0A" w14:textId="2B9EA0D4" w:rsidR="00667B61" w:rsidRPr="00667B61" w:rsidRDefault="00667B61" w:rsidP="00667B61">
      <w:pPr>
        <w:spacing w:line="276" w:lineRule="auto"/>
        <w:rPr>
          <w:b/>
          <w:bCs/>
          <w:lang w:val="en-GB"/>
        </w:rPr>
      </w:pPr>
    </w:p>
    <w:p w14:paraId="22612E70" w14:textId="77777777" w:rsidR="00667B61" w:rsidRPr="00667B61" w:rsidRDefault="00667B61" w:rsidP="00667B61">
      <w:pPr>
        <w:spacing w:line="276" w:lineRule="auto"/>
        <w:rPr>
          <w:lang w:val="en-GB"/>
        </w:rPr>
      </w:pPr>
      <w:r w:rsidRPr="00667B61">
        <w:rPr>
          <w:lang w:val="en-GB"/>
        </w:rPr>
        <w:t>Machu Picchu, located in the Andes Mountains of Peru, is one of the most iconic archaeological sites in the world and a UNESCO World Heritage Site. Built by the Inca civilization in the fifteenth century, the site is celebrated for its exceptional architecture, engineering, and cultural significance. Due to increasing tourist demand, a proposed measure involves the construction of an additional cable car system to improve access and accommodate a larger number of visitors. A Cultural Heritage Impact Assessment (CHIA) is essential to evaluate the potential effects of this proposal on the site's cultural and environmental values.</w:t>
      </w:r>
    </w:p>
    <w:p w14:paraId="053F3A8F" w14:textId="77777777" w:rsidR="00667B61" w:rsidRPr="00667B61" w:rsidRDefault="00667B61" w:rsidP="00667B61">
      <w:pPr>
        <w:spacing w:line="276" w:lineRule="auto"/>
        <w:rPr>
          <w:lang w:val="en-GB"/>
        </w:rPr>
      </w:pPr>
      <w:r w:rsidRPr="00667B61">
        <w:rPr>
          <w:lang w:val="en-GB"/>
        </w:rPr>
        <w:t>A Cultural Heritage Impact Assessment is a systematic process used to identify, assess, and manage the impacts of development projects on cultural heritage resources. The assessment considers how proposed activities may affect a site's authenticity, integrity, and Outstanding Universal Value while recommending measures to avoid or mitigate adverse impacts (ICOMOS, 2011).</w:t>
      </w:r>
    </w:p>
    <w:p w14:paraId="65B63871" w14:textId="77777777" w:rsidR="00667B61" w:rsidRPr="00667B61" w:rsidRDefault="00667B61" w:rsidP="00667B61">
      <w:pPr>
        <w:spacing w:line="276" w:lineRule="auto"/>
        <w:rPr>
          <w:lang w:val="en-GB"/>
        </w:rPr>
      </w:pPr>
      <w:r w:rsidRPr="00667B61">
        <w:rPr>
          <w:lang w:val="en-GB"/>
        </w:rPr>
        <w:t>The proposed cable car system could offer several advantages. Improved accessibility would allow more visitors, including elderly individuals and people with mobility limitations, to experience the site. The project could also stimulate economic growth by increasing tourism revenues and creating employment opportunities for local communities. Furthermore, a well-designed transportation system could reduce pressure on existing access routes and potentially lower environmental degradation along heavily used hiking trails (Leask &amp; Fyall, 2006).</w:t>
      </w:r>
    </w:p>
    <w:p w14:paraId="1AA0459B" w14:textId="77777777" w:rsidR="00667B61" w:rsidRPr="00667B61" w:rsidRDefault="00667B61" w:rsidP="00667B61">
      <w:pPr>
        <w:spacing w:line="276" w:lineRule="auto"/>
        <w:rPr>
          <w:lang w:val="en-GB"/>
        </w:rPr>
      </w:pPr>
      <w:r w:rsidRPr="00667B61">
        <w:rPr>
          <w:lang w:val="en-GB"/>
        </w:rPr>
        <w:t>However, the project may also generate significant negative impacts. One major concern is the potential alteration of the cultural landscape surrounding Machu Picchu. The site's value is closely connected to its dramatic mountain setting and harmonious relationship with the natural environment. The construction of cable car stations, support towers, and associated infrastructure could disrupt scenic views and diminish the visual integrity of the heritage property (UNESCO, 2023).</w:t>
      </w:r>
    </w:p>
    <w:p w14:paraId="119B1D22" w14:textId="77777777" w:rsidR="00667B61" w:rsidRPr="00667B61" w:rsidRDefault="00667B61" w:rsidP="00667B61">
      <w:pPr>
        <w:spacing w:line="276" w:lineRule="auto"/>
        <w:rPr>
          <w:lang w:val="en-GB"/>
        </w:rPr>
      </w:pPr>
      <w:r w:rsidRPr="00667B61">
        <w:rPr>
          <w:lang w:val="en-GB"/>
        </w:rPr>
        <w:t>Increased accessibility may also result in excessive visitor numbers. Over-tourism has already been identified as a significant challenge at Machu Picchu. A larger tourist population could accelerate the deterioration of archaeological structures through physical wear, soil erosion, and increased waste generation. The fragile terraces and pathways that characterize the site may experience additional stress, potentially threatening their long-term preservation. Moreover, the increased commercialisation associated with mass tourism could affect local traditions and alter the cultural atmosphere of the region (Su &amp; Lin, 2014).</w:t>
      </w:r>
    </w:p>
    <w:p w14:paraId="06B96251" w14:textId="77777777" w:rsidR="00667B61" w:rsidRPr="00667B61" w:rsidRDefault="00667B61" w:rsidP="00667B61">
      <w:pPr>
        <w:spacing w:line="276" w:lineRule="auto"/>
        <w:rPr>
          <w:lang w:val="en-GB"/>
        </w:rPr>
      </w:pPr>
      <w:r w:rsidRPr="00667B61">
        <w:rPr>
          <w:lang w:val="en-GB"/>
        </w:rPr>
        <w:t xml:space="preserve">Within the CHIA framework, mitigation measures should be incorporated into project planning. Detailed archaeological and environmental studies should be undertaken before any construction begins. Infrastructure should be designed to blend with the surrounding landscape and minimise visual intrusion. Visitor management strategies, such as daily visitor caps, timed entry systems, and designated movement routes, can help reduce pressure on sensitive areas. Continuous monitoring and stakeholder engagement, including consultation </w:t>
      </w:r>
      <w:r w:rsidRPr="00667B61">
        <w:rPr>
          <w:lang w:val="en-GB"/>
        </w:rPr>
        <w:lastRenderedPageBreak/>
        <w:t>with local communities, heritage experts, and conservation authorities, are also critical for ensuring sustainable heritage management.</w:t>
      </w:r>
    </w:p>
    <w:p w14:paraId="10FD8369" w14:textId="77777777" w:rsidR="00667B61" w:rsidRDefault="00667B61" w:rsidP="00667B61">
      <w:pPr>
        <w:spacing w:line="276" w:lineRule="auto"/>
        <w:rPr>
          <w:lang w:val="en-GB"/>
        </w:rPr>
      </w:pPr>
      <w:r w:rsidRPr="00667B61">
        <w:rPr>
          <w:lang w:val="en-GB"/>
        </w:rPr>
        <w:t>In conclusion, while the proposed cable car system could improve accessibility and generate economic benefits, it also presents risks to the authenticity, integrity, and cultural landscape of Machu Picchu. A comprehensive Cultural Heritage Impact Assessment provides a valuable framework for balancing development objectives with the preservation of one of the world's most significant archaeological sites.</w:t>
      </w:r>
    </w:p>
    <w:p w14:paraId="51A5D5B8" w14:textId="77777777" w:rsidR="00667B61" w:rsidRDefault="00667B61" w:rsidP="00667B61">
      <w:pPr>
        <w:spacing w:line="276" w:lineRule="auto"/>
        <w:rPr>
          <w:lang w:val="en-GB"/>
        </w:rPr>
      </w:pPr>
    </w:p>
    <w:p w14:paraId="6D0307DD" w14:textId="77777777" w:rsidR="00667B61" w:rsidRPr="00667B61" w:rsidRDefault="00667B61" w:rsidP="00667B61">
      <w:pPr>
        <w:spacing w:line="276" w:lineRule="auto"/>
        <w:rPr>
          <w:lang w:val="en-GB"/>
        </w:rPr>
      </w:pPr>
    </w:p>
    <w:p w14:paraId="68A71FA5" w14:textId="77777777" w:rsidR="00667B61" w:rsidRDefault="00667B61" w:rsidP="00667B61">
      <w:pPr>
        <w:spacing w:line="276" w:lineRule="auto"/>
        <w:rPr>
          <w:b/>
          <w:bCs/>
          <w:lang w:val="en-GB"/>
        </w:rPr>
      </w:pPr>
      <w:r w:rsidRPr="00667B61">
        <w:rPr>
          <w:b/>
          <w:bCs/>
          <w:lang w:val="en-GB"/>
        </w:rPr>
        <w:t>References</w:t>
      </w:r>
    </w:p>
    <w:p w14:paraId="5FDA326A" w14:textId="77777777" w:rsidR="00667B61" w:rsidRPr="00667B61" w:rsidRDefault="00667B61" w:rsidP="00667B61">
      <w:pPr>
        <w:spacing w:line="276" w:lineRule="auto"/>
        <w:rPr>
          <w:b/>
          <w:bCs/>
          <w:lang w:val="en-GB"/>
        </w:rPr>
      </w:pPr>
    </w:p>
    <w:p w14:paraId="6E75E83C" w14:textId="77777777" w:rsidR="00667B61" w:rsidRPr="00667B61" w:rsidRDefault="00667B61" w:rsidP="00667B61">
      <w:pPr>
        <w:numPr>
          <w:ilvl w:val="0"/>
          <w:numId w:val="7"/>
        </w:numPr>
        <w:spacing w:line="276" w:lineRule="auto"/>
        <w:rPr>
          <w:lang w:val="en-GB"/>
        </w:rPr>
      </w:pPr>
      <w:r w:rsidRPr="00667B61">
        <w:rPr>
          <w:lang w:val="en-GB"/>
        </w:rPr>
        <w:t xml:space="preserve">ICOMOS. (2011). </w:t>
      </w:r>
      <w:r w:rsidRPr="00667B61">
        <w:rPr>
          <w:i/>
          <w:iCs/>
          <w:lang w:val="en-GB"/>
        </w:rPr>
        <w:t>Guidance on Heritage Impact Assessments for Cultural World Heritage Properties</w:t>
      </w:r>
      <w:r w:rsidRPr="00667B61">
        <w:rPr>
          <w:lang w:val="en-GB"/>
        </w:rPr>
        <w:t>. International Council on Monuments and Sites.</w:t>
      </w:r>
    </w:p>
    <w:p w14:paraId="3C5B4A32" w14:textId="77777777" w:rsidR="00667B61" w:rsidRPr="00667B61" w:rsidRDefault="00667B61" w:rsidP="00667B61">
      <w:pPr>
        <w:numPr>
          <w:ilvl w:val="0"/>
          <w:numId w:val="7"/>
        </w:numPr>
        <w:spacing w:line="276" w:lineRule="auto"/>
        <w:rPr>
          <w:lang w:val="en-GB"/>
        </w:rPr>
      </w:pPr>
      <w:r w:rsidRPr="00667B61">
        <w:rPr>
          <w:lang w:val="en-GB"/>
        </w:rPr>
        <w:t xml:space="preserve">Leask, A., &amp; Fyall, A. (2006). </w:t>
      </w:r>
      <w:r w:rsidRPr="00667B61">
        <w:rPr>
          <w:i/>
          <w:iCs/>
          <w:lang w:val="en-GB"/>
        </w:rPr>
        <w:t>Managing World Heritage Sites</w:t>
      </w:r>
      <w:r w:rsidRPr="00667B61">
        <w:rPr>
          <w:lang w:val="en-GB"/>
        </w:rPr>
        <w:t>. Butterworth-Heinemann.</w:t>
      </w:r>
    </w:p>
    <w:p w14:paraId="153A3882" w14:textId="77777777" w:rsidR="00667B61" w:rsidRPr="00667B61" w:rsidRDefault="00667B61" w:rsidP="00667B61">
      <w:pPr>
        <w:numPr>
          <w:ilvl w:val="0"/>
          <w:numId w:val="7"/>
        </w:numPr>
        <w:spacing w:line="276" w:lineRule="auto"/>
        <w:rPr>
          <w:lang w:val="en-GB"/>
        </w:rPr>
      </w:pPr>
      <w:r w:rsidRPr="00667B61">
        <w:rPr>
          <w:lang w:val="en-GB"/>
        </w:rPr>
        <w:t xml:space="preserve">Su, M. M., &amp; Lin, H. L. (2014). Analysis of international tourist arrivals worldwide: The role of world heritage sites. </w:t>
      </w:r>
      <w:r w:rsidRPr="00667B61">
        <w:rPr>
          <w:i/>
          <w:iCs/>
          <w:lang w:val="en-GB"/>
        </w:rPr>
        <w:t>Tourism Management, 40</w:t>
      </w:r>
      <w:r w:rsidRPr="00667B61">
        <w:rPr>
          <w:lang w:val="en-GB"/>
        </w:rPr>
        <w:t>, 46–58. https://doi.org/10.1016/j.tourman.2013.04.005</w:t>
      </w:r>
    </w:p>
    <w:p w14:paraId="75968C9E" w14:textId="77777777" w:rsidR="00667B61" w:rsidRPr="00667B61" w:rsidRDefault="00667B61" w:rsidP="00667B61">
      <w:pPr>
        <w:numPr>
          <w:ilvl w:val="0"/>
          <w:numId w:val="7"/>
        </w:numPr>
        <w:spacing w:line="276" w:lineRule="auto"/>
        <w:rPr>
          <w:lang w:val="en-GB"/>
        </w:rPr>
      </w:pPr>
      <w:r w:rsidRPr="00667B61">
        <w:rPr>
          <w:lang w:val="en-GB"/>
        </w:rPr>
        <w:t xml:space="preserve">UNESCO. (2023). </w:t>
      </w:r>
      <w:r w:rsidRPr="00667B61">
        <w:rPr>
          <w:i/>
          <w:iCs/>
          <w:lang w:val="en-GB"/>
        </w:rPr>
        <w:t>Operational Guidelines for the Implementation of the World Heritage Convention</w:t>
      </w:r>
      <w:r w:rsidRPr="00667B61">
        <w:rPr>
          <w:lang w:val="en-GB"/>
        </w:rPr>
        <w:t xml:space="preserve">. UNESCO World Heritage Centre. </w:t>
      </w:r>
      <w:hyperlink r:id="rId6" w:tgtFrame="_new" w:history="1">
        <w:r w:rsidRPr="00667B61">
          <w:rPr>
            <w:rStyle w:val="Hyperlink"/>
            <w:lang w:val="en-GB"/>
          </w:rPr>
          <w:t>https://whc.unesco.org/en/guidelines/</w:t>
        </w:r>
      </w:hyperlink>
    </w:p>
    <w:p w14:paraId="5ED6AFDD" w14:textId="77777777" w:rsidR="00E46841" w:rsidRPr="00A057BE" w:rsidRDefault="00E46841" w:rsidP="00667B61">
      <w:pPr>
        <w:spacing w:line="276" w:lineRule="auto"/>
        <w:rPr>
          <w:lang w:val="en-US"/>
        </w:rPr>
      </w:pPr>
    </w:p>
    <w:sectPr w:rsidR="00E46841" w:rsidRPr="00A05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7B4B54E-44E3-4BF0-9AB7-B56D1698711D}"/>
    <w:embedBold r:id="rId2" w:fontKey="{B639AE84-169E-46E1-B0A8-0C26C58D3266}"/>
    <w:embedItalic r:id="rId3" w:fontKey="{84C19E7C-7BAA-497B-8A58-E6D5DEE07D4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87450C6-0D5D-4123-ADF4-150CE8517099}"/>
  </w:font>
  <w:font w:name="Calibri Light">
    <w:panose1 w:val="020F0302020204030204"/>
    <w:charset w:val="00"/>
    <w:family w:val="swiss"/>
    <w:pitch w:val="variable"/>
    <w:sig w:usb0="E4002EFF" w:usb1="C000247B" w:usb2="00000009" w:usb3="00000000" w:csb0="000001FF" w:csb1="00000000"/>
    <w:embedRegular r:id="rId5" w:fontKey="{739E1F8B-ADFF-4878-BA8B-F4448B2E1C1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F61E84"/>
    <w:multiLevelType w:val="hybridMultilevel"/>
    <w:tmpl w:val="B36E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6"/>
  </w:num>
  <w:num w:numId="3" w16cid:durableId="1544052912">
    <w:abstractNumId w:val="0"/>
  </w:num>
  <w:num w:numId="4" w16cid:durableId="746540664">
    <w:abstractNumId w:val="1"/>
  </w:num>
  <w:num w:numId="5" w16cid:durableId="1108088842">
    <w:abstractNumId w:val="3"/>
  </w:num>
  <w:num w:numId="6" w16cid:durableId="1713579031">
    <w:abstractNumId w:val="5"/>
  </w:num>
  <w:num w:numId="7" w16cid:durableId="19955241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67B61"/>
    <w:rsid w:val="00672345"/>
    <w:rsid w:val="007C7917"/>
    <w:rsid w:val="007E695F"/>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4684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56F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E46841"/>
    <w:rPr>
      <w:color w:val="0563C1" w:themeColor="hyperlink"/>
      <w:u w:val="single"/>
    </w:rPr>
  </w:style>
  <w:style w:type="character" w:styleId="UnresolvedMention">
    <w:name w:val="Unresolved Mention"/>
    <w:basedOn w:val="DefaultParagraphFont"/>
    <w:uiPriority w:val="99"/>
    <w:semiHidden/>
    <w:unhideWhenUsed/>
    <w:rsid w:val="00E46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guidelines/"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714</Words>
  <Characters>4071</Characters>
  <Application>Microsoft Office Word</Application>
  <DocSecurity>0</DocSecurity>
  <Lines>33</Lines>
  <Paragraphs>9</Paragraphs>
  <ScaleCrop>false</ScaleCrop>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2026-06-17T14:57:00Z</dcterms:created>
  <dcterms:modified xsi:type="dcterms:W3CDTF">2026-06-17T14:57:00Z</dcterms:modified>
</cp:coreProperties>
</file>