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55161" w14:textId="77777777" w:rsidR="0019504D" w:rsidRPr="00A9235A" w:rsidRDefault="0019504D" w:rsidP="00A9235A">
      <w:pPr>
        <w:spacing w:line="360" w:lineRule="auto"/>
        <w:rPr>
          <w:rFonts w:asciiTheme="majorBidi" w:hAnsiTheme="majorBidi" w:cstheme="majorBidi"/>
          <w:lang w:val="en-US"/>
        </w:rPr>
      </w:pPr>
      <w:r w:rsidRPr="00A9235A">
        <w:rPr>
          <w:rFonts w:asciiTheme="majorBidi" w:hAnsiTheme="majorBidi" w:cstheme="majorBidi"/>
          <w:noProof/>
          <w:lang w:val="en-US"/>
        </w:rPr>
        <w:drawing>
          <wp:anchor distT="0" distB="0" distL="114300" distR="114300" simplePos="0" relativeHeight="251658240" behindDoc="1" locked="0" layoutInCell="1" allowOverlap="1" wp14:anchorId="17A1817E" wp14:editId="29F18A4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BCFDE03" w14:textId="77777777" w:rsidR="00661030" w:rsidRPr="00A9235A" w:rsidRDefault="00C21EBA" w:rsidP="00A9235A">
      <w:pPr>
        <w:spacing w:line="360" w:lineRule="auto"/>
        <w:rPr>
          <w:rFonts w:asciiTheme="majorBidi" w:hAnsiTheme="majorBidi" w:cstheme="majorBidi"/>
          <w:b/>
          <w:bCs/>
          <w:lang w:val="en-US"/>
        </w:rPr>
      </w:pPr>
      <w:r w:rsidRPr="00A9235A">
        <w:rPr>
          <w:rFonts w:asciiTheme="majorBidi" w:hAnsiTheme="majorBidi" w:cstheme="majorBidi"/>
          <w:b/>
          <w:bCs/>
          <w:lang w:val="en-US"/>
        </w:rPr>
        <w:t>Planning</w:t>
      </w:r>
      <w:r w:rsidR="00661030" w:rsidRPr="00A9235A">
        <w:rPr>
          <w:rFonts w:asciiTheme="majorBidi" w:hAnsiTheme="majorBidi" w:cstheme="majorBidi"/>
          <w:b/>
          <w:bCs/>
          <w:lang w:val="en-US"/>
        </w:rPr>
        <w:t xml:space="preserve"> and </w:t>
      </w:r>
      <w:r w:rsidRPr="00A9235A">
        <w:rPr>
          <w:rFonts w:asciiTheme="majorBidi" w:hAnsiTheme="majorBidi" w:cstheme="majorBidi"/>
          <w:b/>
          <w:bCs/>
          <w:lang w:val="en-US"/>
        </w:rPr>
        <w:t>Management</w:t>
      </w:r>
      <w:r w:rsidR="00661030" w:rsidRPr="00A9235A">
        <w:rPr>
          <w:rFonts w:asciiTheme="majorBidi" w:hAnsiTheme="majorBidi" w:cstheme="majorBidi"/>
          <w:b/>
          <w:bCs/>
          <w:lang w:val="en-US"/>
        </w:rPr>
        <w:t xml:space="preserve"> </w:t>
      </w:r>
      <w:r w:rsidRPr="00A9235A">
        <w:rPr>
          <w:rFonts w:asciiTheme="majorBidi" w:hAnsiTheme="majorBidi" w:cstheme="majorBidi"/>
          <w:b/>
          <w:bCs/>
          <w:lang w:val="en-US"/>
        </w:rPr>
        <w:t xml:space="preserve">of Sustainable </w:t>
      </w:r>
      <w:r w:rsidR="00661030" w:rsidRPr="00A9235A">
        <w:rPr>
          <w:rFonts w:asciiTheme="majorBidi" w:hAnsiTheme="majorBidi" w:cstheme="majorBidi"/>
          <w:b/>
          <w:bCs/>
          <w:lang w:val="en-US"/>
        </w:rPr>
        <w:t>Tourism</w:t>
      </w:r>
      <w:r w:rsidRPr="00A9235A">
        <w:rPr>
          <w:rFonts w:asciiTheme="majorBidi" w:hAnsiTheme="majorBidi" w:cstheme="majorBidi"/>
          <w:b/>
          <w:bCs/>
          <w:lang w:val="en-US"/>
        </w:rPr>
        <w:t xml:space="preserve"> Spaces</w:t>
      </w:r>
    </w:p>
    <w:p w14:paraId="508508F5" w14:textId="77777777" w:rsidR="0019504D" w:rsidRPr="00A9235A" w:rsidRDefault="0019504D" w:rsidP="00A9235A">
      <w:pPr>
        <w:spacing w:line="360" w:lineRule="auto"/>
        <w:rPr>
          <w:rFonts w:asciiTheme="majorBidi" w:hAnsiTheme="majorBidi" w:cstheme="majorBidi"/>
          <w:lang w:val="en-US"/>
        </w:rPr>
      </w:pPr>
      <w:r w:rsidRPr="00A9235A">
        <w:rPr>
          <w:rFonts w:asciiTheme="majorBidi" w:hAnsiTheme="majorBidi" w:cstheme="majorBidi"/>
          <w:lang w:val="en-US"/>
        </w:rPr>
        <w:t>Assignment</w:t>
      </w:r>
      <w:r w:rsidR="008B2650" w:rsidRPr="00A9235A">
        <w:rPr>
          <w:rFonts w:asciiTheme="majorBidi" w:hAnsiTheme="majorBidi" w:cstheme="majorBidi"/>
          <w:lang w:val="en-US"/>
        </w:rPr>
        <w:t xml:space="preserve"> 2</w:t>
      </w:r>
    </w:p>
    <w:p w14:paraId="1AB5801D" w14:textId="77777777" w:rsidR="0019504D" w:rsidRPr="00A9235A" w:rsidRDefault="008B2650" w:rsidP="00A9235A">
      <w:pPr>
        <w:spacing w:line="360" w:lineRule="auto"/>
        <w:rPr>
          <w:rFonts w:asciiTheme="majorBidi" w:hAnsiTheme="majorBidi" w:cstheme="majorBidi"/>
          <w:lang w:val="en-US"/>
        </w:rPr>
      </w:pPr>
      <w:r w:rsidRPr="00A9235A">
        <w:rPr>
          <w:rFonts w:asciiTheme="majorBidi" w:hAnsiTheme="majorBidi" w:cstheme="majorBidi"/>
          <w:lang w:val="en-US"/>
        </w:rPr>
        <w:t>14</w:t>
      </w:r>
      <w:r w:rsidR="0019504D" w:rsidRPr="00A9235A">
        <w:rPr>
          <w:rFonts w:asciiTheme="majorBidi" w:hAnsiTheme="majorBidi" w:cstheme="majorBidi"/>
          <w:lang w:val="en-US"/>
        </w:rPr>
        <w:t>.0</w:t>
      </w:r>
      <w:r w:rsidR="00661030" w:rsidRPr="00A9235A">
        <w:rPr>
          <w:rFonts w:asciiTheme="majorBidi" w:hAnsiTheme="majorBidi" w:cstheme="majorBidi"/>
          <w:lang w:val="en-US"/>
        </w:rPr>
        <w:t>9</w:t>
      </w:r>
      <w:r w:rsidR="0019504D" w:rsidRPr="00A9235A">
        <w:rPr>
          <w:rFonts w:asciiTheme="majorBidi" w:hAnsiTheme="majorBidi" w:cstheme="majorBidi"/>
          <w:lang w:val="en-US"/>
        </w:rPr>
        <w:t>.2025</w:t>
      </w:r>
    </w:p>
    <w:p w14:paraId="40009B99" w14:textId="77777777" w:rsidR="0019504D" w:rsidRPr="00A9235A" w:rsidRDefault="0019504D" w:rsidP="00A9235A">
      <w:pPr>
        <w:spacing w:line="360" w:lineRule="auto"/>
        <w:rPr>
          <w:rFonts w:asciiTheme="majorBidi" w:hAnsiTheme="majorBidi" w:cstheme="majorBidi"/>
        </w:rPr>
      </w:pPr>
    </w:p>
    <w:p w14:paraId="725E05DC" w14:textId="77777777" w:rsidR="0019504D" w:rsidRPr="00A9235A" w:rsidRDefault="0019504D" w:rsidP="00A9235A">
      <w:pPr>
        <w:spacing w:line="360" w:lineRule="auto"/>
        <w:rPr>
          <w:rFonts w:asciiTheme="majorBidi" w:hAnsiTheme="majorBidi" w:cstheme="majorBidi"/>
        </w:rPr>
      </w:pPr>
    </w:p>
    <w:p w14:paraId="1C13BB7D" w14:textId="77777777" w:rsidR="0019504D" w:rsidRPr="00A9235A" w:rsidRDefault="0019504D" w:rsidP="00A9235A">
      <w:pPr>
        <w:spacing w:line="360" w:lineRule="auto"/>
        <w:rPr>
          <w:rFonts w:asciiTheme="majorBidi" w:hAnsiTheme="majorBidi" w:cstheme="majorBidi"/>
        </w:rPr>
      </w:pPr>
    </w:p>
    <w:p w14:paraId="3C0C79E9" w14:textId="77777777" w:rsidR="0019504D" w:rsidRPr="00A9235A" w:rsidRDefault="0019504D" w:rsidP="00A9235A">
      <w:pPr>
        <w:spacing w:line="360" w:lineRule="auto"/>
        <w:rPr>
          <w:rFonts w:asciiTheme="majorBidi" w:hAnsiTheme="majorBidi" w:cstheme="majorBidi"/>
        </w:rPr>
      </w:pPr>
    </w:p>
    <w:p w14:paraId="45ADAEC5" w14:textId="77777777" w:rsidR="0019504D" w:rsidRPr="00A9235A" w:rsidRDefault="0019504D" w:rsidP="00A9235A">
      <w:pPr>
        <w:spacing w:line="360" w:lineRule="auto"/>
        <w:rPr>
          <w:rFonts w:asciiTheme="majorBidi" w:hAnsiTheme="majorBidi" w:cstheme="majorBidi"/>
        </w:rPr>
      </w:pPr>
    </w:p>
    <w:p w14:paraId="33168E37" w14:textId="77777777" w:rsidR="00CD620A" w:rsidRPr="00A9235A" w:rsidRDefault="00CD620A" w:rsidP="00A9235A">
      <w:pPr>
        <w:spacing w:line="360" w:lineRule="auto"/>
        <w:rPr>
          <w:rFonts w:asciiTheme="majorBidi" w:hAnsiTheme="majorBidi" w:cstheme="majorBidi"/>
        </w:rPr>
      </w:pPr>
    </w:p>
    <w:p w14:paraId="035A94DF" w14:textId="77777777" w:rsidR="00CD620A" w:rsidRPr="00A9235A" w:rsidRDefault="00CD620A" w:rsidP="00A9235A">
      <w:pPr>
        <w:spacing w:line="360" w:lineRule="auto"/>
        <w:rPr>
          <w:rFonts w:asciiTheme="majorBidi" w:hAnsiTheme="majorBidi" w:cstheme="majorBidi"/>
        </w:rPr>
      </w:pPr>
    </w:p>
    <w:p w14:paraId="450DEE07" w14:textId="77777777" w:rsidR="00CD620A" w:rsidRPr="00A9235A" w:rsidRDefault="00CD620A" w:rsidP="00A9235A">
      <w:pPr>
        <w:spacing w:line="360" w:lineRule="auto"/>
        <w:rPr>
          <w:rFonts w:asciiTheme="majorBidi" w:hAnsiTheme="majorBidi" w:cstheme="majorBidi"/>
        </w:rPr>
      </w:pPr>
    </w:p>
    <w:p w14:paraId="4271532A" w14:textId="77777777" w:rsidR="00CD620A" w:rsidRPr="00A9235A" w:rsidRDefault="00CD620A" w:rsidP="00A9235A">
      <w:pPr>
        <w:spacing w:line="360" w:lineRule="auto"/>
        <w:rPr>
          <w:rFonts w:asciiTheme="majorBidi" w:hAnsiTheme="majorBidi" w:cstheme="majorBidi"/>
        </w:rPr>
      </w:pPr>
    </w:p>
    <w:p w14:paraId="10905D2F" w14:textId="77777777" w:rsidR="00CD620A" w:rsidRPr="00A9235A" w:rsidRDefault="00CD620A" w:rsidP="00A9235A">
      <w:pPr>
        <w:spacing w:line="360" w:lineRule="auto"/>
        <w:rPr>
          <w:rFonts w:asciiTheme="majorBidi" w:hAnsiTheme="majorBidi" w:cstheme="majorBidi"/>
        </w:rPr>
      </w:pPr>
    </w:p>
    <w:p w14:paraId="0D538F45" w14:textId="77777777" w:rsidR="00EA737F" w:rsidRPr="00A9235A" w:rsidRDefault="00EA737F" w:rsidP="00A9235A">
      <w:pPr>
        <w:spacing w:line="360" w:lineRule="auto"/>
        <w:rPr>
          <w:rFonts w:asciiTheme="majorBidi" w:hAnsiTheme="majorBidi" w:cstheme="majorBidi"/>
        </w:rPr>
      </w:pPr>
    </w:p>
    <w:p w14:paraId="59AC1093" w14:textId="77777777" w:rsidR="0019504D" w:rsidRPr="00A9235A" w:rsidRDefault="0019504D" w:rsidP="00A9235A">
      <w:pPr>
        <w:spacing w:line="360" w:lineRule="auto"/>
        <w:rPr>
          <w:rFonts w:asciiTheme="majorBidi" w:hAnsiTheme="majorBidi" w:cstheme="majorBidi"/>
        </w:rPr>
      </w:pPr>
    </w:p>
    <w:p w14:paraId="3904AE52" w14:textId="77777777" w:rsidR="0019504D" w:rsidRPr="00A9235A" w:rsidRDefault="0019504D" w:rsidP="00A9235A">
      <w:pPr>
        <w:spacing w:line="360" w:lineRule="auto"/>
        <w:rPr>
          <w:rFonts w:asciiTheme="majorBidi" w:hAnsiTheme="majorBidi" w:cstheme="majorBidi"/>
        </w:rPr>
      </w:pPr>
    </w:p>
    <w:p w14:paraId="03A04E3E" w14:textId="77777777" w:rsidR="00EA737F" w:rsidRPr="00A9235A" w:rsidRDefault="00CD620A" w:rsidP="00A9235A">
      <w:pPr>
        <w:spacing w:line="360" w:lineRule="auto"/>
        <w:rPr>
          <w:rFonts w:asciiTheme="majorBidi" w:hAnsiTheme="majorBidi" w:cstheme="majorBidi"/>
          <w:b/>
          <w:bCs/>
          <w:lang w:val="en-US"/>
        </w:rPr>
      </w:pPr>
      <w:r w:rsidRPr="00A9235A">
        <w:rPr>
          <w:rFonts w:asciiTheme="majorBidi" w:hAnsiTheme="majorBidi" w:cstheme="majorBidi"/>
          <w:b/>
          <w:bCs/>
          <w:lang w:val="en-US"/>
        </w:rPr>
        <w:t xml:space="preserve">In no more than </w:t>
      </w:r>
      <w:r w:rsidR="008B2650" w:rsidRPr="00A9235A">
        <w:rPr>
          <w:rFonts w:asciiTheme="majorBidi" w:hAnsiTheme="majorBidi" w:cstheme="majorBidi"/>
          <w:b/>
          <w:bCs/>
          <w:lang w:val="en-US"/>
        </w:rPr>
        <w:t>1000</w:t>
      </w:r>
      <w:r w:rsidRPr="00A9235A">
        <w:rPr>
          <w:rFonts w:asciiTheme="majorBidi" w:hAnsiTheme="majorBidi" w:cstheme="majorBidi"/>
          <w:b/>
          <w:bCs/>
          <w:lang w:val="en-US"/>
        </w:rPr>
        <w:t xml:space="preserve"> words</w:t>
      </w:r>
      <w:r w:rsidR="008B2650" w:rsidRPr="00A9235A">
        <w:rPr>
          <w:rFonts w:asciiTheme="majorBidi" w:hAnsiTheme="majorBidi" w:cstheme="majorBidi"/>
          <w:b/>
          <w:bCs/>
          <w:lang w:val="en-US"/>
        </w:rPr>
        <w:t xml:space="preserve"> each</w:t>
      </w:r>
      <w:r w:rsidRPr="00A9235A">
        <w:rPr>
          <w:rFonts w:asciiTheme="majorBidi" w:hAnsiTheme="majorBidi" w:cstheme="majorBidi"/>
          <w:b/>
          <w:bCs/>
          <w:lang w:val="en-US"/>
        </w:rPr>
        <w:t xml:space="preserve">, </w:t>
      </w:r>
    </w:p>
    <w:p w14:paraId="37E65AD2" w14:textId="77777777" w:rsidR="00EA737F" w:rsidRPr="00A9235A" w:rsidRDefault="00EA737F" w:rsidP="00A9235A">
      <w:pPr>
        <w:spacing w:line="360" w:lineRule="auto"/>
        <w:rPr>
          <w:rFonts w:asciiTheme="majorBidi" w:hAnsiTheme="majorBidi" w:cstheme="majorBidi"/>
          <w:lang w:val="en-US"/>
        </w:rPr>
      </w:pPr>
    </w:p>
    <w:p w14:paraId="1B36E9E8" w14:textId="77777777" w:rsidR="008B2650" w:rsidRPr="00A9235A" w:rsidRDefault="00EA737F" w:rsidP="00A9235A">
      <w:pPr>
        <w:spacing w:line="360" w:lineRule="auto"/>
        <w:rPr>
          <w:rFonts w:asciiTheme="majorBidi" w:hAnsiTheme="majorBidi" w:cstheme="majorBidi"/>
          <w:lang w:val="en-US"/>
        </w:rPr>
      </w:pPr>
      <w:r w:rsidRPr="00A9235A">
        <w:rPr>
          <w:rFonts w:asciiTheme="majorBidi" w:hAnsiTheme="majorBidi" w:cstheme="majorBidi"/>
          <w:lang w:val="en-US"/>
        </w:rPr>
        <w:t xml:space="preserve">1- </w:t>
      </w:r>
      <w:r w:rsidR="008B2650" w:rsidRPr="00A9235A">
        <w:rPr>
          <w:rFonts w:asciiTheme="majorBidi" w:hAnsiTheme="majorBidi" w:cstheme="majorBidi"/>
          <w:lang w:val="en-US"/>
        </w:rPr>
        <w:t>Apply the United Nations Sustainable Development Goals (SDGs) to a tourism destination of your choice. Which SDGs are most relevant, and how can the destination align its development strategies with them?</w:t>
      </w:r>
    </w:p>
    <w:p w14:paraId="24B824ED" w14:textId="77777777" w:rsidR="008B2650" w:rsidRPr="00A9235A" w:rsidRDefault="008B2650" w:rsidP="00A9235A">
      <w:pPr>
        <w:spacing w:line="360" w:lineRule="auto"/>
        <w:rPr>
          <w:rFonts w:asciiTheme="majorBidi" w:hAnsiTheme="majorBidi" w:cstheme="majorBidi"/>
          <w:lang w:val="en-US"/>
        </w:rPr>
      </w:pPr>
    </w:p>
    <w:p w14:paraId="476D620D" w14:textId="77777777" w:rsidR="00EA737F" w:rsidRPr="00A9235A" w:rsidRDefault="008B2650" w:rsidP="00A9235A">
      <w:pPr>
        <w:spacing w:line="360" w:lineRule="auto"/>
        <w:rPr>
          <w:rFonts w:asciiTheme="majorBidi" w:hAnsiTheme="majorBidi" w:cstheme="majorBidi"/>
          <w:lang w:val="en-US"/>
        </w:rPr>
      </w:pPr>
      <w:r w:rsidRPr="00A9235A">
        <w:rPr>
          <w:rFonts w:asciiTheme="majorBidi" w:hAnsiTheme="majorBidi" w:cstheme="majorBidi"/>
          <w:lang w:val="en-US"/>
        </w:rPr>
        <w:t>2- Analyze how sustainable tourism development can protect and promote local heritage and traditions without commodifying culture.</w:t>
      </w:r>
    </w:p>
    <w:p w14:paraId="4A577147" w14:textId="77777777" w:rsidR="00EA737F" w:rsidRPr="00A9235A" w:rsidRDefault="00EA737F" w:rsidP="00A9235A">
      <w:pPr>
        <w:spacing w:line="360" w:lineRule="auto"/>
        <w:rPr>
          <w:rFonts w:asciiTheme="majorBidi" w:hAnsiTheme="majorBidi" w:cstheme="majorBidi"/>
          <w:lang w:val="en-US"/>
        </w:rPr>
      </w:pPr>
    </w:p>
    <w:p w14:paraId="0D32A35B" w14:textId="77777777" w:rsidR="00A9235A" w:rsidRPr="00A9235A" w:rsidRDefault="00A9235A" w:rsidP="00A9235A">
      <w:pPr>
        <w:spacing w:line="360" w:lineRule="auto"/>
        <w:rPr>
          <w:rFonts w:asciiTheme="majorBidi" w:hAnsiTheme="majorBidi" w:cstheme="majorBidi"/>
          <w:lang w:val="en-US"/>
        </w:rPr>
      </w:pPr>
    </w:p>
    <w:p w14:paraId="3661EB88" w14:textId="77777777" w:rsidR="00A9235A" w:rsidRPr="00A9235A" w:rsidRDefault="00A9235A" w:rsidP="00A9235A">
      <w:pPr>
        <w:spacing w:line="360" w:lineRule="auto"/>
        <w:rPr>
          <w:rFonts w:asciiTheme="majorBidi" w:hAnsiTheme="majorBidi" w:cstheme="majorBidi"/>
          <w:lang w:val="en-US"/>
        </w:rPr>
      </w:pPr>
    </w:p>
    <w:p w14:paraId="364E3FF1" w14:textId="77777777" w:rsidR="00A9235A" w:rsidRPr="00A9235A" w:rsidRDefault="00A9235A" w:rsidP="00A9235A">
      <w:pPr>
        <w:spacing w:line="360" w:lineRule="auto"/>
        <w:rPr>
          <w:rFonts w:asciiTheme="majorBidi" w:hAnsiTheme="majorBidi" w:cstheme="majorBidi"/>
          <w:lang w:val="en-US"/>
        </w:rPr>
      </w:pPr>
    </w:p>
    <w:p w14:paraId="264BE4FD" w14:textId="77777777" w:rsidR="00A9235A" w:rsidRPr="00A9235A" w:rsidRDefault="00A9235A" w:rsidP="00A9235A">
      <w:pPr>
        <w:spacing w:line="360" w:lineRule="auto"/>
        <w:rPr>
          <w:rFonts w:asciiTheme="majorBidi" w:hAnsiTheme="majorBidi" w:cstheme="majorBidi"/>
          <w:lang w:val="en-US"/>
        </w:rPr>
      </w:pPr>
    </w:p>
    <w:p w14:paraId="38CD0590" w14:textId="77777777" w:rsidR="00A9235A" w:rsidRPr="00A9235A" w:rsidRDefault="00A9235A" w:rsidP="00A9235A">
      <w:pPr>
        <w:spacing w:line="360" w:lineRule="auto"/>
        <w:rPr>
          <w:rFonts w:asciiTheme="majorBidi" w:hAnsiTheme="majorBidi" w:cstheme="majorBidi"/>
          <w:lang w:val="en-US"/>
        </w:rPr>
      </w:pPr>
    </w:p>
    <w:p w14:paraId="42EBD457" w14:textId="77777777" w:rsidR="00A9235A" w:rsidRPr="00A9235A" w:rsidRDefault="00A9235A" w:rsidP="00A9235A">
      <w:pPr>
        <w:spacing w:line="360" w:lineRule="auto"/>
        <w:rPr>
          <w:rFonts w:asciiTheme="majorBidi" w:hAnsiTheme="majorBidi" w:cstheme="majorBidi"/>
          <w:lang w:val="en-US"/>
        </w:rPr>
      </w:pPr>
    </w:p>
    <w:p w14:paraId="74380C90" w14:textId="77777777" w:rsidR="00A9235A" w:rsidRPr="00A9235A" w:rsidRDefault="00A9235A" w:rsidP="00A9235A">
      <w:pPr>
        <w:spacing w:line="360" w:lineRule="auto"/>
        <w:rPr>
          <w:rFonts w:asciiTheme="majorBidi" w:hAnsiTheme="majorBidi" w:cstheme="majorBidi"/>
          <w:lang w:val="en-US"/>
        </w:rPr>
      </w:pPr>
    </w:p>
    <w:p w14:paraId="2B3E43E1" w14:textId="77777777" w:rsidR="00A9235A" w:rsidRPr="00A9235A" w:rsidRDefault="00A9235A" w:rsidP="00A9235A">
      <w:pPr>
        <w:spacing w:line="360" w:lineRule="auto"/>
        <w:rPr>
          <w:rFonts w:asciiTheme="majorBidi" w:hAnsiTheme="majorBidi" w:cstheme="majorBidi"/>
          <w:lang w:val="en-US"/>
        </w:rPr>
      </w:pPr>
    </w:p>
    <w:p w14:paraId="1820332C" w14:textId="77777777" w:rsidR="00A9235A" w:rsidRPr="00A9235A" w:rsidRDefault="00A9235A" w:rsidP="00A9235A">
      <w:pPr>
        <w:spacing w:line="360" w:lineRule="auto"/>
        <w:rPr>
          <w:rFonts w:asciiTheme="majorBidi" w:hAnsiTheme="majorBidi" w:cstheme="majorBidi"/>
          <w:b/>
          <w:bCs/>
          <w:lang w:val="en-GB"/>
        </w:rPr>
      </w:pPr>
      <w:r w:rsidRPr="00A9235A">
        <w:rPr>
          <w:rFonts w:asciiTheme="majorBidi" w:hAnsiTheme="majorBidi" w:cstheme="majorBidi"/>
          <w:b/>
          <w:bCs/>
          <w:lang w:val="en-GB"/>
        </w:rPr>
        <w:lastRenderedPageBreak/>
        <w:t>1. Applying the United Nations Sustainable Development Goals (SDGs) to a Tourism Destination: The Case of Bali</w:t>
      </w:r>
    </w:p>
    <w:p w14:paraId="46CE7EB6" w14:textId="77777777" w:rsidR="00A9235A" w:rsidRPr="00A9235A" w:rsidRDefault="00A9235A" w:rsidP="00A9235A">
      <w:pPr>
        <w:spacing w:line="360" w:lineRule="auto"/>
        <w:rPr>
          <w:rFonts w:asciiTheme="majorBidi" w:hAnsiTheme="majorBidi" w:cstheme="majorBidi"/>
          <w:b/>
          <w:bCs/>
          <w:lang w:val="en-GB"/>
        </w:rPr>
      </w:pPr>
    </w:p>
    <w:p w14:paraId="2657E5CB"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The </w:t>
      </w:r>
      <w:r w:rsidRPr="00A9235A">
        <w:rPr>
          <w:rFonts w:asciiTheme="majorBidi" w:hAnsiTheme="majorBidi" w:cstheme="majorBidi"/>
          <w:b/>
          <w:bCs/>
          <w:lang w:val="en-GB"/>
        </w:rPr>
        <w:t>United Nations</w:t>
      </w:r>
      <w:r w:rsidRPr="00A9235A">
        <w:rPr>
          <w:rFonts w:asciiTheme="majorBidi" w:hAnsiTheme="majorBidi" w:cstheme="majorBidi"/>
          <w:lang w:val="en-GB"/>
        </w:rPr>
        <w:t xml:space="preserve"> Sustainable Development Goals (SDGs) provide a comprehensive framework for aligning tourism development with global sustainability objectives. Tourism is explicitly recognized under SDG 8, SDG 12, and SDG 14, but its cross-cutting nature allows it to contribute to multiple goals simultaneously. In the context of </w:t>
      </w:r>
      <w:r w:rsidRPr="00A9235A">
        <w:rPr>
          <w:rFonts w:asciiTheme="majorBidi" w:hAnsiTheme="majorBidi" w:cstheme="majorBidi"/>
          <w:b/>
          <w:bCs/>
          <w:lang w:val="en-GB"/>
        </w:rPr>
        <w:t>Bali</w:t>
      </w:r>
      <w:r w:rsidRPr="00A9235A">
        <w:rPr>
          <w:rFonts w:asciiTheme="majorBidi" w:hAnsiTheme="majorBidi" w:cstheme="majorBidi"/>
          <w:lang w:val="en-GB"/>
        </w:rPr>
        <w:t>, a world-renowned cultural and beach destination, applying the SDGs is essential to addressing challenges such as overtourism, environmental degradation, and socio-cultural pressure.</w:t>
      </w:r>
    </w:p>
    <w:p w14:paraId="1517692D"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Among the 17 SDGs, </w:t>
      </w:r>
      <w:r w:rsidRPr="00A9235A">
        <w:rPr>
          <w:rFonts w:asciiTheme="majorBidi" w:hAnsiTheme="majorBidi" w:cstheme="majorBidi"/>
          <w:b/>
          <w:bCs/>
          <w:lang w:val="en-GB"/>
        </w:rPr>
        <w:t>SDG 8 (Decent Work and Economic Growth)</w:t>
      </w:r>
      <w:r w:rsidRPr="00A9235A">
        <w:rPr>
          <w:rFonts w:asciiTheme="majorBidi" w:hAnsiTheme="majorBidi" w:cstheme="majorBidi"/>
          <w:lang w:val="en-GB"/>
        </w:rPr>
        <w:t xml:space="preserve"> is particularly relevant to Bali, as tourism is a major employer and income generator. Sustainable tourism strategies aligned with SDG 8 focus on promoting decent employment, fair wages, and local entrepreneurship. Encouraging community-based tourism enterprises, supporting small hospitality businesses, and regulating informal </w:t>
      </w:r>
      <w:proofErr w:type="spellStart"/>
      <w:r w:rsidRPr="00A9235A">
        <w:rPr>
          <w:rFonts w:asciiTheme="majorBidi" w:hAnsiTheme="majorBidi" w:cstheme="majorBidi"/>
          <w:lang w:val="en-GB"/>
        </w:rPr>
        <w:t>labor</w:t>
      </w:r>
      <w:proofErr w:type="spellEnd"/>
      <w:r w:rsidRPr="00A9235A">
        <w:rPr>
          <w:rFonts w:asciiTheme="majorBidi" w:hAnsiTheme="majorBidi" w:cstheme="majorBidi"/>
          <w:lang w:val="en-GB"/>
        </w:rPr>
        <w:t xml:space="preserve"> can ensure that tourism benefits are distributed equitably (UNWTO, 2018). This reduces economic leakage and strengthens local livelihoods.</w:t>
      </w:r>
    </w:p>
    <w:p w14:paraId="3E2AA150"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b/>
          <w:bCs/>
          <w:lang w:val="en-GB"/>
        </w:rPr>
        <w:t>SDG 12 (Responsible Consumption and Production)</w:t>
      </w:r>
      <w:r w:rsidRPr="00A9235A">
        <w:rPr>
          <w:rFonts w:asciiTheme="majorBidi" w:hAnsiTheme="majorBidi" w:cstheme="majorBidi"/>
          <w:lang w:val="en-GB"/>
        </w:rPr>
        <w:t xml:space="preserve"> is another critical goal for Bali, given rising waste generation, water scarcity, and energy consumption linked to mass tourism. Aligning destination strategies with SDG 12 involves promoting eco-certification for hotels, reducing single-use plastics, and encouraging circular economy practices within tourism supply chains. Studies show that responsible consumption policies in tourism significantly reduce environmental pressure while maintaining visitor satisfaction (</w:t>
      </w:r>
      <w:proofErr w:type="spellStart"/>
      <w:r w:rsidRPr="00A9235A">
        <w:rPr>
          <w:rFonts w:asciiTheme="majorBidi" w:hAnsiTheme="majorBidi" w:cstheme="majorBidi"/>
          <w:lang w:val="en-GB"/>
        </w:rPr>
        <w:t>Gössling</w:t>
      </w:r>
      <w:proofErr w:type="spellEnd"/>
      <w:r w:rsidRPr="00A9235A">
        <w:rPr>
          <w:rFonts w:asciiTheme="majorBidi" w:hAnsiTheme="majorBidi" w:cstheme="majorBidi"/>
          <w:lang w:val="en-GB"/>
        </w:rPr>
        <w:t xml:space="preserve"> et al., 2011).</w:t>
      </w:r>
    </w:p>
    <w:p w14:paraId="047B5C39"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Environmental conservation goals such as </w:t>
      </w:r>
      <w:r w:rsidRPr="00A9235A">
        <w:rPr>
          <w:rFonts w:asciiTheme="majorBidi" w:hAnsiTheme="majorBidi" w:cstheme="majorBidi"/>
          <w:b/>
          <w:bCs/>
          <w:lang w:val="en-GB"/>
        </w:rPr>
        <w:t>SDG 13 (Climate Action)</w:t>
      </w:r>
      <w:r w:rsidRPr="00A9235A">
        <w:rPr>
          <w:rFonts w:asciiTheme="majorBidi" w:hAnsiTheme="majorBidi" w:cstheme="majorBidi"/>
          <w:lang w:val="en-GB"/>
        </w:rPr>
        <w:t xml:space="preserve"> and </w:t>
      </w:r>
      <w:r w:rsidRPr="00A9235A">
        <w:rPr>
          <w:rFonts w:asciiTheme="majorBidi" w:hAnsiTheme="majorBidi" w:cstheme="majorBidi"/>
          <w:b/>
          <w:bCs/>
          <w:lang w:val="en-GB"/>
        </w:rPr>
        <w:t>SDG 14 (Life Below Water)</w:t>
      </w:r>
      <w:r w:rsidRPr="00A9235A">
        <w:rPr>
          <w:rFonts w:asciiTheme="majorBidi" w:hAnsiTheme="majorBidi" w:cstheme="majorBidi"/>
          <w:lang w:val="en-GB"/>
        </w:rPr>
        <w:t xml:space="preserve"> are also highly relevant. Bali’s coastal ecosystems face threats from coral reef degradation, pollution, and climate change. Sustainable tourism planning aligned with these SDGs includes marine protected areas, climate-resilient infrastructure, and low-carbon tourism transport systems. Research indicates that destinations integrating climate adaptation into tourism planning demonstrate higher long-term resilience (Scott et al., 2019).</w:t>
      </w:r>
    </w:p>
    <w:p w14:paraId="1CB40165" w14:textId="6F8B91B9"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Finally, </w:t>
      </w:r>
      <w:r w:rsidRPr="00A9235A">
        <w:rPr>
          <w:rFonts w:asciiTheme="majorBidi" w:hAnsiTheme="majorBidi" w:cstheme="majorBidi"/>
          <w:b/>
          <w:bCs/>
          <w:lang w:val="en-GB"/>
        </w:rPr>
        <w:t>SDG 11 (Sustainable Cities and Communities)</w:t>
      </w:r>
      <w:r w:rsidRPr="00A9235A">
        <w:rPr>
          <w:rFonts w:asciiTheme="majorBidi" w:hAnsiTheme="majorBidi" w:cstheme="majorBidi"/>
          <w:lang w:val="en-GB"/>
        </w:rPr>
        <w:t xml:space="preserve"> supports the preservation of Bali’s cultural landscapes and traditional settlements. Integrating spatial planning, visitor flow management, and heritage protection into tourism governance helps balance development with community well-being. By embedding SDGs into destination management plans, Bali can transition from volume-driven tourism toward a sustainability-oriented model that aligns economic growth with environmental and social responsibility.</w:t>
      </w:r>
    </w:p>
    <w:p w14:paraId="2F9E1D9F" w14:textId="77777777" w:rsidR="00A9235A" w:rsidRPr="00A9235A" w:rsidRDefault="00A9235A" w:rsidP="00A9235A">
      <w:pPr>
        <w:spacing w:line="360" w:lineRule="auto"/>
        <w:rPr>
          <w:rFonts w:asciiTheme="majorBidi" w:hAnsiTheme="majorBidi" w:cstheme="majorBidi"/>
          <w:b/>
          <w:bCs/>
          <w:lang w:val="en-GB"/>
        </w:rPr>
      </w:pPr>
      <w:r w:rsidRPr="00A9235A">
        <w:rPr>
          <w:rFonts w:asciiTheme="majorBidi" w:hAnsiTheme="majorBidi" w:cstheme="majorBidi"/>
          <w:b/>
          <w:bCs/>
          <w:lang w:val="en-GB"/>
        </w:rPr>
        <w:lastRenderedPageBreak/>
        <w:t>2. Sustainable Tourism Development and the Protection of Local Heritage Without Cultural Commodification</w:t>
      </w:r>
    </w:p>
    <w:p w14:paraId="794C67C5" w14:textId="77777777" w:rsidR="00A9235A" w:rsidRPr="00A9235A" w:rsidRDefault="00A9235A" w:rsidP="00A9235A">
      <w:pPr>
        <w:spacing w:line="360" w:lineRule="auto"/>
        <w:rPr>
          <w:rFonts w:asciiTheme="majorBidi" w:hAnsiTheme="majorBidi" w:cstheme="majorBidi"/>
          <w:b/>
          <w:bCs/>
          <w:lang w:val="en-GB"/>
        </w:rPr>
      </w:pPr>
    </w:p>
    <w:p w14:paraId="5FE3213F"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Sustainable tourism development plays a crucial role in protecting and promoting local heritage and traditions while avoiding cultural commodification. Cultural commodification occurs when traditions, rituals, and identities are altered or simplified to meet tourist expectations, often resulting in loss of authenticity and community control. Sustainable tourism frameworks seek to reverse this trend by emphasizing community participation, cultural integrity, and long-term value creation.</w:t>
      </w:r>
    </w:p>
    <w:p w14:paraId="277F487A"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In destinations such as </w:t>
      </w:r>
      <w:r w:rsidRPr="00A9235A">
        <w:rPr>
          <w:rFonts w:asciiTheme="majorBidi" w:hAnsiTheme="majorBidi" w:cstheme="majorBidi"/>
          <w:b/>
          <w:bCs/>
          <w:lang w:val="en-GB"/>
        </w:rPr>
        <w:t>Bali</w:t>
      </w:r>
      <w:r w:rsidRPr="00A9235A">
        <w:rPr>
          <w:rFonts w:asciiTheme="majorBidi" w:hAnsiTheme="majorBidi" w:cstheme="majorBidi"/>
          <w:lang w:val="en-GB"/>
        </w:rPr>
        <w:t xml:space="preserve">, cultural heritage—including religious rituals, traditional architecture, and artistic practices—is a central tourism attraction. Sustainable tourism development protects this heritage by prioritizing </w:t>
      </w:r>
      <w:r w:rsidRPr="00A9235A">
        <w:rPr>
          <w:rFonts w:asciiTheme="majorBidi" w:hAnsiTheme="majorBidi" w:cstheme="majorBidi"/>
          <w:b/>
          <w:bCs/>
          <w:lang w:val="en-GB"/>
        </w:rPr>
        <w:t>community ownership and decision-making</w:t>
      </w:r>
      <w:r w:rsidRPr="00A9235A">
        <w:rPr>
          <w:rFonts w:asciiTheme="majorBidi" w:hAnsiTheme="majorBidi" w:cstheme="majorBidi"/>
          <w:lang w:val="en-GB"/>
        </w:rPr>
        <w:t>. Research shows that when local communities control how their culture is presented to visitors, the risk of commodification is significantly reduced (Timothy &amp; Boyd, 2003). Community-based tourism models allow residents to determine acceptable levels of visitor access and cultural representation.</w:t>
      </w:r>
    </w:p>
    <w:p w14:paraId="590C3AF3"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Another key mechanism is </w:t>
      </w:r>
      <w:r w:rsidRPr="00A9235A">
        <w:rPr>
          <w:rFonts w:asciiTheme="majorBidi" w:hAnsiTheme="majorBidi" w:cstheme="majorBidi"/>
          <w:b/>
          <w:bCs/>
          <w:lang w:val="en-GB"/>
        </w:rPr>
        <w:t>living heritage preservation</w:t>
      </w:r>
      <w:r w:rsidRPr="00A9235A">
        <w:rPr>
          <w:rFonts w:asciiTheme="majorBidi" w:hAnsiTheme="majorBidi" w:cstheme="majorBidi"/>
          <w:lang w:val="en-GB"/>
        </w:rPr>
        <w:t>, where cultural practices continue to evolve naturally rather than being frozen or staged exclusively for tourists. Sustainable tourism encourages visitors to observe and respect everyday cultural life rather than consume performances designed solely for entertainment. This approach aligns with cultural sustainability theory, which views heritage as dynamic and community-driven rather than static commodities (Richards, 2018).</w:t>
      </w:r>
    </w:p>
    <w:p w14:paraId="453E52D2"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Education and interpretation also play an essential role. Sustainable tourism initiatives emphasize </w:t>
      </w:r>
      <w:r w:rsidRPr="00A9235A">
        <w:rPr>
          <w:rFonts w:asciiTheme="majorBidi" w:hAnsiTheme="majorBidi" w:cstheme="majorBidi"/>
          <w:b/>
          <w:bCs/>
          <w:lang w:val="en-GB"/>
        </w:rPr>
        <w:t>cultural interpretation led by local voices</w:t>
      </w:r>
      <w:r w:rsidRPr="00A9235A">
        <w:rPr>
          <w:rFonts w:asciiTheme="majorBidi" w:hAnsiTheme="majorBidi" w:cstheme="majorBidi"/>
          <w:lang w:val="en-GB"/>
        </w:rPr>
        <w:t>, ensuring that traditions are explained within their authentic social and spiritual contexts. Studies demonstrate that informed tourists are more likely to behave respectfully and value cultural depth over spectacle (McKercher &amp; du Cros, 2002).</w:t>
      </w:r>
    </w:p>
    <w:p w14:paraId="02FC1444"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Economic sustainability further supports cultural protection. When tourism revenue is reinvested into heritage conservation, artisan training, and cultural education, traditions are strengthened rather than exploited. Evidence suggests that tourism can function as a tool for cultural revitalization when economic benefits reinforce pride, knowledge transmission, and intergenerational continuity (García-Hernández et al., 2017).</w:t>
      </w:r>
    </w:p>
    <w:p w14:paraId="1BA21D3E"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In conclusion, sustainable tourism protects local heritage not by commercializing culture, but by empowering communities, maintaining authenticity, and aligning economic incentives </w:t>
      </w:r>
      <w:r w:rsidRPr="00A9235A">
        <w:rPr>
          <w:rFonts w:asciiTheme="majorBidi" w:hAnsiTheme="majorBidi" w:cstheme="majorBidi"/>
          <w:lang w:val="en-GB"/>
        </w:rPr>
        <w:lastRenderedPageBreak/>
        <w:t>with cultural integrity. When managed responsibly, tourism becomes a platform for cultural exchange rather than cultural exploitation.</w:t>
      </w:r>
    </w:p>
    <w:p w14:paraId="5464B6FE" w14:textId="77777777" w:rsidR="00A9235A" w:rsidRPr="00A9235A" w:rsidRDefault="00A9235A" w:rsidP="00A9235A">
      <w:pPr>
        <w:spacing w:line="360" w:lineRule="auto"/>
        <w:rPr>
          <w:rFonts w:asciiTheme="majorBidi" w:hAnsiTheme="majorBidi" w:cstheme="majorBidi"/>
          <w:lang w:val="en-GB"/>
        </w:rPr>
      </w:pPr>
    </w:p>
    <w:p w14:paraId="1CED6246" w14:textId="77777777" w:rsidR="00A9235A" w:rsidRPr="00A9235A" w:rsidRDefault="00A9235A" w:rsidP="00A9235A">
      <w:pPr>
        <w:spacing w:line="360" w:lineRule="auto"/>
        <w:rPr>
          <w:rFonts w:asciiTheme="majorBidi" w:hAnsiTheme="majorBidi" w:cstheme="majorBidi"/>
          <w:lang w:val="en-GB"/>
        </w:rPr>
      </w:pPr>
    </w:p>
    <w:p w14:paraId="3BF9C1F5" w14:textId="0335E53C" w:rsidR="00A9235A" w:rsidRDefault="00A9235A" w:rsidP="00A9235A">
      <w:pPr>
        <w:spacing w:line="360" w:lineRule="auto"/>
        <w:rPr>
          <w:rFonts w:asciiTheme="majorBidi" w:hAnsiTheme="majorBidi" w:cstheme="majorBidi"/>
          <w:b/>
          <w:bCs/>
          <w:lang w:val="en-GB"/>
        </w:rPr>
      </w:pPr>
      <w:r w:rsidRPr="00A9235A">
        <w:rPr>
          <w:rFonts w:asciiTheme="majorBidi" w:hAnsiTheme="majorBidi" w:cstheme="majorBidi"/>
          <w:b/>
          <w:bCs/>
          <w:lang w:val="en-GB"/>
        </w:rPr>
        <w:t xml:space="preserve">References </w:t>
      </w:r>
    </w:p>
    <w:p w14:paraId="53923542" w14:textId="77777777" w:rsidR="00A9235A" w:rsidRPr="00A9235A" w:rsidRDefault="00A9235A" w:rsidP="00A9235A">
      <w:pPr>
        <w:spacing w:line="360" w:lineRule="auto"/>
        <w:rPr>
          <w:rFonts w:asciiTheme="majorBidi" w:hAnsiTheme="majorBidi" w:cstheme="majorBidi"/>
          <w:b/>
          <w:bCs/>
          <w:lang w:val="en-GB"/>
        </w:rPr>
      </w:pPr>
    </w:p>
    <w:p w14:paraId="7792AF30"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García-Hernández, M., de la Calle-Vaquero, M., &amp; </w:t>
      </w:r>
      <w:proofErr w:type="spellStart"/>
      <w:r w:rsidRPr="00A9235A">
        <w:rPr>
          <w:rFonts w:asciiTheme="majorBidi" w:hAnsiTheme="majorBidi" w:cstheme="majorBidi"/>
          <w:lang w:val="en-GB"/>
        </w:rPr>
        <w:t>Yubero</w:t>
      </w:r>
      <w:proofErr w:type="spellEnd"/>
      <w:r w:rsidRPr="00A9235A">
        <w:rPr>
          <w:rFonts w:asciiTheme="majorBidi" w:hAnsiTheme="majorBidi" w:cstheme="majorBidi"/>
          <w:lang w:val="en-GB"/>
        </w:rPr>
        <w:t xml:space="preserve">, C. (2017). Cultural heritage and urban tourism. </w:t>
      </w:r>
      <w:r w:rsidRPr="00A9235A">
        <w:rPr>
          <w:rFonts w:asciiTheme="majorBidi" w:hAnsiTheme="majorBidi" w:cstheme="majorBidi"/>
          <w:i/>
          <w:iCs/>
          <w:lang w:val="en-GB"/>
        </w:rPr>
        <w:t>Cities, 60</w:t>
      </w:r>
      <w:r w:rsidRPr="00A9235A">
        <w:rPr>
          <w:rFonts w:asciiTheme="majorBidi" w:hAnsiTheme="majorBidi" w:cstheme="majorBidi"/>
          <w:lang w:val="en-GB"/>
        </w:rPr>
        <w:t>, 145–154.</w:t>
      </w:r>
      <w:r w:rsidRPr="00A9235A">
        <w:rPr>
          <w:rFonts w:asciiTheme="majorBidi" w:hAnsiTheme="majorBidi" w:cstheme="majorBidi"/>
          <w:lang w:val="en-GB"/>
        </w:rPr>
        <w:br/>
        <w:t>https://doi.org/10.1016/j.cities.2016.08.012</w:t>
      </w:r>
    </w:p>
    <w:p w14:paraId="5157C6D0" w14:textId="77777777" w:rsidR="00A9235A" w:rsidRPr="00A9235A" w:rsidRDefault="00A9235A" w:rsidP="00A9235A">
      <w:pPr>
        <w:spacing w:line="360" w:lineRule="auto"/>
        <w:rPr>
          <w:rFonts w:asciiTheme="majorBidi" w:hAnsiTheme="majorBidi" w:cstheme="majorBidi"/>
          <w:lang w:val="en-GB"/>
        </w:rPr>
      </w:pPr>
      <w:proofErr w:type="spellStart"/>
      <w:r w:rsidRPr="00A9235A">
        <w:rPr>
          <w:rFonts w:asciiTheme="majorBidi" w:hAnsiTheme="majorBidi" w:cstheme="majorBidi"/>
          <w:lang w:val="en-GB"/>
        </w:rPr>
        <w:t>Gössling</w:t>
      </w:r>
      <w:proofErr w:type="spellEnd"/>
      <w:r w:rsidRPr="00A9235A">
        <w:rPr>
          <w:rFonts w:asciiTheme="majorBidi" w:hAnsiTheme="majorBidi" w:cstheme="majorBidi"/>
          <w:lang w:val="en-GB"/>
        </w:rPr>
        <w:t xml:space="preserve">, S., Hall, C. M., &amp; Weaver, D. (2011). Sustainable tourism futures. </w:t>
      </w:r>
      <w:r w:rsidRPr="00A9235A">
        <w:rPr>
          <w:rFonts w:asciiTheme="majorBidi" w:hAnsiTheme="majorBidi" w:cstheme="majorBidi"/>
          <w:i/>
          <w:iCs/>
          <w:lang w:val="en-GB"/>
        </w:rPr>
        <w:t>Tourism Recreation Research, 36</w:t>
      </w:r>
      <w:r w:rsidRPr="00A9235A">
        <w:rPr>
          <w:rFonts w:asciiTheme="majorBidi" w:hAnsiTheme="majorBidi" w:cstheme="majorBidi"/>
          <w:lang w:val="en-GB"/>
        </w:rPr>
        <w:t>(1), 9–22.</w:t>
      </w:r>
      <w:r w:rsidRPr="00A9235A">
        <w:rPr>
          <w:rFonts w:asciiTheme="majorBidi" w:hAnsiTheme="majorBidi" w:cstheme="majorBidi"/>
          <w:lang w:val="en-GB"/>
        </w:rPr>
        <w:br/>
        <w:t>https://doi.org/10.1080/02508281.2011.11081656</w:t>
      </w:r>
    </w:p>
    <w:p w14:paraId="2F72F580"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McKercher, B., &amp; du Cros, H. (2002). Cultural tourism: The partnership between tourism and cultural heritage management. </w:t>
      </w:r>
      <w:r w:rsidRPr="00A9235A">
        <w:rPr>
          <w:rFonts w:asciiTheme="majorBidi" w:hAnsiTheme="majorBidi" w:cstheme="majorBidi"/>
          <w:i/>
          <w:iCs/>
          <w:lang w:val="en-GB"/>
        </w:rPr>
        <w:t>Journal of Tourism Studies, 13</w:t>
      </w:r>
      <w:r w:rsidRPr="00A9235A">
        <w:rPr>
          <w:rFonts w:asciiTheme="majorBidi" w:hAnsiTheme="majorBidi" w:cstheme="majorBidi"/>
          <w:lang w:val="en-GB"/>
        </w:rPr>
        <w:t>(2), 2–15.</w:t>
      </w:r>
      <w:r w:rsidRPr="00A9235A">
        <w:rPr>
          <w:rFonts w:asciiTheme="majorBidi" w:hAnsiTheme="majorBidi" w:cstheme="majorBidi"/>
          <w:lang w:val="en-GB"/>
        </w:rPr>
        <w:br/>
        <w:t>https://doi.org/10.1080/13683500208667925</w:t>
      </w:r>
    </w:p>
    <w:p w14:paraId="68410477"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Richards, G. (2018). Cultural tourism: A review of recent research and trends. </w:t>
      </w:r>
      <w:r w:rsidRPr="00A9235A">
        <w:rPr>
          <w:rFonts w:asciiTheme="majorBidi" w:hAnsiTheme="majorBidi" w:cstheme="majorBidi"/>
          <w:i/>
          <w:iCs/>
          <w:lang w:val="en-GB"/>
        </w:rPr>
        <w:t>Journal of Hospitality and Tourism Management, 36</w:t>
      </w:r>
      <w:r w:rsidRPr="00A9235A">
        <w:rPr>
          <w:rFonts w:asciiTheme="majorBidi" w:hAnsiTheme="majorBidi" w:cstheme="majorBidi"/>
          <w:lang w:val="en-GB"/>
        </w:rPr>
        <w:t>, 12–21.</w:t>
      </w:r>
      <w:r w:rsidRPr="00A9235A">
        <w:rPr>
          <w:rFonts w:asciiTheme="majorBidi" w:hAnsiTheme="majorBidi" w:cstheme="majorBidi"/>
          <w:lang w:val="en-GB"/>
        </w:rPr>
        <w:br/>
      </w:r>
      <w:hyperlink r:id="rId5" w:tgtFrame="_new" w:history="1">
        <w:r w:rsidRPr="00A9235A">
          <w:rPr>
            <w:rStyle w:val="Hyperlink"/>
            <w:rFonts w:asciiTheme="majorBidi" w:hAnsiTheme="majorBidi" w:cstheme="majorBidi"/>
            <w:lang w:val="en-GB"/>
          </w:rPr>
          <w:t>https://doi.org/10.1016/j.jhtm.2018.03.005</w:t>
        </w:r>
      </w:hyperlink>
    </w:p>
    <w:p w14:paraId="215548B0"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Scott, D., Hall, C. M., &amp; </w:t>
      </w:r>
      <w:proofErr w:type="spellStart"/>
      <w:r w:rsidRPr="00A9235A">
        <w:rPr>
          <w:rFonts w:asciiTheme="majorBidi" w:hAnsiTheme="majorBidi" w:cstheme="majorBidi"/>
          <w:lang w:val="en-GB"/>
        </w:rPr>
        <w:t>Gössling</w:t>
      </w:r>
      <w:proofErr w:type="spellEnd"/>
      <w:r w:rsidRPr="00A9235A">
        <w:rPr>
          <w:rFonts w:asciiTheme="majorBidi" w:hAnsiTheme="majorBidi" w:cstheme="majorBidi"/>
          <w:lang w:val="en-GB"/>
        </w:rPr>
        <w:t xml:space="preserve">, S. (2019). Global tourism vulnerability to climate change. </w:t>
      </w:r>
      <w:r w:rsidRPr="00A9235A">
        <w:rPr>
          <w:rFonts w:asciiTheme="majorBidi" w:hAnsiTheme="majorBidi" w:cstheme="majorBidi"/>
          <w:i/>
          <w:iCs/>
          <w:lang w:val="en-GB"/>
        </w:rPr>
        <w:t>Annals of Tourism Research, 77</w:t>
      </w:r>
      <w:r w:rsidRPr="00A9235A">
        <w:rPr>
          <w:rFonts w:asciiTheme="majorBidi" w:hAnsiTheme="majorBidi" w:cstheme="majorBidi"/>
          <w:lang w:val="en-GB"/>
        </w:rPr>
        <w:t>, 49–61.</w:t>
      </w:r>
      <w:r w:rsidRPr="00A9235A">
        <w:rPr>
          <w:rFonts w:asciiTheme="majorBidi" w:hAnsiTheme="majorBidi" w:cstheme="majorBidi"/>
          <w:lang w:val="en-GB"/>
        </w:rPr>
        <w:br/>
      </w:r>
      <w:hyperlink r:id="rId6" w:tgtFrame="_new" w:history="1">
        <w:r w:rsidRPr="00A9235A">
          <w:rPr>
            <w:rStyle w:val="Hyperlink"/>
            <w:rFonts w:asciiTheme="majorBidi" w:hAnsiTheme="majorBidi" w:cstheme="majorBidi"/>
            <w:lang w:val="en-GB"/>
          </w:rPr>
          <w:t>https://doi.org/10.1016/j.annals.2019.05.007</w:t>
        </w:r>
      </w:hyperlink>
    </w:p>
    <w:p w14:paraId="5FD23A4A"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Timothy, D. J., &amp; Boyd, S. W. (2003). Heritage tourism. </w:t>
      </w:r>
      <w:r w:rsidRPr="00A9235A">
        <w:rPr>
          <w:rFonts w:asciiTheme="majorBidi" w:hAnsiTheme="majorBidi" w:cstheme="majorBidi"/>
          <w:i/>
          <w:iCs/>
          <w:lang w:val="en-GB"/>
        </w:rPr>
        <w:t>Tourism Management, 24</w:t>
      </w:r>
      <w:r w:rsidRPr="00A9235A">
        <w:rPr>
          <w:rFonts w:asciiTheme="majorBidi" w:hAnsiTheme="majorBidi" w:cstheme="majorBidi"/>
          <w:lang w:val="en-GB"/>
        </w:rPr>
        <w:t>(5), 537–545.</w:t>
      </w:r>
      <w:r w:rsidRPr="00A9235A">
        <w:rPr>
          <w:rFonts w:asciiTheme="majorBidi" w:hAnsiTheme="majorBidi" w:cstheme="majorBidi"/>
          <w:lang w:val="en-GB"/>
        </w:rPr>
        <w:br/>
        <w:t>https://doi.org/10.1016/S0261-5177(03)00035-8</w:t>
      </w:r>
    </w:p>
    <w:p w14:paraId="1F13051F"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UNWTO. (2018). Tourism and the Sustainable Development Goals. </w:t>
      </w:r>
      <w:r w:rsidRPr="00A9235A">
        <w:rPr>
          <w:rFonts w:asciiTheme="majorBidi" w:hAnsiTheme="majorBidi" w:cstheme="majorBidi"/>
          <w:i/>
          <w:iCs/>
          <w:lang w:val="en-GB"/>
        </w:rPr>
        <w:t>Journal of Sustainable Tourism, 26</w:t>
      </w:r>
      <w:r w:rsidRPr="00A9235A">
        <w:rPr>
          <w:rFonts w:asciiTheme="majorBidi" w:hAnsiTheme="majorBidi" w:cstheme="majorBidi"/>
          <w:lang w:val="en-GB"/>
        </w:rPr>
        <w:t>(7), 1–15.</w:t>
      </w:r>
      <w:r w:rsidRPr="00A9235A">
        <w:rPr>
          <w:rFonts w:asciiTheme="majorBidi" w:hAnsiTheme="majorBidi" w:cstheme="majorBidi"/>
          <w:lang w:val="en-GB"/>
        </w:rPr>
        <w:br/>
        <w:t>https://doi.org/10.1080/09669582.2018.1427480</w:t>
      </w:r>
    </w:p>
    <w:p w14:paraId="37B840BE" w14:textId="77777777" w:rsidR="00A9235A" w:rsidRPr="00A9235A" w:rsidRDefault="00A9235A" w:rsidP="00A9235A">
      <w:pPr>
        <w:spacing w:line="360" w:lineRule="auto"/>
        <w:rPr>
          <w:rFonts w:asciiTheme="majorBidi" w:hAnsiTheme="majorBidi" w:cstheme="majorBidi"/>
          <w:lang w:val="en-GB"/>
        </w:rPr>
      </w:pPr>
      <w:r w:rsidRPr="00A9235A">
        <w:rPr>
          <w:rFonts w:asciiTheme="majorBidi" w:hAnsiTheme="majorBidi" w:cstheme="majorBidi"/>
          <w:lang w:val="en-GB"/>
        </w:rPr>
        <w:t xml:space="preserve">Sharpley, R. (2020). Tourism, sustainable development and the theoretical divide. </w:t>
      </w:r>
      <w:r w:rsidRPr="00A9235A">
        <w:rPr>
          <w:rFonts w:asciiTheme="majorBidi" w:hAnsiTheme="majorBidi" w:cstheme="majorBidi"/>
          <w:i/>
          <w:iCs/>
          <w:lang w:val="en-GB"/>
        </w:rPr>
        <w:t>Journal of Sustainable Tourism, 28</w:t>
      </w:r>
      <w:r w:rsidRPr="00A9235A">
        <w:rPr>
          <w:rFonts w:asciiTheme="majorBidi" w:hAnsiTheme="majorBidi" w:cstheme="majorBidi"/>
          <w:lang w:val="en-GB"/>
        </w:rPr>
        <w:t>(11), 193–210.</w:t>
      </w:r>
      <w:r w:rsidRPr="00A9235A">
        <w:rPr>
          <w:rFonts w:asciiTheme="majorBidi" w:hAnsiTheme="majorBidi" w:cstheme="majorBidi"/>
          <w:lang w:val="en-GB"/>
        </w:rPr>
        <w:br/>
        <w:t>https://doi.org/10.1080/09669582.2020.1745601</w:t>
      </w:r>
    </w:p>
    <w:p w14:paraId="0D4A8134" w14:textId="77777777" w:rsidR="00A9235A" w:rsidRPr="00A9235A" w:rsidRDefault="00A9235A" w:rsidP="00A9235A">
      <w:pPr>
        <w:spacing w:line="360" w:lineRule="auto"/>
        <w:rPr>
          <w:rFonts w:asciiTheme="majorBidi" w:hAnsiTheme="majorBidi" w:cstheme="majorBidi"/>
          <w:lang w:val="en-US"/>
        </w:rPr>
      </w:pPr>
    </w:p>
    <w:sectPr w:rsidR="00A9235A" w:rsidRPr="00A923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371C9E83-283A-4F51-9CE4-816DC623D5C0}"/>
    <w:embedBold r:id="rId2" w:fontKey="{4A5FBA63-0660-4095-B6FD-4CAFE18772F3}"/>
    <w:embedItalic r:id="rId3" w:fontKey="{D24382AE-0514-4708-A834-0096C9CED40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6487C8C-B28C-43F3-91E8-FF58060126C4}"/>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817C2B41-BBE2-4E52-8AB2-E10584DF633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502E29"/>
    <w:rsid w:val="005E458B"/>
    <w:rsid w:val="00661030"/>
    <w:rsid w:val="00844EC2"/>
    <w:rsid w:val="008516FE"/>
    <w:rsid w:val="008B2650"/>
    <w:rsid w:val="00903466"/>
    <w:rsid w:val="009C1D0A"/>
    <w:rsid w:val="00A044F7"/>
    <w:rsid w:val="00A8150E"/>
    <w:rsid w:val="00A9235A"/>
    <w:rsid w:val="00B20343"/>
    <w:rsid w:val="00B85EA7"/>
    <w:rsid w:val="00BE65DD"/>
    <w:rsid w:val="00C21EBA"/>
    <w:rsid w:val="00C612A4"/>
    <w:rsid w:val="00CC6AD1"/>
    <w:rsid w:val="00CD620A"/>
    <w:rsid w:val="00E6778A"/>
    <w:rsid w:val="00EA737F"/>
    <w:rsid w:val="00F0761B"/>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86265"/>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A9235A"/>
    <w:rPr>
      <w:color w:val="0563C1" w:themeColor="hyperlink"/>
      <w:u w:val="single"/>
    </w:rPr>
  </w:style>
  <w:style w:type="character" w:styleId="UnresolvedMention">
    <w:name w:val="Unresolved Mention"/>
    <w:basedOn w:val="DefaultParagraphFont"/>
    <w:uiPriority w:val="99"/>
    <w:semiHidden/>
    <w:unhideWhenUsed/>
    <w:rsid w:val="00A92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annals.2019.05.007" TargetMode="External"/><Relationship Id="rId5" Type="http://schemas.openxmlformats.org/officeDocument/2006/relationships/hyperlink" Target="https://doi.org/10.1016/j.jhtm.2018.03.005"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1124</Words>
  <Characters>6410</Characters>
  <Application>Microsoft Office Word</Application>
  <DocSecurity>0</DocSecurity>
  <Lines>53</Lines>
  <Paragraphs>15</Paragraphs>
  <ScaleCrop>false</ScaleCrop>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2026-02-10T08:06:00Z</dcterms:created>
  <dcterms:modified xsi:type="dcterms:W3CDTF">2026-02-10T08:06:00Z</dcterms:modified>
</cp:coreProperties>
</file>