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Default="00BE59B0" w:rsidP="00EC2E15">
      <w:pPr>
        <w:spacing w:after="0" w:line="480" w:lineRule="auto"/>
        <w:jc w:val="center"/>
        <w:rPr>
          <w:rFonts w:ascii="Times New Roman" w:hAnsi="Times New Roman" w:cs="Times New Roman"/>
          <w:sz w:val="24"/>
        </w:rPr>
      </w:pPr>
    </w:p>
    <w:p w:rsidR="00BE59B0" w:rsidRPr="00BE59B0" w:rsidRDefault="00BE59B0" w:rsidP="00EC2E15">
      <w:pPr>
        <w:spacing w:after="0" w:line="480" w:lineRule="auto"/>
        <w:jc w:val="center"/>
        <w:rPr>
          <w:rFonts w:ascii="Times New Roman" w:hAnsi="Times New Roman" w:cs="Times New Roman"/>
          <w:sz w:val="24"/>
        </w:rPr>
      </w:pPr>
    </w:p>
    <w:p w:rsidR="00F279EB" w:rsidRPr="00F279EB" w:rsidRDefault="00F279EB" w:rsidP="00F279EB">
      <w:pPr>
        <w:spacing w:line="480" w:lineRule="auto"/>
        <w:jc w:val="center"/>
        <w:rPr>
          <w:rFonts w:ascii="Times New Roman" w:hAnsi="Times New Roman" w:cs="Times New Roman"/>
          <w:bCs/>
          <w:sz w:val="24"/>
          <w:szCs w:val="24"/>
        </w:rPr>
      </w:pPr>
      <w:r w:rsidRPr="00F279EB">
        <w:rPr>
          <w:rFonts w:ascii="Times New Roman" w:hAnsi="Times New Roman" w:cs="Times New Roman"/>
          <w:b/>
          <w:bCs/>
          <w:sz w:val="24"/>
          <w:szCs w:val="24"/>
        </w:rPr>
        <w:t xml:space="preserve">Name: </w:t>
      </w:r>
      <w:r w:rsidRPr="00F279EB">
        <w:rPr>
          <w:rFonts w:ascii="Times New Roman" w:hAnsi="Times New Roman" w:cs="Times New Roman"/>
          <w:bCs/>
          <w:sz w:val="24"/>
          <w:szCs w:val="24"/>
        </w:rPr>
        <w:t>Sunil Kumar</w:t>
      </w:r>
    </w:p>
    <w:p w:rsidR="00F279EB" w:rsidRPr="00F279EB" w:rsidRDefault="00F279EB" w:rsidP="00F279EB">
      <w:pPr>
        <w:spacing w:line="480" w:lineRule="auto"/>
        <w:jc w:val="center"/>
        <w:rPr>
          <w:rFonts w:ascii="Times New Roman" w:hAnsi="Times New Roman" w:cs="Times New Roman"/>
          <w:bCs/>
          <w:sz w:val="24"/>
          <w:szCs w:val="24"/>
        </w:rPr>
      </w:pPr>
      <w:r w:rsidRPr="00F279EB">
        <w:rPr>
          <w:rFonts w:ascii="Times New Roman" w:hAnsi="Times New Roman" w:cs="Times New Roman"/>
          <w:b/>
          <w:bCs/>
          <w:sz w:val="24"/>
          <w:szCs w:val="24"/>
        </w:rPr>
        <w:t>Student ID</w:t>
      </w:r>
      <w:r w:rsidRPr="00F279EB">
        <w:rPr>
          <w:rFonts w:ascii="Times New Roman" w:hAnsi="Times New Roman" w:cs="Times New Roman"/>
          <w:bCs/>
          <w:sz w:val="24"/>
          <w:szCs w:val="24"/>
        </w:rPr>
        <w:t>: DE240173</w:t>
      </w:r>
    </w:p>
    <w:p w:rsidR="00F279EB" w:rsidRPr="00BE59B0" w:rsidRDefault="00F279EB" w:rsidP="00F279EB">
      <w:pPr>
        <w:spacing w:after="0" w:line="480" w:lineRule="auto"/>
        <w:jc w:val="center"/>
        <w:rPr>
          <w:rFonts w:ascii="Times New Roman" w:hAnsi="Times New Roman" w:cs="Times New Roman"/>
          <w:sz w:val="24"/>
        </w:rPr>
      </w:pPr>
      <w:r w:rsidRPr="00F279EB">
        <w:rPr>
          <w:rFonts w:ascii="Times New Roman" w:hAnsi="Times New Roman" w:cs="Times New Roman"/>
          <w:b/>
          <w:bCs/>
          <w:sz w:val="24"/>
          <w:szCs w:val="24"/>
        </w:rPr>
        <w:t>Assignment Title</w:t>
      </w:r>
      <w:r w:rsidRPr="00F279EB">
        <w:rPr>
          <w:rFonts w:ascii="Times New Roman" w:hAnsi="Times New Roman" w:cs="Times New Roman"/>
          <w:bCs/>
          <w:sz w:val="24"/>
          <w:szCs w:val="24"/>
        </w:rPr>
        <w:t xml:space="preserve">: </w:t>
      </w:r>
      <w:r w:rsidRPr="00BE59B0">
        <w:rPr>
          <w:rFonts w:ascii="Times New Roman" w:hAnsi="Times New Roman" w:cs="Times New Roman"/>
          <w:sz w:val="24"/>
        </w:rPr>
        <w:t xml:space="preserve">Sustainable Culinary Tourism – Balancing Authenticity and Global Demand </w:t>
      </w:r>
    </w:p>
    <w:p w:rsidR="00F279EB" w:rsidRPr="00F279EB" w:rsidRDefault="00F279EB" w:rsidP="00F279EB">
      <w:pPr>
        <w:spacing w:line="480" w:lineRule="auto"/>
        <w:jc w:val="center"/>
        <w:rPr>
          <w:rFonts w:ascii="Times New Roman" w:hAnsi="Times New Roman" w:cs="Times New Roman"/>
          <w:b/>
          <w:bCs/>
          <w:sz w:val="24"/>
          <w:szCs w:val="24"/>
        </w:rPr>
      </w:pPr>
      <w:r w:rsidRPr="00F279EB">
        <w:rPr>
          <w:rFonts w:ascii="Times New Roman" w:hAnsi="Times New Roman" w:cs="Times New Roman"/>
          <w:b/>
          <w:bCs/>
          <w:sz w:val="24"/>
          <w:szCs w:val="24"/>
        </w:rPr>
        <w:t>Date</w:t>
      </w:r>
      <w:r w:rsidRPr="00F279EB">
        <w:rPr>
          <w:rFonts w:ascii="Times New Roman" w:hAnsi="Times New Roman" w:cs="Times New Roman"/>
          <w:bCs/>
          <w:sz w:val="24"/>
          <w:szCs w:val="24"/>
        </w:rPr>
        <w:t xml:space="preserve">: </w:t>
      </w:r>
      <w:proofErr w:type="gramStart"/>
      <w:r w:rsidRPr="00F279EB">
        <w:rPr>
          <w:rFonts w:ascii="Times New Roman" w:hAnsi="Times New Roman" w:cs="Times New Roman"/>
          <w:bCs/>
          <w:sz w:val="24"/>
          <w:szCs w:val="24"/>
        </w:rPr>
        <w:t>28</w:t>
      </w:r>
      <w:r w:rsidRPr="00F279EB">
        <w:rPr>
          <w:rFonts w:ascii="Times New Roman" w:hAnsi="Times New Roman" w:cs="Times New Roman"/>
          <w:bCs/>
          <w:sz w:val="24"/>
          <w:szCs w:val="24"/>
          <w:vertAlign w:val="superscript"/>
        </w:rPr>
        <w:t>th</w:t>
      </w:r>
      <w:proofErr w:type="gramEnd"/>
      <w:r w:rsidRPr="00F279EB">
        <w:rPr>
          <w:rFonts w:ascii="Times New Roman" w:hAnsi="Times New Roman" w:cs="Times New Roman"/>
          <w:bCs/>
          <w:sz w:val="24"/>
          <w:szCs w:val="24"/>
        </w:rPr>
        <w:t xml:space="preserve"> November 2025</w:t>
      </w:r>
    </w:p>
    <w:p w:rsidR="00BE59B0" w:rsidRDefault="00BE59B0" w:rsidP="00EC2E15">
      <w:pPr>
        <w:spacing w:after="0" w:line="480" w:lineRule="auto"/>
        <w:jc w:val="center"/>
        <w:rPr>
          <w:rStyle w:val="Heading1Char"/>
          <w:rFonts w:ascii="Times New Roman" w:hAnsi="Times New Roman" w:cs="Times New Roman"/>
          <w:b/>
          <w:sz w:val="28"/>
        </w:rPr>
      </w:pPr>
    </w:p>
    <w:p w:rsidR="00BE59B0" w:rsidRDefault="00BE59B0" w:rsidP="00EC2E15">
      <w:pPr>
        <w:spacing w:after="0" w:line="480" w:lineRule="auto"/>
        <w:jc w:val="center"/>
        <w:rPr>
          <w:rStyle w:val="Heading1Char"/>
          <w:rFonts w:ascii="Times New Roman" w:hAnsi="Times New Roman" w:cs="Times New Roman"/>
          <w:b/>
          <w:sz w:val="28"/>
        </w:rPr>
      </w:pPr>
    </w:p>
    <w:p w:rsidR="00BE59B0" w:rsidRDefault="00BE59B0" w:rsidP="00EC2E15">
      <w:pPr>
        <w:spacing w:after="0" w:line="480" w:lineRule="auto"/>
        <w:jc w:val="center"/>
        <w:rPr>
          <w:rStyle w:val="Heading1Char"/>
          <w:rFonts w:ascii="Times New Roman" w:hAnsi="Times New Roman" w:cs="Times New Roman"/>
          <w:b/>
          <w:sz w:val="28"/>
        </w:rPr>
      </w:pPr>
    </w:p>
    <w:p w:rsidR="00BE59B0" w:rsidRDefault="00BE59B0" w:rsidP="00EC2E15">
      <w:pPr>
        <w:spacing w:after="0" w:line="480" w:lineRule="auto"/>
        <w:jc w:val="center"/>
        <w:rPr>
          <w:rStyle w:val="Heading1Char"/>
          <w:rFonts w:ascii="Times New Roman" w:hAnsi="Times New Roman" w:cs="Times New Roman"/>
          <w:b/>
          <w:sz w:val="28"/>
        </w:rPr>
      </w:pPr>
    </w:p>
    <w:p w:rsidR="00D21B38" w:rsidRDefault="00D21B38" w:rsidP="00EC2E15">
      <w:pPr>
        <w:spacing w:after="0" w:line="480" w:lineRule="auto"/>
        <w:jc w:val="center"/>
        <w:rPr>
          <w:rStyle w:val="Heading1Char"/>
          <w:rFonts w:ascii="Times New Roman" w:hAnsi="Times New Roman" w:cs="Times New Roman"/>
          <w:b/>
          <w:sz w:val="28"/>
        </w:rPr>
        <w:sectPr w:rsidR="00D21B38">
          <w:pgSz w:w="12240" w:h="15840"/>
          <w:pgMar w:top="1440" w:right="1440" w:bottom="1440" w:left="1440" w:header="720" w:footer="720" w:gutter="0"/>
          <w:cols w:space="720"/>
          <w:docGrid w:linePitch="360"/>
        </w:sectPr>
      </w:pPr>
    </w:p>
    <w:sdt>
      <w:sdtPr>
        <w:id w:val="334350466"/>
        <w:docPartObj>
          <w:docPartGallery w:val="Table of Contents"/>
          <w:docPartUnique/>
        </w:docPartObj>
      </w:sdtPr>
      <w:sdtEndPr>
        <w:rPr>
          <w:rFonts w:ascii="Times New Roman" w:eastAsiaTheme="minorHAnsi" w:hAnsi="Times New Roman" w:cs="Times New Roman"/>
          <w:bCs/>
          <w:noProof/>
          <w:color w:val="auto"/>
          <w:sz w:val="24"/>
          <w:szCs w:val="22"/>
        </w:rPr>
      </w:sdtEndPr>
      <w:sdtContent>
        <w:p w:rsidR="004F065A" w:rsidRPr="004F065A" w:rsidRDefault="004F065A" w:rsidP="00E71F4A">
          <w:pPr>
            <w:pStyle w:val="TOCHeading"/>
            <w:spacing w:line="360" w:lineRule="auto"/>
            <w:jc w:val="center"/>
            <w:rPr>
              <w:rFonts w:ascii="Times New Roman" w:hAnsi="Times New Roman" w:cs="Times New Roman"/>
              <w:b/>
              <w:sz w:val="28"/>
            </w:rPr>
          </w:pPr>
          <w:r w:rsidRPr="004F065A">
            <w:rPr>
              <w:rFonts w:ascii="Times New Roman" w:hAnsi="Times New Roman" w:cs="Times New Roman"/>
              <w:b/>
              <w:sz w:val="28"/>
            </w:rPr>
            <w:t>Table of Contents</w:t>
          </w:r>
        </w:p>
        <w:p w:rsidR="004F065A" w:rsidRPr="004F065A" w:rsidRDefault="004F065A" w:rsidP="00E71F4A">
          <w:pPr>
            <w:spacing w:line="360" w:lineRule="auto"/>
          </w:pPr>
        </w:p>
        <w:p w:rsidR="004F065A" w:rsidRPr="004F065A" w:rsidRDefault="004F065A" w:rsidP="00E71F4A">
          <w:pPr>
            <w:pStyle w:val="TOC1"/>
            <w:tabs>
              <w:tab w:val="right" w:leader="dot" w:pos="9350"/>
            </w:tabs>
            <w:spacing w:line="360" w:lineRule="auto"/>
            <w:rPr>
              <w:rFonts w:ascii="Times New Roman" w:hAnsi="Times New Roman" w:cs="Times New Roman"/>
              <w:noProof/>
              <w:sz w:val="24"/>
            </w:rPr>
          </w:pPr>
          <w:r w:rsidRPr="004F065A">
            <w:rPr>
              <w:rFonts w:ascii="Times New Roman" w:hAnsi="Times New Roman" w:cs="Times New Roman"/>
              <w:sz w:val="24"/>
            </w:rPr>
            <w:fldChar w:fldCharType="begin"/>
          </w:r>
          <w:r w:rsidRPr="004F065A">
            <w:rPr>
              <w:rFonts w:ascii="Times New Roman" w:hAnsi="Times New Roman" w:cs="Times New Roman"/>
              <w:sz w:val="24"/>
            </w:rPr>
            <w:instrText xml:space="preserve"> TOC \o "1-3" \h \z \u </w:instrText>
          </w:r>
          <w:r w:rsidRPr="004F065A">
            <w:rPr>
              <w:rFonts w:ascii="Times New Roman" w:hAnsi="Times New Roman" w:cs="Times New Roman"/>
              <w:sz w:val="24"/>
            </w:rPr>
            <w:fldChar w:fldCharType="separate"/>
          </w:r>
          <w:hyperlink w:anchor="_Toc214890652" w:history="1">
            <w:r w:rsidRPr="004F065A">
              <w:rPr>
                <w:rStyle w:val="Hyperlink"/>
                <w:rFonts w:ascii="Times New Roman" w:hAnsi="Times New Roman" w:cs="Times New Roman"/>
                <w:noProof/>
                <w:sz w:val="24"/>
              </w:rPr>
              <w:t>Abstract</w:t>
            </w:r>
            <w:r w:rsidRPr="004F065A">
              <w:rPr>
                <w:rFonts w:ascii="Times New Roman" w:hAnsi="Times New Roman" w:cs="Times New Roman"/>
                <w:noProof/>
                <w:webHidden/>
                <w:sz w:val="24"/>
              </w:rPr>
              <w:tab/>
            </w:r>
            <w:r w:rsidRPr="004F065A">
              <w:rPr>
                <w:rFonts w:ascii="Times New Roman" w:hAnsi="Times New Roman" w:cs="Times New Roman"/>
                <w:noProof/>
                <w:webHidden/>
                <w:sz w:val="24"/>
              </w:rPr>
              <w:fldChar w:fldCharType="begin"/>
            </w:r>
            <w:r w:rsidRPr="004F065A">
              <w:rPr>
                <w:rFonts w:ascii="Times New Roman" w:hAnsi="Times New Roman" w:cs="Times New Roman"/>
                <w:noProof/>
                <w:webHidden/>
                <w:sz w:val="24"/>
              </w:rPr>
              <w:instrText xml:space="preserve"> PAGEREF _Toc214890652 \h </w:instrText>
            </w:r>
            <w:r w:rsidRPr="004F065A">
              <w:rPr>
                <w:rFonts w:ascii="Times New Roman" w:hAnsi="Times New Roman" w:cs="Times New Roman"/>
                <w:noProof/>
                <w:webHidden/>
                <w:sz w:val="24"/>
              </w:rPr>
            </w:r>
            <w:r w:rsidRPr="004F065A">
              <w:rPr>
                <w:rFonts w:ascii="Times New Roman" w:hAnsi="Times New Roman" w:cs="Times New Roman"/>
                <w:noProof/>
                <w:webHidden/>
                <w:sz w:val="24"/>
              </w:rPr>
              <w:fldChar w:fldCharType="separate"/>
            </w:r>
            <w:r w:rsidRPr="004F065A">
              <w:rPr>
                <w:rFonts w:ascii="Times New Roman" w:hAnsi="Times New Roman" w:cs="Times New Roman"/>
                <w:noProof/>
                <w:webHidden/>
                <w:sz w:val="24"/>
              </w:rPr>
              <w:t>2</w:t>
            </w:r>
            <w:r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653" w:history="1">
            <w:r w:rsidR="004F065A" w:rsidRPr="004F065A">
              <w:rPr>
                <w:rStyle w:val="Hyperlink"/>
                <w:rFonts w:ascii="Times New Roman" w:eastAsia="Times New Roman" w:hAnsi="Times New Roman" w:cs="Times New Roman"/>
                <w:noProof/>
                <w:sz w:val="24"/>
              </w:rPr>
              <w:t>1. Introduction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_Toc214890653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54" w:history="1">
            <w:r w:rsidR="004F065A" w:rsidRPr="004F065A">
              <w:rPr>
                <w:rStyle w:val="Hyperlink"/>
                <w:rFonts w:ascii="Times New Roman" w:hAnsi="Times New Roman" w:cs="Times New Roman"/>
                <w:noProof/>
                <w:sz w:val="24"/>
              </w:rPr>
              <w:t>1.1 Background</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_Toc214890654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56" w:history="1">
            <w:r w:rsidR="004F065A" w:rsidRPr="004F065A">
              <w:rPr>
                <w:rStyle w:val="Hyperlink"/>
                <w:rFonts w:ascii="Times New Roman" w:hAnsi="Times New Roman" w:cs="Times New Roman"/>
                <w:noProof/>
                <w:sz w:val="24"/>
              </w:rPr>
              <w:t>1.2 Sustainability Dimensions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_Toc214890656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58" w:history="1">
            <w:r w:rsidR="004F065A" w:rsidRPr="004F065A">
              <w:rPr>
                <w:rStyle w:val="Hyperlink"/>
                <w:rFonts w:ascii="Times New Roman" w:hAnsi="Times New Roman" w:cs="Times New Roman"/>
                <w:noProof/>
                <w:sz w:val="24"/>
              </w:rPr>
              <w:t>1.3 Research Aim and Relevance</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_Toc214890658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60" w:history="1">
            <w:r w:rsidR="004F065A" w:rsidRPr="004F065A">
              <w:rPr>
                <w:rStyle w:val="Hyperlink"/>
                <w:rFonts w:ascii="Times New Roman" w:hAnsi="Times New Roman" w:cs="Times New Roman"/>
                <w:noProof/>
                <w:sz w:val="24"/>
              </w:rPr>
              <w:t>1.4 Structure of the Paper</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_Toc214890660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4</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661" w:history="1">
            <w:r w:rsidR="004F065A" w:rsidRPr="004F065A">
              <w:rPr>
                <w:rStyle w:val="Hyperlink"/>
                <w:rFonts w:ascii="Times New Roman" w:hAnsi="Times New Roman" w:cs="Times New Roman"/>
                <w:noProof/>
                <w:sz w:val="24"/>
              </w:rPr>
              <w:t>2. Literature Review</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_Toc214890661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4</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62" w:history="1">
            <w:r w:rsidR="004F065A" w:rsidRPr="004F065A">
              <w:rPr>
                <w:rStyle w:val="Hyperlink"/>
                <w:rFonts w:ascii="Times New Roman" w:hAnsi="Times New Roman" w:cs="Times New Roman"/>
                <w:noProof/>
                <w:sz w:val="24"/>
              </w:rPr>
              <w:t>2.1 Culinary Tourism: Concepts and Tensions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_Toc214890662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4</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64" w:history="1">
            <w:r w:rsidR="004F065A" w:rsidRPr="004F065A">
              <w:rPr>
                <w:rStyle w:val="Hyperlink"/>
                <w:rFonts w:ascii="Times New Roman" w:hAnsi="Times New Roman" w:cs="Times New Roman"/>
                <w:noProof/>
                <w:sz w:val="24"/>
              </w:rPr>
              <w:t>2.2 Sustainability Frameworks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_Toc214890664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5</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66" w:history="1">
            <w:r w:rsidR="004F065A" w:rsidRPr="004F065A">
              <w:rPr>
                <w:rStyle w:val="Hyperlink"/>
                <w:rFonts w:ascii="Times New Roman" w:hAnsi="Times New Roman" w:cs="Times New Roman"/>
                <w:noProof/>
                <w:sz w:val="24"/>
              </w:rPr>
              <w:t>2.3 Quality Assurance Systems in Culinary Tourism</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_Toc214890666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6</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68" w:history="1">
            <w:r w:rsidR="004F065A" w:rsidRPr="004F065A">
              <w:rPr>
                <w:rStyle w:val="Hyperlink"/>
                <w:rFonts w:ascii="Times New Roman" w:hAnsi="Times New Roman" w:cs="Times New Roman"/>
                <w:noProof/>
                <w:sz w:val="24"/>
              </w:rPr>
              <w:t>2.4 Sustainable Gastronomy Models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_Toc214890668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7</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670" w:history="1">
            <w:r w:rsidR="004F065A" w:rsidRPr="004F065A">
              <w:rPr>
                <w:rStyle w:val="Hyperlink"/>
                <w:rFonts w:ascii="Times New Roman" w:hAnsi="Times New Roman" w:cs="Times New Roman"/>
                <w:noProof/>
                <w:sz w:val="24"/>
              </w:rPr>
              <w:t>3. Methodology</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_Toc214890670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71" w:history="1">
            <w:r w:rsidR="004F065A" w:rsidRPr="004F065A">
              <w:rPr>
                <w:rStyle w:val="Hyperlink"/>
                <w:rFonts w:ascii="Times New Roman" w:hAnsi="Times New Roman" w:cs="Times New Roman"/>
                <w:noProof/>
                <w:sz w:val="24"/>
              </w:rPr>
              <w:t>3.1 Research Design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_Toc214890671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73" w:history="1">
            <w:r w:rsidR="004F065A" w:rsidRPr="004F065A">
              <w:rPr>
                <w:rStyle w:val="Hyperlink"/>
                <w:rFonts w:ascii="Times New Roman" w:hAnsi="Times New Roman" w:cs="Times New Roman"/>
                <w:noProof/>
                <w:sz w:val="24"/>
              </w:rPr>
              <w:t>3.2 Analytical Approach</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_Toc214890673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9</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75" w:history="1">
            <w:r w:rsidR="004F065A" w:rsidRPr="004F065A">
              <w:rPr>
                <w:rStyle w:val="Hyperlink"/>
                <w:rFonts w:ascii="Times New Roman" w:hAnsi="Times New Roman" w:cs="Times New Roman"/>
                <w:noProof/>
                <w:sz w:val="24"/>
              </w:rPr>
              <w:t>3.3 Data Sources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_Toc214890675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9</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77" w:history="1">
            <w:r w:rsidR="004F065A" w:rsidRPr="004F065A">
              <w:rPr>
                <w:rStyle w:val="Hyperlink"/>
                <w:rFonts w:ascii="Times New Roman" w:hAnsi="Times New Roman" w:cs="Times New Roman"/>
                <w:noProof/>
                <w:sz w:val="24"/>
              </w:rPr>
              <w:t>3.4 Limitations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_Toc214890677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9</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79" w:history="1">
            <w:r w:rsidR="004F065A" w:rsidRPr="004F065A">
              <w:rPr>
                <w:rStyle w:val="Hyperlink"/>
                <w:rFonts w:ascii="Times New Roman" w:hAnsi="Times New Roman" w:cs="Times New Roman"/>
                <w:noProof/>
                <w:sz w:val="24"/>
              </w:rPr>
              <w:t>3.5 Ethical Considerations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_Toc214890679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10</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681" w:history="1">
            <w:r w:rsidR="004F065A" w:rsidRPr="004F065A">
              <w:rPr>
                <w:rStyle w:val="Hyperlink"/>
                <w:rFonts w:ascii="Times New Roman" w:hAnsi="Times New Roman" w:cs="Times New Roman"/>
                <w:noProof/>
                <w:sz w:val="24"/>
              </w:rPr>
              <w:t>4. Findings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_Toc214890681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10</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82" w:history="1">
            <w:r w:rsidR="004F065A" w:rsidRPr="004F065A">
              <w:rPr>
                <w:rStyle w:val="Hyperlink"/>
                <w:rFonts w:ascii="Times New Roman" w:hAnsi="Times New Roman" w:cs="Times New Roman"/>
                <w:noProof/>
                <w:sz w:val="24"/>
              </w:rPr>
              <w:t>4.1 Authenticity vs. Global Demand</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_Toc214890682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10</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84" w:history="1">
            <w:r w:rsidR="004F065A" w:rsidRPr="004F065A">
              <w:rPr>
                <w:rStyle w:val="Hyperlink"/>
                <w:rFonts w:ascii="Times New Roman" w:hAnsi="Times New Roman" w:cs="Times New Roman"/>
                <w:noProof/>
                <w:sz w:val="24"/>
              </w:rPr>
              <w:t>4.2 Sustainable Food Sourcing</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_Toc214890684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11</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86" w:history="1">
            <w:r w:rsidR="004F065A" w:rsidRPr="004F065A">
              <w:rPr>
                <w:rStyle w:val="Hyperlink"/>
                <w:rFonts w:ascii="Times New Roman" w:hAnsi="Times New Roman" w:cs="Times New Roman"/>
                <w:noProof/>
                <w:sz w:val="24"/>
              </w:rPr>
              <w:t>4.3 Waste Management and Circular Practices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_Toc214890686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11</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88" w:history="1">
            <w:r w:rsidR="004F065A" w:rsidRPr="004F065A">
              <w:rPr>
                <w:rStyle w:val="Hyperlink"/>
                <w:rFonts w:ascii="Times New Roman" w:hAnsi="Times New Roman" w:cs="Times New Roman"/>
                <w:noProof/>
                <w:sz w:val="24"/>
              </w:rPr>
              <w:t>4.4 Supply Chain Transparency</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_Toc214890688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12</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90" w:history="1">
            <w:r w:rsidR="004F065A" w:rsidRPr="004F065A">
              <w:rPr>
                <w:rStyle w:val="Hyperlink"/>
                <w:rFonts w:ascii="Times New Roman" w:hAnsi="Times New Roman" w:cs="Times New Roman"/>
                <w:noProof/>
                <w:sz w:val="24"/>
              </w:rPr>
              <w:t>4.5 Case Studies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_Toc214890690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12</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692" w:history="1">
            <w:r w:rsidR="004F065A" w:rsidRPr="004F065A">
              <w:rPr>
                <w:rStyle w:val="Hyperlink"/>
                <w:rFonts w:ascii="Times New Roman" w:hAnsi="Times New Roman" w:cs="Times New Roman"/>
                <w:noProof/>
                <w:sz w:val="24"/>
              </w:rPr>
              <w:t>5. Discussion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_Toc214890692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93" w:history="1">
            <w:r w:rsidR="004F065A" w:rsidRPr="004F065A">
              <w:rPr>
                <w:rStyle w:val="Hyperlink"/>
                <w:rFonts w:ascii="Times New Roman" w:hAnsi="Times New Roman" w:cs="Times New Roman"/>
                <w:noProof/>
                <w:sz w:val="24"/>
              </w:rPr>
              <w:t>5.1 Conflicts Between Authenticity and Standardization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_Toc214890693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13</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95" w:history="1">
            <w:r w:rsidR="004F065A" w:rsidRPr="004F065A">
              <w:rPr>
                <w:rStyle w:val="Hyperlink"/>
                <w:rFonts w:ascii="Times New Roman" w:hAnsi="Times New Roman" w:cs="Times New Roman"/>
                <w:noProof/>
                <w:sz w:val="24"/>
              </w:rPr>
              <w:t>5.2 Integrating Quality Assurance With Sustainability</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_Toc214890695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14</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97" w:history="1">
            <w:r w:rsidR="004F065A" w:rsidRPr="004F065A">
              <w:rPr>
                <w:rStyle w:val="Hyperlink"/>
                <w:rFonts w:ascii="Times New Roman" w:hAnsi="Times New Roman" w:cs="Times New Roman"/>
                <w:noProof/>
                <w:sz w:val="24"/>
              </w:rPr>
              <w:t>5.3 Implications for Stakeholders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_Toc214890697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15</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699" w:history="1">
            <w:r w:rsidR="004F065A" w:rsidRPr="004F065A">
              <w:rPr>
                <w:rStyle w:val="Hyperlink"/>
                <w:rFonts w:ascii="Times New Roman" w:hAnsi="Times New Roman" w:cs="Times New Roman"/>
                <w:noProof/>
                <w:sz w:val="24"/>
              </w:rPr>
              <w:t>5.4 Towards a Balanced Model</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_Toc214890699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16</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701" w:history="1">
            <w:r w:rsidR="004F065A" w:rsidRPr="004F065A">
              <w:rPr>
                <w:rStyle w:val="Hyperlink"/>
                <w:rFonts w:ascii="Times New Roman" w:hAnsi="Times New Roman" w:cs="Times New Roman"/>
                <w:noProof/>
                <w:sz w:val="24"/>
              </w:rPr>
              <w:t>6. Conclusion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_Toc214890701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702" w:history="1">
            <w:r w:rsidR="004F065A" w:rsidRPr="004F065A">
              <w:rPr>
                <w:rStyle w:val="Hyperlink"/>
                <w:rFonts w:ascii="Times New Roman" w:hAnsi="Times New Roman" w:cs="Times New Roman"/>
                <w:noProof/>
                <w:sz w:val="24"/>
              </w:rPr>
              <w:t>6.1 Summary of Key Insights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_Toc214890702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704" w:history="1">
            <w:r w:rsidR="004F065A" w:rsidRPr="004F065A">
              <w:rPr>
                <w:rStyle w:val="Hyperlink"/>
                <w:rFonts w:ascii="Times New Roman" w:hAnsi="Times New Roman" w:cs="Times New Roman"/>
                <w:noProof/>
                <w:sz w:val="24"/>
              </w:rPr>
              <w:t>6.2 Contributions of the Study</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_Toc214890704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2"/>
            <w:tabs>
              <w:tab w:val="right" w:leader="dot" w:pos="9350"/>
            </w:tabs>
            <w:spacing w:line="360" w:lineRule="auto"/>
            <w:rPr>
              <w:rFonts w:ascii="Times New Roman" w:hAnsi="Times New Roman" w:cs="Times New Roman"/>
              <w:noProof/>
              <w:sz w:val="24"/>
            </w:rPr>
          </w:pPr>
          <w:hyperlink w:anchor="_Toc214890706" w:history="1">
            <w:r w:rsidR="004F065A" w:rsidRPr="004F065A">
              <w:rPr>
                <w:rStyle w:val="Hyperlink"/>
                <w:rFonts w:ascii="Times New Roman" w:hAnsi="Times New Roman" w:cs="Times New Roman"/>
                <w:noProof/>
                <w:sz w:val="24"/>
              </w:rPr>
              <w:t>6.3 Future Research and Final Reflection</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_Toc214890706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18</w:t>
            </w:r>
            <w:r w:rsidR="004F065A" w:rsidRPr="004F065A">
              <w:rPr>
                <w:rFonts w:ascii="Times New Roman" w:hAnsi="Times New Roman" w:cs="Times New Roman"/>
                <w:noProof/>
                <w:webHidden/>
                <w:sz w:val="24"/>
              </w:rPr>
              <w:fldChar w:fldCharType="end"/>
            </w:r>
          </w:hyperlink>
        </w:p>
        <w:p w:rsidR="004F065A" w:rsidRPr="004F065A" w:rsidRDefault="006812CB" w:rsidP="00E71F4A">
          <w:pPr>
            <w:pStyle w:val="TOC1"/>
            <w:tabs>
              <w:tab w:val="right" w:leader="dot" w:pos="9350"/>
            </w:tabs>
            <w:spacing w:line="360" w:lineRule="auto"/>
            <w:rPr>
              <w:rFonts w:ascii="Times New Roman" w:hAnsi="Times New Roman" w:cs="Times New Roman"/>
              <w:noProof/>
              <w:sz w:val="24"/>
            </w:rPr>
          </w:pPr>
          <w:hyperlink w:anchor="_Toc214890707" w:history="1">
            <w:r w:rsidR="004F065A" w:rsidRPr="004F065A">
              <w:rPr>
                <w:rStyle w:val="Hyperlink"/>
                <w:rFonts w:ascii="Times New Roman" w:hAnsi="Times New Roman" w:cs="Times New Roman"/>
                <w:noProof/>
                <w:sz w:val="24"/>
              </w:rPr>
              <w:t>References</w:t>
            </w:r>
            <w:r w:rsidR="004F065A" w:rsidRPr="004F065A">
              <w:rPr>
                <w:rFonts w:ascii="Times New Roman" w:hAnsi="Times New Roman" w:cs="Times New Roman"/>
                <w:noProof/>
                <w:webHidden/>
                <w:sz w:val="24"/>
              </w:rPr>
              <w:tab/>
            </w:r>
            <w:r w:rsidR="004F065A" w:rsidRPr="004F065A">
              <w:rPr>
                <w:rFonts w:ascii="Times New Roman" w:hAnsi="Times New Roman" w:cs="Times New Roman"/>
                <w:noProof/>
                <w:webHidden/>
                <w:sz w:val="24"/>
              </w:rPr>
              <w:fldChar w:fldCharType="begin"/>
            </w:r>
            <w:r w:rsidR="004F065A" w:rsidRPr="004F065A">
              <w:rPr>
                <w:rFonts w:ascii="Times New Roman" w:hAnsi="Times New Roman" w:cs="Times New Roman"/>
                <w:noProof/>
                <w:webHidden/>
                <w:sz w:val="24"/>
              </w:rPr>
              <w:instrText xml:space="preserve"> PAGEREF _Toc214890707 \h </w:instrText>
            </w:r>
            <w:r w:rsidR="004F065A" w:rsidRPr="004F065A">
              <w:rPr>
                <w:rFonts w:ascii="Times New Roman" w:hAnsi="Times New Roman" w:cs="Times New Roman"/>
                <w:noProof/>
                <w:webHidden/>
                <w:sz w:val="24"/>
              </w:rPr>
            </w:r>
            <w:r w:rsidR="004F065A" w:rsidRPr="004F065A">
              <w:rPr>
                <w:rFonts w:ascii="Times New Roman" w:hAnsi="Times New Roman" w:cs="Times New Roman"/>
                <w:noProof/>
                <w:webHidden/>
                <w:sz w:val="24"/>
              </w:rPr>
              <w:fldChar w:fldCharType="separate"/>
            </w:r>
            <w:r w:rsidR="004F065A" w:rsidRPr="004F065A">
              <w:rPr>
                <w:rFonts w:ascii="Times New Roman" w:hAnsi="Times New Roman" w:cs="Times New Roman"/>
                <w:noProof/>
                <w:webHidden/>
                <w:sz w:val="24"/>
              </w:rPr>
              <w:t>19</w:t>
            </w:r>
            <w:r w:rsidR="004F065A" w:rsidRPr="004F065A">
              <w:rPr>
                <w:rFonts w:ascii="Times New Roman" w:hAnsi="Times New Roman" w:cs="Times New Roman"/>
                <w:noProof/>
                <w:webHidden/>
                <w:sz w:val="24"/>
              </w:rPr>
              <w:fldChar w:fldCharType="end"/>
            </w:r>
          </w:hyperlink>
          <w:r w:rsidR="004F065A" w:rsidRPr="004F065A">
            <w:rPr>
              <w:rStyle w:val="Hyperlink"/>
              <w:rFonts w:ascii="Times New Roman" w:hAnsi="Times New Roman" w:cs="Times New Roman"/>
              <w:noProof/>
              <w:color w:val="000000" w:themeColor="text1"/>
              <w:sz w:val="24"/>
              <w:u w:val="none"/>
            </w:rPr>
            <w:t>"</w:t>
          </w:r>
        </w:p>
        <w:p w:rsidR="004F065A" w:rsidRPr="004F065A" w:rsidRDefault="004F065A" w:rsidP="00E71F4A">
          <w:pPr>
            <w:spacing w:line="360" w:lineRule="auto"/>
            <w:rPr>
              <w:rFonts w:ascii="Times New Roman" w:hAnsi="Times New Roman" w:cs="Times New Roman"/>
              <w:sz w:val="24"/>
            </w:rPr>
          </w:pPr>
          <w:r w:rsidRPr="004F065A">
            <w:rPr>
              <w:rFonts w:ascii="Times New Roman" w:hAnsi="Times New Roman" w:cs="Times New Roman"/>
              <w:bCs/>
              <w:noProof/>
              <w:sz w:val="24"/>
            </w:rPr>
            <w:fldChar w:fldCharType="end"/>
          </w:r>
        </w:p>
      </w:sdtContent>
    </w:sdt>
    <w:p w:rsidR="00BE59B0" w:rsidRPr="004F065A" w:rsidRDefault="00BE59B0" w:rsidP="004F065A">
      <w:pPr>
        <w:spacing w:after="0" w:line="480" w:lineRule="auto"/>
        <w:jc w:val="center"/>
        <w:rPr>
          <w:rStyle w:val="Heading1Char"/>
          <w:rFonts w:ascii="Times New Roman" w:hAnsi="Times New Roman" w:cs="Times New Roman"/>
        </w:rPr>
      </w:pPr>
    </w:p>
    <w:p w:rsidR="00BE59B0" w:rsidRPr="004F065A" w:rsidRDefault="00BE59B0" w:rsidP="004F065A">
      <w:pPr>
        <w:spacing w:after="0" w:line="480" w:lineRule="auto"/>
        <w:jc w:val="center"/>
        <w:rPr>
          <w:rStyle w:val="Heading1Char"/>
          <w:rFonts w:ascii="Times New Roman" w:hAnsi="Times New Roman" w:cs="Times New Roman"/>
        </w:rPr>
      </w:pPr>
    </w:p>
    <w:p w:rsidR="00BE59B0" w:rsidRDefault="00BE59B0" w:rsidP="00EC2E15">
      <w:pPr>
        <w:spacing w:after="0" w:line="480" w:lineRule="auto"/>
        <w:jc w:val="center"/>
        <w:rPr>
          <w:rStyle w:val="Heading1Char"/>
          <w:rFonts w:ascii="Times New Roman" w:hAnsi="Times New Roman" w:cs="Times New Roman"/>
          <w:b/>
          <w:sz w:val="28"/>
        </w:rPr>
      </w:pPr>
    </w:p>
    <w:p w:rsidR="004F065A" w:rsidRDefault="004F065A" w:rsidP="00EC2E15">
      <w:pPr>
        <w:spacing w:after="0" w:line="480" w:lineRule="auto"/>
        <w:jc w:val="center"/>
        <w:rPr>
          <w:rStyle w:val="Heading1Char"/>
          <w:rFonts w:ascii="Times New Roman" w:hAnsi="Times New Roman" w:cs="Times New Roman"/>
          <w:b/>
          <w:sz w:val="28"/>
        </w:rPr>
      </w:pPr>
    </w:p>
    <w:p w:rsidR="004F065A" w:rsidRDefault="004F065A" w:rsidP="00EC2E15">
      <w:pPr>
        <w:spacing w:after="0" w:line="480" w:lineRule="auto"/>
        <w:jc w:val="center"/>
        <w:rPr>
          <w:rStyle w:val="Heading1Char"/>
          <w:rFonts w:ascii="Times New Roman" w:hAnsi="Times New Roman" w:cs="Times New Roman"/>
          <w:b/>
          <w:sz w:val="28"/>
        </w:rPr>
      </w:pPr>
    </w:p>
    <w:p w:rsidR="00E71F4A" w:rsidRDefault="00E71F4A" w:rsidP="00EC2E15">
      <w:pPr>
        <w:spacing w:after="0" w:line="480" w:lineRule="auto"/>
        <w:jc w:val="center"/>
        <w:rPr>
          <w:rStyle w:val="Heading1Char"/>
          <w:rFonts w:ascii="Times New Roman" w:hAnsi="Times New Roman" w:cs="Times New Roman"/>
          <w:b/>
          <w:sz w:val="28"/>
        </w:rPr>
      </w:pPr>
      <w:bookmarkStart w:id="0" w:name="_Toc214890652"/>
      <w:r>
        <w:rPr>
          <w:rStyle w:val="Heading1Char"/>
          <w:rFonts w:ascii="Times New Roman" w:hAnsi="Times New Roman" w:cs="Times New Roman"/>
          <w:b/>
          <w:sz w:val="28"/>
        </w:rPr>
        <w:br w:type="page"/>
      </w:r>
    </w:p>
    <w:p w:rsidR="00EC2E15" w:rsidRDefault="003C6E31" w:rsidP="00EC2E15">
      <w:pPr>
        <w:spacing w:after="0" w:line="480" w:lineRule="auto"/>
        <w:jc w:val="center"/>
        <w:rPr>
          <w:rFonts w:ascii="Times New Roman" w:hAnsi="Times New Roman" w:cs="Times New Roman"/>
          <w:sz w:val="24"/>
          <w:szCs w:val="24"/>
        </w:rPr>
      </w:pPr>
      <w:r w:rsidRPr="00EC2E15">
        <w:rPr>
          <w:rStyle w:val="Heading1Char"/>
          <w:rFonts w:ascii="Times New Roman" w:hAnsi="Times New Roman" w:cs="Times New Roman"/>
          <w:b/>
          <w:sz w:val="28"/>
        </w:rPr>
        <w:lastRenderedPageBreak/>
        <w:t>Abstract</w:t>
      </w:r>
      <w:bookmarkEnd w:id="0"/>
    </w:p>
    <w:p w:rsidR="00820FA9" w:rsidRDefault="00B676D1" w:rsidP="00EC2E15">
      <w:pPr>
        <w:spacing w:after="0" w:line="480" w:lineRule="auto"/>
        <w:ind w:firstLine="720"/>
        <w:rPr>
          <w:rFonts w:ascii="Times New Roman" w:hAnsi="Times New Roman" w:cs="Times New Roman"/>
          <w:sz w:val="24"/>
          <w:szCs w:val="24"/>
        </w:rPr>
      </w:pPr>
      <w:r w:rsidRPr="00B676D1">
        <w:rPr>
          <w:rFonts w:ascii="Times New Roman" w:hAnsi="Times New Roman" w:cs="Times New Roman"/>
          <w:sz w:val="24"/>
          <w:szCs w:val="24"/>
        </w:rPr>
        <w:t xml:space="preserve">This paper reviews the conflicts in ensuring the local culinary authenticity and addressing the demands of rising international tourist traffic. It discusses sustainability in the environmental aspect of responsible sourcing and waste minimization, </w:t>
      </w:r>
      <w:r w:rsidR="00195C96">
        <w:rPr>
          <w:rFonts w:ascii="Times New Roman" w:hAnsi="Times New Roman" w:cs="Times New Roman"/>
          <w:sz w:val="24"/>
          <w:szCs w:val="24"/>
        </w:rPr>
        <w:t xml:space="preserve">the </w:t>
      </w:r>
      <w:r w:rsidRPr="00B676D1">
        <w:rPr>
          <w:rFonts w:ascii="Times New Roman" w:hAnsi="Times New Roman" w:cs="Times New Roman"/>
          <w:sz w:val="24"/>
          <w:szCs w:val="24"/>
        </w:rPr>
        <w:t xml:space="preserve">social aspect of community well-being and cultural conservation, and </w:t>
      </w:r>
      <w:r w:rsidR="00195C96">
        <w:rPr>
          <w:rFonts w:ascii="Times New Roman" w:hAnsi="Times New Roman" w:cs="Times New Roman"/>
          <w:sz w:val="24"/>
          <w:szCs w:val="24"/>
        </w:rPr>
        <w:t xml:space="preserve">the </w:t>
      </w:r>
      <w:r w:rsidRPr="00B676D1">
        <w:rPr>
          <w:rFonts w:ascii="Times New Roman" w:hAnsi="Times New Roman" w:cs="Times New Roman"/>
          <w:sz w:val="24"/>
          <w:szCs w:val="24"/>
        </w:rPr>
        <w:t xml:space="preserve">economic aspect of equitable income and economic robustness of local stakeholders. Based on </w:t>
      </w:r>
      <w:r w:rsidR="00195C96">
        <w:rPr>
          <w:rFonts w:ascii="Times New Roman" w:hAnsi="Times New Roman" w:cs="Times New Roman"/>
          <w:sz w:val="24"/>
          <w:szCs w:val="24"/>
        </w:rPr>
        <w:t>frameworks such</w:t>
      </w:r>
      <w:r w:rsidRPr="00B676D1">
        <w:rPr>
          <w:rFonts w:ascii="Times New Roman" w:hAnsi="Times New Roman" w:cs="Times New Roman"/>
          <w:sz w:val="24"/>
          <w:szCs w:val="24"/>
        </w:rPr>
        <w:t xml:space="preserve"> as Global Sustainable Tourism Council (GSTC) standards, ISO 22000 food quality standards, Slow Food principles, and farm-to-table supply chain models, the qualitative thematic analysis of the academic sources and case studies </w:t>
      </w:r>
      <w:r w:rsidR="00FF1CAF">
        <w:rPr>
          <w:rFonts w:ascii="Times New Roman" w:hAnsi="Times New Roman" w:cs="Times New Roman"/>
          <w:sz w:val="24"/>
          <w:szCs w:val="24"/>
        </w:rPr>
        <w:t>was</w:t>
      </w:r>
      <w:r w:rsidRPr="00B676D1">
        <w:rPr>
          <w:rFonts w:ascii="Times New Roman" w:hAnsi="Times New Roman" w:cs="Times New Roman"/>
          <w:sz w:val="24"/>
          <w:szCs w:val="24"/>
        </w:rPr>
        <w:t xml:space="preserve"> used. The results show that sustainable gastronomy can be attained by using integrated supply chains, community participation, and clear systems of quality assurance.</w:t>
      </w: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Default="00EC2E15" w:rsidP="00EC2E15">
      <w:pPr>
        <w:spacing w:after="0" w:line="480" w:lineRule="auto"/>
        <w:ind w:firstLine="720"/>
        <w:rPr>
          <w:rFonts w:ascii="Times New Roman" w:hAnsi="Times New Roman" w:cs="Times New Roman"/>
          <w:sz w:val="24"/>
          <w:szCs w:val="24"/>
        </w:rPr>
      </w:pPr>
    </w:p>
    <w:p w:rsidR="00EC2E15" w:rsidRPr="00EC2E15" w:rsidRDefault="00EC2E15" w:rsidP="00EC2E15">
      <w:pPr>
        <w:spacing w:after="0" w:line="480" w:lineRule="auto"/>
        <w:ind w:firstLine="720"/>
        <w:rPr>
          <w:rFonts w:ascii="Times New Roman" w:hAnsi="Times New Roman" w:cs="Times New Roman"/>
          <w:b/>
          <w:bCs/>
          <w:sz w:val="24"/>
          <w:szCs w:val="24"/>
        </w:rPr>
      </w:pPr>
      <w:bookmarkStart w:id="1" w:name="_GoBack"/>
      <w:bookmarkEnd w:id="1"/>
    </w:p>
    <w:p w:rsidR="003C6E31" w:rsidRPr="00EC2E15" w:rsidRDefault="003C6E31" w:rsidP="00EC2E15">
      <w:pPr>
        <w:pStyle w:val="Heading1"/>
        <w:jc w:val="center"/>
        <w:rPr>
          <w:rFonts w:ascii="Times New Roman" w:eastAsia="Times New Roman" w:hAnsi="Times New Roman" w:cs="Times New Roman"/>
          <w:b/>
          <w:sz w:val="28"/>
        </w:rPr>
      </w:pPr>
      <w:bookmarkStart w:id="2" w:name="_Toc214890653"/>
      <w:r w:rsidRPr="00EC2E15">
        <w:rPr>
          <w:rFonts w:ascii="Times New Roman" w:eastAsia="Times New Roman" w:hAnsi="Times New Roman" w:cs="Times New Roman"/>
          <w:b/>
          <w:sz w:val="28"/>
        </w:rPr>
        <w:lastRenderedPageBreak/>
        <w:t>1. Introduction</w:t>
      </w:r>
      <w:bookmarkEnd w:id="2"/>
    </w:p>
    <w:p w:rsidR="003C6E31" w:rsidRPr="00EC2E15" w:rsidRDefault="003C6E31" w:rsidP="00EC2E15">
      <w:pPr>
        <w:pStyle w:val="Heading2"/>
        <w:rPr>
          <w:sz w:val="24"/>
        </w:rPr>
      </w:pPr>
      <w:bookmarkStart w:id="3" w:name="_Toc214890654"/>
      <w:r w:rsidRPr="00EC2E15">
        <w:rPr>
          <w:sz w:val="24"/>
        </w:rPr>
        <w:t>1.1 Background</w:t>
      </w:r>
      <w:bookmarkEnd w:id="3"/>
    </w:p>
    <w:p w:rsidR="00FF1CAF" w:rsidRDefault="00FF1CAF" w:rsidP="00EC2E15">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4" w:name="_Toc214890655"/>
      <w:r w:rsidRPr="00FF1CAF">
        <w:rPr>
          <w:rFonts w:ascii="Times New Roman" w:eastAsia="Times New Roman" w:hAnsi="Times New Roman" w:cs="Times New Roman"/>
          <w:sz w:val="24"/>
          <w:szCs w:val="24"/>
        </w:rPr>
        <w:t xml:space="preserve">Culinary tourism, which can be described as </w:t>
      </w:r>
      <w:r>
        <w:rPr>
          <w:rFonts w:ascii="Times New Roman" w:eastAsia="Times New Roman" w:hAnsi="Times New Roman" w:cs="Times New Roman"/>
          <w:sz w:val="24"/>
          <w:szCs w:val="24"/>
        </w:rPr>
        <w:t>travelling</w:t>
      </w:r>
      <w:r w:rsidRPr="00FF1CAF">
        <w:rPr>
          <w:rFonts w:ascii="Times New Roman" w:eastAsia="Times New Roman" w:hAnsi="Times New Roman" w:cs="Times New Roman"/>
          <w:sz w:val="24"/>
          <w:szCs w:val="24"/>
        </w:rPr>
        <w:t xml:space="preserve"> with the intention of getting to know the local food culture, has emerged as a key force in the growth of tourism around the world</w:t>
      </w:r>
      <w:r w:rsidR="00195C96">
        <w:rPr>
          <w:rFonts w:ascii="Times New Roman" w:eastAsia="Times New Roman" w:hAnsi="Times New Roman" w:cs="Times New Roman"/>
          <w:sz w:val="24"/>
          <w:szCs w:val="24"/>
        </w:rPr>
        <w:t xml:space="preserve"> (Ab Karim, 2006)</w:t>
      </w:r>
      <w:r w:rsidRPr="00FF1CAF">
        <w:rPr>
          <w:rFonts w:ascii="Times New Roman" w:eastAsia="Times New Roman" w:hAnsi="Times New Roman" w:cs="Times New Roman"/>
          <w:sz w:val="24"/>
          <w:szCs w:val="24"/>
        </w:rPr>
        <w:t xml:space="preserve">. Since destinations have started to promote their gastronomies, food has ceased to be a secondary attraction to become a key cultural asset. This increase in demand, nonetheless, </w:t>
      </w:r>
      <w:r>
        <w:rPr>
          <w:rFonts w:ascii="Times New Roman" w:eastAsia="Times New Roman" w:hAnsi="Times New Roman" w:cs="Times New Roman"/>
          <w:sz w:val="24"/>
          <w:szCs w:val="24"/>
        </w:rPr>
        <w:t>brings</w:t>
      </w:r>
      <w:r w:rsidRPr="00FF1CAF">
        <w:rPr>
          <w:rFonts w:ascii="Times New Roman" w:eastAsia="Times New Roman" w:hAnsi="Times New Roman" w:cs="Times New Roman"/>
          <w:sz w:val="24"/>
          <w:szCs w:val="24"/>
        </w:rPr>
        <w:t xml:space="preserve"> up the old controversy of maintaining the original cooking traditions versus modifying the food to suit the international tourist demands.</w:t>
      </w:r>
      <w:bookmarkEnd w:id="4"/>
    </w:p>
    <w:p w:rsidR="003C6E31" w:rsidRPr="00EC2E15" w:rsidRDefault="003C6E31" w:rsidP="00EC2E15">
      <w:pPr>
        <w:pStyle w:val="Heading2"/>
        <w:rPr>
          <w:sz w:val="24"/>
        </w:rPr>
      </w:pPr>
      <w:bookmarkStart w:id="5" w:name="_Toc214890656"/>
      <w:r w:rsidRPr="00EC2E15">
        <w:rPr>
          <w:sz w:val="24"/>
        </w:rPr>
        <w:t>1.2 Sustainability Dimensions</w:t>
      </w:r>
      <w:bookmarkEnd w:id="5"/>
    </w:p>
    <w:p w:rsidR="00FF1CAF" w:rsidRDefault="00FF1CAF" w:rsidP="00EC2E15">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6" w:name="_Toc214890657"/>
      <w:r w:rsidRPr="00FF1CAF">
        <w:rPr>
          <w:rFonts w:ascii="Times New Roman" w:eastAsia="Times New Roman" w:hAnsi="Times New Roman" w:cs="Times New Roman"/>
          <w:sz w:val="24"/>
          <w:szCs w:val="24"/>
        </w:rPr>
        <w:t>This is also enforced by the fact that it must maintain sustainability in the environmental, social, and economic sectors. On the environmental front, destinations should deal with responsible sourcing and waste production; socially, they should safeguard cultural heritage and community welfare and economically, they should ensure that producers and food-related businesses receive fair income</w:t>
      </w:r>
      <w:r w:rsidR="00243D75">
        <w:rPr>
          <w:rFonts w:ascii="Times New Roman" w:eastAsia="Times New Roman" w:hAnsi="Times New Roman" w:cs="Times New Roman"/>
          <w:sz w:val="24"/>
          <w:szCs w:val="24"/>
        </w:rPr>
        <w:t xml:space="preserve"> (</w:t>
      </w:r>
      <w:proofErr w:type="spellStart"/>
      <w:r w:rsidR="00243D75">
        <w:rPr>
          <w:rFonts w:ascii="Times New Roman" w:eastAsia="Times New Roman" w:hAnsi="Times New Roman" w:cs="Times New Roman"/>
          <w:sz w:val="24"/>
          <w:szCs w:val="24"/>
        </w:rPr>
        <w:t>Muhanna</w:t>
      </w:r>
      <w:proofErr w:type="spellEnd"/>
      <w:r w:rsidR="00243D75">
        <w:rPr>
          <w:rFonts w:ascii="Times New Roman" w:eastAsia="Times New Roman" w:hAnsi="Times New Roman" w:cs="Times New Roman"/>
          <w:sz w:val="24"/>
          <w:szCs w:val="24"/>
        </w:rPr>
        <w:t>, 2006)</w:t>
      </w:r>
      <w:r w:rsidRPr="00FF1CAF">
        <w:rPr>
          <w:rFonts w:ascii="Times New Roman" w:eastAsia="Times New Roman" w:hAnsi="Times New Roman" w:cs="Times New Roman"/>
          <w:sz w:val="24"/>
          <w:szCs w:val="24"/>
        </w:rPr>
        <w:t>.</w:t>
      </w:r>
      <w:bookmarkEnd w:id="6"/>
    </w:p>
    <w:p w:rsidR="00FF1CAF" w:rsidRPr="00EC2E15" w:rsidRDefault="003C6E31" w:rsidP="00EC2E15">
      <w:pPr>
        <w:pStyle w:val="Heading2"/>
        <w:rPr>
          <w:sz w:val="24"/>
        </w:rPr>
      </w:pPr>
      <w:bookmarkStart w:id="7" w:name="_Toc214890658"/>
      <w:r w:rsidRPr="00EC2E15">
        <w:rPr>
          <w:sz w:val="24"/>
        </w:rPr>
        <w:t>1.3 Research Aim and Relevance</w:t>
      </w:r>
      <w:bookmarkEnd w:id="7"/>
    </w:p>
    <w:p w:rsidR="00FF1CAF" w:rsidRDefault="00FF1CAF" w:rsidP="00EC2E15">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8" w:name="_Toc214890659"/>
      <w:r w:rsidRPr="00FF1CAF">
        <w:rPr>
          <w:rFonts w:ascii="Times New Roman" w:eastAsia="Times New Roman" w:hAnsi="Times New Roman" w:cs="Times New Roman"/>
          <w:sz w:val="24"/>
          <w:szCs w:val="24"/>
        </w:rPr>
        <w:t xml:space="preserve">This research is aimed at the analysis of sustainability models, </w:t>
      </w:r>
      <w:r>
        <w:rPr>
          <w:rFonts w:ascii="Times New Roman" w:eastAsia="Times New Roman" w:hAnsi="Times New Roman" w:cs="Times New Roman"/>
          <w:sz w:val="24"/>
          <w:szCs w:val="24"/>
        </w:rPr>
        <w:t xml:space="preserve">the </w:t>
      </w:r>
      <w:r w:rsidRPr="00FF1CAF">
        <w:rPr>
          <w:rFonts w:ascii="Times New Roman" w:eastAsia="Times New Roman" w:hAnsi="Times New Roman" w:cs="Times New Roman"/>
          <w:sz w:val="24"/>
          <w:szCs w:val="24"/>
        </w:rPr>
        <w:t>evaluation of supply chain policies, and the development of recommendations that will increase the quality of services offered, as well as the sustainability of culinary tourism. Another important significance of the research is the usefulness of the hospitality quality assurance and control systems, e.g., the ISO and HACCP norms, in promoting credible and sustainable gastronomic experiences.</w:t>
      </w:r>
      <w:bookmarkEnd w:id="8"/>
    </w:p>
    <w:p w:rsidR="00EC2E15" w:rsidRDefault="00EC2E15" w:rsidP="00EC2E15">
      <w:pPr>
        <w:spacing w:before="100" w:beforeAutospacing="1" w:after="100" w:afterAutospacing="1" w:line="480" w:lineRule="auto"/>
        <w:ind w:firstLine="720"/>
        <w:outlineLvl w:val="2"/>
        <w:rPr>
          <w:rFonts w:ascii="Times New Roman" w:eastAsia="Times New Roman" w:hAnsi="Times New Roman" w:cs="Times New Roman"/>
          <w:sz w:val="24"/>
          <w:szCs w:val="24"/>
        </w:rPr>
      </w:pPr>
    </w:p>
    <w:p w:rsidR="003C6E31" w:rsidRPr="00EC2E15" w:rsidRDefault="003C6E31" w:rsidP="00EC2E15">
      <w:pPr>
        <w:pStyle w:val="Heading2"/>
        <w:rPr>
          <w:sz w:val="24"/>
        </w:rPr>
      </w:pPr>
      <w:bookmarkStart w:id="9" w:name="_Toc214890660"/>
      <w:r w:rsidRPr="00EC2E15">
        <w:rPr>
          <w:sz w:val="24"/>
        </w:rPr>
        <w:lastRenderedPageBreak/>
        <w:t>1.4 Structure of the Paper</w:t>
      </w:r>
      <w:bookmarkEnd w:id="9"/>
    </w:p>
    <w:p w:rsidR="003C6E31" w:rsidRPr="003C6E31" w:rsidRDefault="00B41478" w:rsidP="00EC2E15">
      <w:pPr>
        <w:spacing w:before="100" w:beforeAutospacing="1" w:after="100" w:afterAutospacing="1" w:line="480" w:lineRule="auto"/>
        <w:ind w:firstLine="720"/>
        <w:rPr>
          <w:rFonts w:ascii="Times New Roman" w:eastAsia="Times New Roman" w:hAnsi="Times New Roman" w:cs="Times New Roman"/>
          <w:sz w:val="24"/>
          <w:szCs w:val="24"/>
        </w:rPr>
      </w:pPr>
      <w:r w:rsidRPr="00B41478">
        <w:rPr>
          <w:rFonts w:ascii="Times New Roman" w:eastAsia="Times New Roman" w:hAnsi="Times New Roman" w:cs="Times New Roman"/>
          <w:sz w:val="24"/>
          <w:szCs w:val="24"/>
        </w:rPr>
        <w:t xml:space="preserve">The paper is arranged in a chronological order to include </w:t>
      </w:r>
      <w:r>
        <w:rPr>
          <w:rFonts w:ascii="Times New Roman" w:eastAsia="Times New Roman" w:hAnsi="Times New Roman" w:cs="Times New Roman"/>
          <w:sz w:val="24"/>
          <w:szCs w:val="24"/>
        </w:rPr>
        <w:t xml:space="preserve">a </w:t>
      </w:r>
      <w:r w:rsidRPr="00B41478">
        <w:rPr>
          <w:rFonts w:ascii="Times New Roman" w:eastAsia="Times New Roman" w:hAnsi="Times New Roman" w:cs="Times New Roman"/>
          <w:sz w:val="24"/>
          <w:szCs w:val="24"/>
        </w:rPr>
        <w:t>literature review, methodology, findings, discussion, and conclusion to offer a systematic study of sustainable culinary tourism.</w:t>
      </w:r>
    </w:p>
    <w:p w:rsidR="003C6E31" w:rsidRPr="00EC2E15" w:rsidRDefault="003C6E31" w:rsidP="00EC2E15">
      <w:pPr>
        <w:pStyle w:val="Heading1"/>
        <w:jc w:val="center"/>
        <w:rPr>
          <w:rFonts w:ascii="Times New Roman" w:hAnsi="Times New Roman" w:cs="Times New Roman"/>
          <w:sz w:val="28"/>
        </w:rPr>
      </w:pPr>
      <w:bookmarkStart w:id="10" w:name="_Toc214890661"/>
      <w:r w:rsidRPr="00EC2E15">
        <w:rPr>
          <w:rStyle w:val="Strong"/>
          <w:rFonts w:ascii="Times New Roman" w:hAnsi="Times New Roman" w:cs="Times New Roman"/>
          <w:bCs w:val="0"/>
          <w:sz w:val="28"/>
        </w:rPr>
        <w:t>2. Literature Review</w:t>
      </w:r>
      <w:bookmarkEnd w:id="10"/>
    </w:p>
    <w:p w:rsidR="00B41478" w:rsidRPr="00B41478" w:rsidRDefault="003C6E31" w:rsidP="00EC2E15">
      <w:pPr>
        <w:pStyle w:val="Heading2"/>
      </w:pPr>
      <w:bookmarkStart w:id="11" w:name="_Toc214890662"/>
      <w:r w:rsidRPr="003C6E31">
        <w:rPr>
          <w:rStyle w:val="Strong"/>
          <w:b/>
          <w:bCs/>
          <w:sz w:val="24"/>
          <w:szCs w:val="24"/>
        </w:rPr>
        <w:t>2.1 Culinary Tourism: Concepts and Tensions</w:t>
      </w:r>
      <w:bookmarkEnd w:id="11"/>
    </w:p>
    <w:p w:rsidR="00B41478" w:rsidRDefault="00B41478" w:rsidP="00EC2E15">
      <w:pPr>
        <w:pStyle w:val="Heading3"/>
        <w:spacing w:line="480" w:lineRule="auto"/>
        <w:ind w:firstLine="720"/>
        <w:rPr>
          <w:b w:val="0"/>
          <w:bCs w:val="0"/>
          <w:sz w:val="24"/>
          <w:szCs w:val="24"/>
        </w:rPr>
      </w:pPr>
      <w:bookmarkStart w:id="12" w:name="_Toc214890663"/>
      <w:r w:rsidRPr="00B41478">
        <w:rPr>
          <w:b w:val="0"/>
          <w:bCs w:val="0"/>
          <w:sz w:val="24"/>
          <w:szCs w:val="24"/>
        </w:rPr>
        <w:t xml:space="preserve">Culinary tourism is a growing international trend whereby </w:t>
      </w:r>
      <w:proofErr w:type="spellStart"/>
      <w:r w:rsidRPr="00B41478">
        <w:rPr>
          <w:b w:val="0"/>
          <w:bCs w:val="0"/>
          <w:sz w:val="24"/>
          <w:szCs w:val="24"/>
        </w:rPr>
        <w:t>travellers</w:t>
      </w:r>
      <w:proofErr w:type="spellEnd"/>
      <w:r w:rsidRPr="00B41478">
        <w:rPr>
          <w:b w:val="0"/>
          <w:bCs w:val="0"/>
          <w:sz w:val="24"/>
          <w:szCs w:val="24"/>
        </w:rPr>
        <w:t xml:space="preserve"> look to gain substantive experiences in </w:t>
      </w:r>
      <w:r>
        <w:rPr>
          <w:b w:val="0"/>
          <w:bCs w:val="0"/>
          <w:sz w:val="24"/>
          <w:szCs w:val="24"/>
        </w:rPr>
        <w:t xml:space="preserve">the </w:t>
      </w:r>
      <w:r w:rsidRPr="00B41478">
        <w:rPr>
          <w:b w:val="0"/>
          <w:bCs w:val="0"/>
          <w:sz w:val="24"/>
          <w:szCs w:val="24"/>
        </w:rPr>
        <w:t>food cultures of locals as one of the key aspects of their destination</w:t>
      </w:r>
      <w:r w:rsidR="00563736">
        <w:rPr>
          <w:b w:val="0"/>
          <w:bCs w:val="0"/>
          <w:sz w:val="24"/>
          <w:szCs w:val="24"/>
        </w:rPr>
        <w:t xml:space="preserve"> (</w:t>
      </w:r>
      <w:proofErr w:type="spellStart"/>
      <w:r w:rsidR="00563736">
        <w:rPr>
          <w:b w:val="0"/>
          <w:bCs w:val="0"/>
          <w:sz w:val="24"/>
          <w:szCs w:val="24"/>
        </w:rPr>
        <w:t>Duralia</w:t>
      </w:r>
      <w:proofErr w:type="spellEnd"/>
      <w:r w:rsidR="00563736">
        <w:rPr>
          <w:b w:val="0"/>
          <w:bCs w:val="0"/>
          <w:sz w:val="24"/>
          <w:szCs w:val="24"/>
        </w:rPr>
        <w:t>, 2017)</w:t>
      </w:r>
      <w:r w:rsidRPr="00B41478">
        <w:rPr>
          <w:b w:val="0"/>
          <w:bCs w:val="0"/>
          <w:sz w:val="24"/>
          <w:szCs w:val="24"/>
        </w:rPr>
        <w:t xml:space="preserve">. Three aspects often used to define authenticity include objective authenticity or authenticity as the maintenance of original or historical culinary </w:t>
      </w:r>
      <w:proofErr w:type="spellStart"/>
      <w:r w:rsidRPr="00B41478">
        <w:rPr>
          <w:b w:val="0"/>
          <w:bCs w:val="0"/>
          <w:sz w:val="24"/>
          <w:szCs w:val="24"/>
        </w:rPr>
        <w:t>behaviours</w:t>
      </w:r>
      <w:proofErr w:type="spellEnd"/>
      <w:r w:rsidRPr="00B41478">
        <w:rPr>
          <w:b w:val="0"/>
          <w:bCs w:val="0"/>
          <w:sz w:val="24"/>
          <w:szCs w:val="24"/>
        </w:rPr>
        <w:t>; constructive authenticity, as authenticity as a socially constructed construct that depends on the expectations of tourists and the cultural discourse; and existential authenticity as authenticity associated with personal, lived experience and which does not necessarily rely on historical accuracy</w:t>
      </w:r>
      <w:r w:rsidR="000E0210">
        <w:rPr>
          <w:b w:val="0"/>
          <w:bCs w:val="0"/>
          <w:sz w:val="24"/>
          <w:szCs w:val="24"/>
        </w:rPr>
        <w:t xml:space="preserve"> (Walter, 2017)</w:t>
      </w:r>
      <w:r w:rsidRPr="00B41478">
        <w:rPr>
          <w:b w:val="0"/>
          <w:bCs w:val="0"/>
          <w:sz w:val="24"/>
          <w:szCs w:val="24"/>
        </w:rPr>
        <w:t xml:space="preserve">. The cuisines are becoming more adapted to the tastes of various people as more cross-cultural interactions are accelerated due to </w:t>
      </w:r>
      <w:proofErr w:type="spellStart"/>
      <w:r>
        <w:rPr>
          <w:b w:val="0"/>
          <w:bCs w:val="0"/>
          <w:sz w:val="24"/>
          <w:szCs w:val="24"/>
        </w:rPr>
        <w:t>globalisation</w:t>
      </w:r>
      <w:proofErr w:type="spellEnd"/>
      <w:r w:rsidRPr="00B41478">
        <w:rPr>
          <w:b w:val="0"/>
          <w:bCs w:val="0"/>
          <w:sz w:val="24"/>
          <w:szCs w:val="24"/>
        </w:rPr>
        <w:t xml:space="preserve">, leading to </w:t>
      </w:r>
      <w:r>
        <w:rPr>
          <w:b w:val="0"/>
          <w:bCs w:val="0"/>
          <w:sz w:val="24"/>
          <w:szCs w:val="24"/>
        </w:rPr>
        <w:t xml:space="preserve">the </w:t>
      </w:r>
      <w:r w:rsidRPr="00B41478">
        <w:rPr>
          <w:b w:val="0"/>
          <w:bCs w:val="0"/>
          <w:sz w:val="24"/>
          <w:szCs w:val="24"/>
        </w:rPr>
        <w:t xml:space="preserve">commodification of the traditional dishes. The question that is established through this process is whether the culinary heritage is being distorted as a result of tourism-based demand or is being preserved through the creation of new interest and financial drive to maintain the culinary heritage. According to critical discussions, there is a two-sided effect as tourist preferences might enhance the oversimplification or staging of local food traditions, but, conversely, culinary tourism can rekindle the dying techniques, ingredients and even </w:t>
      </w:r>
      <w:r>
        <w:rPr>
          <w:b w:val="0"/>
          <w:bCs w:val="0"/>
          <w:sz w:val="24"/>
          <w:szCs w:val="24"/>
        </w:rPr>
        <w:t>community</w:t>
      </w:r>
      <w:r w:rsidRPr="00B41478">
        <w:rPr>
          <w:b w:val="0"/>
          <w:bCs w:val="0"/>
          <w:sz w:val="24"/>
          <w:szCs w:val="24"/>
        </w:rPr>
        <w:t xml:space="preserve"> identities. In turn, the conflict between authenticity and market-oriented change is one of the key issues of sustainable culinary tourism.</w:t>
      </w:r>
      <w:bookmarkEnd w:id="12"/>
    </w:p>
    <w:p w:rsidR="00170236" w:rsidRPr="00170236" w:rsidRDefault="003C6E31" w:rsidP="00EC2E15">
      <w:pPr>
        <w:pStyle w:val="Heading2"/>
      </w:pPr>
      <w:bookmarkStart w:id="13" w:name="_Toc214890664"/>
      <w:r w:rsidRPr="003C6E31">
        <w:rPr>
          <w:rStyle w:val="Strong"/>
          <w:b/>
          <w:bCs/>
          <w:sz w:val="24"/>
          <w:szCs w:val="24"/>
        </w:rPr>
        <w:lastRenderedPageBreak/>
        <w:t>2.2 Sustainability Frameworks</w:t>
      </w:r>
      <w:bookmarkEnd w:id="13"/>
    </w:p>
    <w:p w:rsidR="00170236" w:rsidRDefault="00170236" w:rsidP="00EC2E15">
      <w:pPr>
        <w:pStyle w:val="NormalWeb"/>
        <w:spacing w:line="480" w:lineRule="auto"/>
        <w:ind w:firstLine="720"/>
      </w:pPr>
      <w:r>
        <w:t>Sustainability in culinary tourism has environmental, social and economic aspects that determine the future sustainability of food-based tourism activities</w:t>
      </w:r>
      <w:r w:rsidR="00151EEA">
        <w:t xml:space="preserve"> (</w:t>
      </w:r>
      <w:proofErr w:type="spellStart"/>
      <w:r w:rsidR="00151EEA">
        <w:t>Hjalager</w:t>
      </w:r>
      <w:proofErr w:type="spellEnd"/>
      <w:r w:rsidR="00151EEA">
        <w:t xml:space="preserve"> &amp; Johansen, 2013)</w:t>
      </w:r>
      <w:r>
        <w:t>. On the environmental level, sustainable sourcing focuses on sourcing of local, seasonal, as well as responsibly sourced ingredients, in order to lower the amount of transportation emissions, and contribute towards ecological stability</w:t>
      </w:r>
      <w:r w:rsidR="006E6E5D">
        <w:t xml:space="preserve"> (Sim et al., 200</w:t>
      </w:r>
      <w:r w:rsidR="00FC7B57">
        <w:t>7)</w:t>
      </w:r>
      <w:r>
        <w:t xml:space="preserve">. The amount of water used to prepare food and in agriculture, the carbon footprint of meat production and imported products are also significant in determining environmental impact. The issues of social sustainability revolve around community good, preservation of cultural heritage and </w:t>
      </w:r>
      <w:proofErr w:type="spellStart"/>
      <w:r>
        <w:t>labour</w:t>
      </w:r>
      <w:proofErr w:type="spellEnd"/>
      <w:r>
        <w:t xml:space="preserve"> equity in food supply chains. It is essential to provide the local manufacturers and cooks with equal chances to promote social strength and eliminate exploitation. In economic terms, sustainability is concerned with enhancing the value chains in tourism and empowering local entrepreneurship, especially those that involve small-scale farmers, artisans and food vendors.</w:t>
      </w:r>
    </w:p>
    <w:p w:rsidR="00113071" w:rsidRPr="00113071" w:rsidRDefault="00F5207E" w:rsidP="00113071">
      <w:pPr>
        <w:pStyle w:val="NormalWeb"/>
        <w:spacing w:line="480" w:lineRule="auto"/>
        <w:ind w:firstLine="720"/>
      </w:pPr>
      <w:r w:rsidRPr="00F5207E">
        <w:t>There are several models that are used in the evaluation and adoption of sustainability. The Global Sustainable Tourism Council (GSTC) offers a destination and industry criteria in areas related to environmental management, cultural preservation and the involvement of the people</w:t>
      </w:r>
      <w:r w:rsidR="00DF6935">
        <w:t xml:space="preserve"> (</w:t>
      </w:r>
      <w:proofErr w:type="spellStart"/>
      <w:r w:rsidR="00DF6935" w:rsidRPr="00DF6935">
        <w:t>Anis</w:t>
      </w:r>
      <w:proofErr w:type="spellEnd"/>
      <w:r w:rsidR="00DF6935" w:rsidRPr="00DF6935">
        <w:t xml:space="preserve">, </w:t>
      </w:r>
      <w:proofErr w:type="spellStart"/>
      <w:r w:rsidR="00DF6935" w:rsidRPr="00DF6935">
        <w:t>Azhar</w:t>
      </w:r>
      <w:proofErr w:type="spellEnd"/>
      <w:r w:rsidR="00DF6935">
        <w:t xml:space="preserve"> &amp; </w:t>
      </w:r>
      <w:proofErr w:type="spellStart"/>
      <w:r w:rsidR="00DF6935">
        <w:t>Rahmadani</w:t>
      </w:r>
      <w:proofErr w:type="spellEnd"/>
      <w:r w:rsidR="00DF6935">
        <w:t>, 2023)</w:t>
      </w:r>
      <w:r w:rsidRPr="00F5207E">
        <w:t xml:space="preserve">. These standards promote open sourcing, minimization of waste and culinary tradition. In the meantime, the UNWTO pillars on sustainability focus on the interdependence of environmental stewardship, socio-cultural integrity and long-term economic benefits. </w:t>
      </w:r>
      <w:r w:rsidR="009F4851" w:rsidRPr="009F4851">
        <w:t xml:space="preserve">In terms of the quality and safety of food, both ISO 22000 and HACCP systems offer </w:t>
      </w:r>
      <w:r w:rsidR="00E822F9">
        <w:t>a</w:t>
      </w:r>
      <w:r w:rsidR="009F4851" w:rsidRPr="009F4851">
        <w:t xml:space="preserve"> standard of control of the duties, hygiene, and consistency of the operations, which contributes to making the culinary tourism products safe and consistent (Chen et al., 2020). To add to these rules and regulations, a concept of biodiversity, traditional knowledge, </w:t>
      </w:r>
      <w:r w:rsidR="009F4851" w:rsidRPr="009F4851">
        <w:lastRenderedPageBreak/>
        <w:t xml:space="preserve">and the principles of good, clean and fair food are welcomed by </w:t>
      </w:r>
      <w:r w:rsidR="00E822F9">
        <w:t xml:space="preserve">the </w:t>
      </w:r>
      <w:r w:rsidR="009F4851" w:rsidRPr="009F4851">
        <w:t>Slow Food movement</w:t>
      </w:r>
      <w:r w:rsidR="00E822F9">
        <w:t>,</w:t>
      </w:r>
      <w:r w:rsidR="009F4851" w:rsidRPr="009F4851">
        <w:t xml:space="preserve"> that are closely related to the concepts of sustainability.</w:t>
      </w:r>
      <w:bookmarkStart w:id="14" w:name="_Toc214890666"/>
    </w:p>
    <w:p w:rsidR="00113071" w:rsidRDefault="00113071" w:rsidP="00113071">
      <w:pPr>
        <w:pStyle w:val="Heading2"/>
        <w:spacing w:line="480" w:lineRule="auto"/>
        <w:ind w:firstLine="720"/>
        <w:rPr>
          <w:b w:val="0"/>
          <w:bCs w:val="0"/>
          <w:sz w:val="24"/>
          <w:szCs w:val="24"/>
        </w:rPr>
      </w:pPr>
      <w:r w:rsidRPr="00113071">
        <w:rPr>
          <w:b w:val="0"/>
          <w:bCs w:val="0"/>
          <w:sz w:val="24"/>
          <w:szCs w:val="24"/>
        </w:rPr>
        <w:t>On a critical analysis, it is pointed out that there are often alignments mixed with tension within such frameworks. GSTC and UNWTO also value cultural protection and environmental management a lot as compared to the ISO 22000 deals and HACCP deals, which are more focused on safety and efficiency (</w:t>
      </w:r>
      <w:proofErr w:type="spellStart"/>
      <w:r w:rsidRPr="00113071">
        <w:rPr>
          <w:b w:val="0"/>
          <w:bCs w:val="0"/>
          <w:sz w:val="24"/>
          <w:szCs w:val="24"/>
        </w:rPr>
        <w:t>Durband</w:t>
      </w:r>
      <w:proofErr w:type="spellEnd"/>
      <w:r w:rsidRPr="00113071">
        <w:rPr>
          <w:b w:val="0"/>
          <w:bCs w:val="0"/>
          <w:sz w:val="24"/>
          <w:szCs w:val="24"/>
        </w:rPr>
        <w:t xml:space="preserve">, 2021). These quality systems are useful in preserving the trust and reliability, but the </w:t>
      </w:r>
      <w:proofErr w:type="spellStart"/>
      <w:r w:rsidRPr="00113071">
        <w:rPr>
          <w:b w:val="0"/>
          <w:bCs w:val="0"/>
          <w:sz w:val="24"/>
          <w:szCs w:val="24"/>
        </w:rPr>
        <w:t>standardised</w:t>
      </w:r>
      <w:proofErr w:type="spellEnd"/>
      <w:r w:rsidRPr="00113071">
        <w:rPr>
          <w:b w:val="0"/>
          <w:bCs w:val="0"/>
          <w:sz w:val="24"/>
          <w:szCs w:val="24"/>
        </w:rPr>
        <w:t xml:space="preserve"> procedures might be in conflict with the local culinary practices, which are artisanal, informal, or small-scale culinary practices which constitute local authenticity. In the same way, Slow Food is a cultural and </w:t>
      </w:r>
      <w:r>
        <w:rPr>
          <w:b w:val="0"/>
          <w:bCs w:val="0"/>
          <w:sz w:val="24"/>
          <w:szCs w:val="24"/>
        </w:rPr>
        <w:t>environmental-oriented</w:t>
      </w:r>
      <w:r w:rsidRPr="00113071">
        <w:rPr>
          <w:b w:val="0"/>
          <w:bCs w:val="0"/>
          <w:sz w:val="24"/>
          <w:szCs w:val="24"/>
        </w:rPr>
        <w:t xml:space="preserve"> organization that may not work in a </w:t>
      </w:r>
      <w:r>
        <w:rPr>
          <w:b w:val="0"/>
          <w:bCs w:val="0"/>
          <w:sz w:val="24"/>
          <w:szCs w:val="24"/>
        </w:rPr>
        <w:t>high-volume</w:t>
      </w:r>
      <w:r w:rsidRPr="00113071">
        <w:rPr>
          <w:b w:val="0"/>
          <w:bCs w:val="0"/>
          <w:sz w:val="24"/>
          <w:szCs w:val="24"/>
        </w:rPr>
        <w:t xml:space="preserve"> tourism context. </w:t>
      </w:r>
    </w:p>
    <w:p w:rsidR="003C6E31" w:rsidRPr="003C6E31" w:rsidRDefault="003C6E31" w:rsidP="00113071">
      <w:pPr>
        <w:pStyle w:val="Heading2"/>
      </w:pPr>
      <w:r w:rsidRPr="003C6E31">
        <w:rPr>
          <w:rStyle w:val="Strong"/>
          <w:b/>
          <w:bCs/>
          <w:sz w:val="24"/>
          <w:szCs w:val="24"/>
        </w:rPr>
        <w:t>2.3 Quality Assurance Systems in Culinary Tourism</w:t>
      </w:r>
      <w:bookmarkEnd w:id="14"/>
    </w:p>
    <w:p w:rsidR="00F5207E" w:rsidRDefault="00821A44" w:rsidP="00EC2E15">
      <w:pPr>
        <w:pStyle w:val="NormalWeb"/>
        <w:spacing w:line="480" w:lineRule="auto"/>
        <w:ind w:firstLine="720"/>
      </w:pPr>
      <w:r w:rsidRPr="00821A44">
        <w:t xml:space="preserve">One of the key aspects that can define the perception </w:t>
      </w:r>
      <w:r>
        <w:t>of</w:t>
      </w:r>
      <w:r w:rsidRPr="00821A44">
        <w:t xml:space="preserve"> culinary experience of tourists is quality assurance (Zhang, Chen &amp; Hu, 2019). Such other models as SERVQUAL evaluate the quality of services through the dimensions of reliability, responsiveness, assurance, empathy, and tangibles (</w:t>
      </w:r>
      <w:proofErr w:type="spellStart"/>
      <w:r w:rsidRPr="00821A44">
        <w:t>Yarimoglu</w:t>
      </w:r>
      <w:proofErr w:type="spellEnd"/>
      <w:r w:rsidRPr="00821A44">
        <w:t xml:space="preserve">, 2014). The measures allow food tourism producers to consider regularity </w:t>
      </w:r>
      <w:r>
        <w:t>and client satisfaction</w:t>
      </w:r>
      <w:r w:rsidR="00F5207E" w:rsidRPr="00F5207E">
        <w:t xml:space="preserve">. Total Quality Management (TQM) also enhances continuous improvement by ensuring </w:t>
      </w:r>
      <w:proofErr w:type="spellStart"/>
      <w:r w:rsidR="00F5207E" w:rsidRPr="00F5207E">
        <w:t>organisational</w:t>
      </w:r>
      <w:proofErr w:type="spellEnd"/>
      <w:r w:rsidR="00F5207E" w:rsidRPr="00F5207E">
        <w:t xml:space="preserve"> commitment to excellence in all processes</w:t>
      </w:r>
      <w:r w:rsidR="00F5207E">
        <w:t>,</w:t>
      </w:r>
      <w:r w:rsidR="00F5207E" w:rsidRPr="00F5207E">
        <w:t xml:space="preserve"> whereas lean management and continuous improvement systems focus on efficiency in operations and </w:t>
      </w:r>
      <w:proofErr w:type="spellStart"/>
      <w:r w:rsidR="00F5207E" w:rsidRPr="00F5207E">
        <w:t>minimisation</w:t>
      </w:r>
      <w:proofErr w:type="spellEnd"/>
      <w:r w:rsidR="00F5207E" w:rsidRPr="00F5207E">
        <w:t xml:space="preserve"> of waste</w:t>
      </w:r>
      <w:r w:rsidR="00413299">
        <w:t xml:space="preserve"> (</w:t>
      </w:r>
      <w:proofErr w:type="spellStart"/>
      <w:r w:rsidR="00413299">
        <w:t>Jimoh</w:t>
      </w:r>
      <w:proofErr w:type="spellEnd"/>
      <w:r w:rsidR="00413299">
        <w:t xml:space="preserve"> et al., 2019)</w:t>
      </w:r>
      <w:r w:rsidR="00F5207E" w:rsidRPr="00F5207E">
        <w:t>.</w:t>
      </w:r>
    </w:p>
    <w:p w:rsidR="00DE6600" w:rsidRDefault="00DE6600" w:rsidP="00EC2E15">
      <w:pPr>
        <w:pStyle w:val="Heading3"/>
        <w:spacing w:line="480" w:lineRule="auto"/>
        <w:ind w:firstLine="720"/>
        <w:rPr>
          <w:b w:val="0"/>
          <w:bCs w:val="0"/>
          <w:sz w:val="24"/>
          <w:szCs w:val="24"/>
        </w:rPr>
      </w:pPr>
      <w:bookmarkStart w:id="15" w:name="_Toc214890667"/>
      <w:r w:rsidRPr="00DE6600">
        <w:rPr>
          <w:b w:val="0"/>
          <w:bCs w:val="0"/>
          <w:sz w:val="24"/>
          <w:szCs w:val="24"/>
        </w:rPr>
        <w:t xml:space="preserve">Nevertheless, it is challenging to incorporate quality assurance into culinary tourism. Though these systems are safer and more reliable, they tend to focus on </w:t>
      </w:r>
      <w:proofErr w:type="spellStart"/>
      <w:r w:rsidRPr="00DE6600">
        <w:rPr>
          <w:b w:val="0"/>
          <w:bCs w:val="0"/>
          <w:sz w:val="24"/>
          <w:szCs w:val="24"/>
        </w:rPr>
        <w:t>standardisation</w:t>
      </w:r>
      <w:proofErr w:type="spellEnd"/>
      <w:r w:rsidRPr="00DE6600">
        <w:rPr>
          <w:b w:val="0"/>
          <w:bCs w:val="0"/>
          <w:sz w:val="24"/>
          <w:szCs w:val="24"/>
        </w:rPr>
        <w:t xml:space="preserve">, which can inadvertently compromise on authenticity, especially when local food traditions are based on </w:t>
      </w:r>
      <w:r w:rsidRPr="00DE6600">
        <w:rPr>
          <w:b w:val="0"/>
          <w:bCs w:val="0"/>
          <w:sz w:val="24"/>
          <w:szCs w:val="24"/>
        </w:rPr>
        <w:lastRenderedPageBreak/>
        <w:t>variability, artisanal processes, or non-</w:t>
      </w:r>
      <w:proofErr w:type="spellStart"/>
      <w:r w:rsidRPr="00DE6600">
        <w:rPr>
          <w:b w:val="0"/>
          <w:bCs w:val="0"/>
          <w:sz w:val="24"/>
          <w:szCs w:val="24"/>
        </w:rPr>
        <w:t>industrialised</w:t>
      </w:r>
      <w:proofErr w:type="spellEnd"/>
      <w:r w:rsidRPr="00DE6600">
        <w:rPr>
          <w:b w:val="0"/>
          <w:bCs w:val="0"/>
          <w:sz w:val="24"/>
          <w:szCs w:val="24"/>
        </w:rPr>
        <w:t xml:space="preserve"> processes of food preparation. As an example, the strict compliance with the HACCP guidelines can imply altered procedures that can change classic recipes or places of preparation. When quality systems tailored towards industrial food production are extended to the small-scale community-based food tourism projects, a critical gap will be created that may create barriers to entry on local producers. Thus, the literature highlights the necessity to implement quality systems that are neither too uniform nor cultural-insensitive, where destinations will be allowed to keep their unique culinary identity but without jeopardizing hygiene and satisfaction of visitors.</w:t>
      </w:r>
      <w:bookmarkEnd w:id="15"/>
    </w:p>
    <w:p w:rsidR="003C6E31" w:rsidRPr="003C6E31" w:rsidRDefault="003C6E31" w:rsidP="00EC2E15">
      <w:pPr>
        <w:pStyle w:val="Heading2"/>
      </w:pPr>
      <w:bookmarkStart w:id="16" w:name="_Toc214890668"/>
      <w:r w:rsidRPr="003C6E31">
        <w:rPr>
          <w:rStyle w:val="Strong"/>
          <w:b/>
          <w:bCs/>
          <w:sz w:val="24"/>
          <w:szCs w:val="24"/>
        </w:rPr>
        <w:t>2.4 Sustainable Gastronomy Models</w:t>
      </w:r>
      <w:bookmarkEnd w:id="16"/>
    </w:p>
    <w:p w:rsidR="00BC1AEA" w:rsidRDefault="00BC1AEA" w:rsidP="00EC2E15">
      <w:pPr>
        <w:pStyle w:val="NormalWeb"/>
        <w:spacing w:line="480" w:lineRule="auto"/>
        <w:ind w:firstLine="720"/>
      </w:pPr>
      <w:r w:rsidRPr="00BC1AEA">
        <w:t xml:space="preserve">Sustainable gastronomy involves strategies that combine environmental sustainability, </w:t>
      </w:r>
      <w:r>
        <w:t>cultural</w:t>
      </w:r>
      <w:r w:rsidRPr="00BC1AEA">
        <w:t xml:space="preserve"> conservation and economic welfare in food tourism activities</w:t>
      </w:r>
      <w:r w:rsidR="00CA1476">
        <w:t xml:space="preserve"> (</w:t>
      </w:r>
      <w:proofErr w:type="spellStart"/>
      <w:r w:rsidR="00CA1476" w:rsidRPr="00CA1476">
        <w:t>Adekunle</w:t>
      </w:r>
      <w:proofErr w:type="spellEnd"/>
      <w:r w:rsidR="00CA1476">
        <w:t xml:space="preserve"> et al., 2024)</w:t>
      </w:r>
      <w:r w:rsidRPr="00BC1AEA">
        <w:t xml:space="preserve">. The local food networks are important because they connect the producers, restaurateurs and consumers in the regionally </w:t>
      </w:r>
      <w:r>
        <w:t>embedded</w:t>
      </w:r>
      <w:r w:rsidRPr="00BC1AEA">
        <w:t xml:space="preserve"> systems that enhance food sovereignty and decrease reliance on extensive global provisioning chains. Farm-to-table models focus on direct sourcing of local farms, freshness, carbon footprint reduction, and </w:t>
      </w:r>
      <w:r>
        <w:t>the local agricultural</w:t>
      </w:r>
      <w:r w:rsidRPr="00BC1AEA">
        <w:t xml:space="preserve"> economy</w:t>
      </w:r>
      <w:r w:rsidR="000A20AF">
        <w:t xml:space="preserve"> (</w:t>
      </w:r>
      <w:proofErr w:type="spellStart"/>
      <w:r w:rsidR="000A20AF">
        <w:t>Bano</w:t>
      </w:r>
      <w:proofErr w:type="spellEnd"/>
      <w:r w:rsidR="000A20AF">
        <w:t>, 2024)</w:t>
      </w:r>
      <w:r w:rsidRPr="00BC1AEA">
        <w:t>. Greater traceability is also facilitated by such models</w:t>
      </w:r>
      <w:r>
        <w:t>,</w:t>
      </w:r>
      <w:r w:rsidRPr="00BC1AEA">
        <w:t xml:space="preserve"> and this can be used to </w:t>
      </w:r>
      <w:r>
        <w:t>reassure</w:t>
      </w:r>
      <w:r w:rsidRPr="00BC1AEA">
        <w:t xml:space="preserve"> tourists who are attentive to ethical and sustainable culinary experiences. Moreover, food waste reduction, composting, upcycling leftovers, and menu design to achieve the least possible environmental impact are some of the practices introduced by circular gastronomy. These strategies are both environmentally friendly and save money </w:t>
      </w:r>
      <w:r>
        <w:t>for</w:t>
      </w:r>
      <w:r w:rsidRPr="00BC1AEA">
        <w:t xml:space="preserve"> the tourism companies.</w:t>
      </w:r>
    </w:p>
    <w:p w:rsidR="009B32BB" w:rsidRDefault="009B32BB" w:rsidP="00EC2E15">
      <w:pPr>
        <w:pStyle w:val="Heading2"/>
        <w:spacing w:line="480" w:lineRule="auto"/>
        <w:ind w:firstLine="720"/>
        <w:rPr>
          <w:b w:val="0"/>
          <w:bCs w:val="0"/>
          <w:sz w:val="24"/>
          <w:szCs w:val="24"/>
        </w:rPr>
      </w:pPr>
      <w:bookmarkStart w:id="17" w:name="_Toc214890669"/>
      <w:r w:rsidRPr="009B32BB">
        <w:rPr>
          <w:b w:val="0"/>
          <w:bCs w:val="0"/>
          <w:sz w:val="24"/>
          <w:szCs w:val="24"/>
        </w:rPr>
        <w:t>Sustainable gastronomy is increasingly taking a new form</w:t>
      </w:r>
      <w:r>
        <w:rPr>
          <w:b w:val="0"/>
          <w:bCs w:val="0"/>
          <w:sz w:val="24"/>
          <w:szCs w:val="24"/>
        </w:rPr>
        <w:t>,</w:t>
      </w:r>
      <w:r w:rsidRPr="009B32BB">
        <w:rPr>
          <w:b w:val="0"/>
          <w:bCs w:val="0"/>
          <w:sz w:val="24"/>
          <w:szCs w:val="24"/>
        </w:rPr>
        <w:t xml:space="preserve"> depending on technological innovations</w:t>
      </w:r>
      <w:r w:rsidR="00BA54E0">
        <w:rPr>
          <w:b w:val="0"/>
          <w:bCs w:val="0"/>
          <w:sz w:val="24"/>
          <w:szCs w:val="24"/>
        </w:rPr>
        <w:t xml:space="preserve"> (</w:t>
      </w:r>
      <w:r w:rsidR="00BA54E0" w:rsidRPr="00BA54E0">
        <w:rPr>
          <w:b w:val="0"/>
          <w:bCs w:val="0"/>
          <w:sz w:val="24"/>
          <w:szCs w:val="24"/>
        </w:rPr>
        <w:t>Pérez-Rodrigo</w:t>
      </w:r>
      <w:r w:rsidR="00BA54E0">
        <w:rPr>
          <w:b w:val="0"/>
          <w:bCs w:val="0"/>
          <w:sz w:val="24"/>
          <w:szCs w:val="24"/>
        </w:rPr>
        <w:t xml:space="preserve"> </w:t>
      </w:r>
      <w:r w:rsidR="00BA54E0" w:rsidRPr="00BA54E0">
        <w:rPr>
          <w:b w:val="0"/>
          <w:bCs w:val="0"/>
          <w:sz w:val="24"/>
          <w:szCs w:val="24"/>
        </w:rPr>
        <w:t xml:space="preserve">&amp; </w:t>
      </w:r>
      <w:proofErr w:type="spellStart"/>
      <w:r w:rsidR="00BA54E0" w:rsidRPr="00BA54E0">
        <w:rPr>
          <w:b w:val="0"/>
          <w:bCs w:val="0"/>
          <w:sz w:val="24"/>
          <w:szCs w:val="24"/>
        </w:rPr>
        <w:t>Aranceta-Bartrina</w:t>
      </w:r>
      <w:proofErr w:type="spellEnd"/>
      <w:r w:rsidR="00BA54E0" w:rsidRPr="00BA54E0">
        <w:rPr>
          <w:b w:val="0"/>
          <w:bCs w:val="0"/>
          <w:sz w:val="24"/>
          <w:szCs w:val="24"/>
        </w:rPr>
        <w:t>, 2021)</w:t>
      </w:r>
      <w:r w:rsidRPr="009B32BB">
        <w:rPr>
          <w:b w:val="0"/>
          <w:bCs w:val="0"/>
          <w:sz w:val="24"/>
          <w:szCs w:val="24"/>
        </w:rPr>
        <w:t xml:space="preserve">. Instrumental technologies to trace the </w:t>
      </w:r>
      <w:r w:rsidRPr="009B32BB">
        <w:rPr>
          <w:b w:val="0"/>
          <w:bCs w:val="0"/>
          <w:sz w:val="24"/>
          <w:szCs w:val="24"/>
        </w:rPr>
        <w:lastRenderedPageBreak/>
        <w:t xml:space="preserve">ingredients like </w:t>
      </w:r>
      <w:proofErr w:type="spellStart"/>
      <w:r w:rsidRPr="009B32BB">
        <w:rPr>
          <w:b w:val="0"/>
          <w:bCs w:val="0"/>
          <w:sz w:val="24"/>
          <w:szCs w:val="24"/>
        </w:rPr>
        <w:t>blockchain</w:t>
      </w:r>
      <w:proofErr w:type="spellEnd"/>
      <w:r w:rsidRPr="009B32BB">
        <w:rPr>
          <w:b w:val="0"/>
          <w:bCs w:val="0"/>
          <w:sz w:val="24"/>
          <w:szCs w:val="24"/>
        </w:rPr>
        <w:t xml:space="preserve"> and QR code systems</w:t>
      </w:r>
      <w:r>
        <w:rPr>
          <w:b w:val="0"/>
          <w:bCs w:val="0"/>
          <w:sz w:val="24"/>
          <w:szCs w:val="24"/>
        </w:rPr>
        <w:t>,</w:t>
      </w:r>
      <w:r w:rsidRPr="009B32BB">
        <w:rPr>
          <w:b w:val="0"/>
          <w:bCs w:val="0"/>
          <w:sz w:val="24"/>
          <w:szCs w:val="24"/>
        </w:rPr>
        <w:t xml:space="preserve"> enable consumers to follow the origin of ingredients to the plate</w:t>
      </w:r>
      <w:r w:rsidR="00765081">
        <w:rPr>
          <w:b w:val="0"/>
          <w:bCs w:val="0"/>
          <w:sz w:val="24"/>
          <w:szCs w:val="24"/>
        </w:rPr>
        <w:t xml:space="preserve"> (Tran et al., 2024)</w:t>
      </w:r>
      <w:r w:rsidRPr="009B32BB">
        <w:rPr>
          <w:b w:val="0"/>
          <w:bCs w:val="0"/>
          <w:sz w:val="24"/>
          <w:szCs w:val="24"/>
        </w:rPr>
        <w:t>. These systems help to increase transparency and create a sense of trust</w:t>
      </w:r>
      <w:r>
        <w:rPr>
          <w:b w:val="0"/>
          <w:bCs w:val="0"/>
          <w:sz w:val="24"/>
          <w:szCs w:val="24"/>
        </w:rPr>
        <w:t>,</w:t>
      </w:r>
      <w:r w:rsidRPr="009B32BB">
        <w:rPr>
          <w:b w:val="0"/>
          <w:bCs w:val="0"/>
          <w:sz w:val="24"/>
          <w:szCs w:val="24"/>
        </w:rPr>
        <w:t xml:space="preserve"> but can create financial and technical problems in small businesses. An analysis of opportunities, weaknesses, and strengths shows that sustainable gastronomy can contribute to destination competitiveness and community well-being to a great extent, though it requires </w:t>
      </w:r>
      <w:proofErr w:type="spellStart"/>
      <w:r>
        <w:rPr>
          <w:b w:val="0"/>
          <w:bCs w:val="0"/>
          <w:sz w:val="24"/>
          <w:szCs w:val="24"/>
        </w:rPr>
        <w:t>favourable</w:t>
      </w:r>
      <w:proofErr w:type="spellEnd"/>
      <w:r w:rsidRPr="009B32BB">
        <w:rPr>
          <w:b w:val="0"/>
          <w:bCs w:val="0"/>
          <w:sz w:val="24"/>
          <w:szCs w:val="24"/>
        </w:rPr>
        <w:t xml:space="preserve"> policy environments, empowering local producers, and system compatibility. </w:t>
      </w:r>
      <w:bookmarkEnd w:id="17"/>
      <w:r w:rsidR="00172656" w:rsidRPr="00172656">
        <w:rPr>
          <w:b w:val="0"/>
          <w:bCs w:val="0"/>
          <w:sz w:val="24"/>
          <w:szCs w:val="24"/>
        </w:rPr>
        <w:t>Lastly, it has been demonstrated that sustainable gastronomy is a future path of balancing authenticity, sustainability and quality of service provision in the emerging field of culinary tourism.</w:t>
      </w:r>
    </w:p>
    <w:p w:rsidR="003C6E31" w:rsidRPr="00EC2E15" w:rsidRDefault="003C6E31" w:rsidP="00EC2E15">
      <w:pPr>
        <w:pStyle w:val="Heading1"/>
        <w:jc w:val="center"/>
        <w:rPr>
          <w:rFonts w:ascii="Times New Roman" w:hAnsi="Times New Roman" w:cs="Times New Roman"/>
          <w:sz w:val="28"/>
        </w:rPr>
      </w:pPr>
      <w:bookmarkStart w:id="18" w:name="_Toc214890670"/>
      <w:r w:rsidRPr="00EC2E15">
        <w:rPr>
          <w:rStyle w:val="Strong"/>
          <w:rFonts w:ascii="Times New Roman" w:hAnsi="Times New Roman" w:cs="Times New Roman"/>
          <w:bCs w:val="0"/>
          <w:sz w:val="28"/>
        </w:rPr>
        <w:t>3. Methodology</w:t>
      </w:r>
      <w:bookmarkEnd w:id="18"/>
    </w:p>
    <w:p w:rsidR="003C6E31" w:rsidRPr="00EC2E15" w:rsidRDefault="003C6E31" w:rsidP="00EC2E15">
      <w:pPr>
        <w:pStyle w:val="Heading2"/>
      </w:pPr>
      <w:bookmarkStart w:id="19" w:name="_Toc214890671"/>
      <w:r w:rsidRPr="00EC2E15">
        <w:rPr>
          <w:rStyle w:val="Strong"/>
          <w:b/>
          <w:bCs/>
          <w:sz w:val="24"/>
          <w:szCs w:val="24"/>
        </w:rPr>
        <w:t>3.1 Research Design</w:t>
      </w:r>
      <w:bookmarkEnd w:id="19"/>
    </w:p>
    <w:p w:rsidR="00B6380B" w:rsidRDefault="00B6380B" w:rsidP="00B6380B">
      <w:pPr>
        <w:pStyle w:val="Heading2"/>
        <w:spacing w:line="480" w:lineRule="auto"/>
        <w:ind w:firstLine="720"/>
        <w:rPr>
          <w:b w:val="0"/>
          <w:bCs w:val="0"/>
          <w:sz w:val="24"/>
          <w:szCs w:val="24"/>
        </w:rPr>
      </w:pPr>
      <w:bookmarkStart w:id="20" w:name="_Toc214890673"/>
      <w:r w:rsidRPr="00B6380B">
        <w:rPr>
          <w:b w:val="0"/>
          <w:bCs w:val="0"/>
          <w:sz w:val="24"/>
          <w:szCs w:val="24"/>
        </w:rPr>
        <w:t>In this study, the research design embraced is qualitative research in order to examine the overlap of sustainability and quality of service in culinary tourism. The qualitative approach is very suitable in the understanding of the complex cultures, environmental and experience factors that can never be fully captured by the quantitative approach (</w:t>
      </w:r>
      <w:proofErr w:type="spellStart"/>
      <w:r w:rsidRPr="00B6380B">
        <w:rPr>
          <w:b w:val="0"/>
          <w:bCs w:val="0"/>
          <w:sz w:val="24"/>
          <w:szCs w:val="24"/>
        </w:rPr>
        <w:t>Fossey</w:t>
      </w:r>
      <w:proofErr w:type="spellEnd"/>
      <w:r w:rsidRPr="00B6380B">
        <w:rPr>
          <w:b w:val="0"/>
          <w:bCs w:val="0"/>
          <w:sz w:val="24"/>
          <w:szCs w:val="24"/>
        </w:rPr>
        <w:t xml:space="preserve"> et al., 2002). The study is based on an academic literature, policy documents, industry reports and secondary case studies to create a rich interpretative foundation on which the relationship between authenticity, sustainability and quality assurance in varied culinary </w:t>
      </w:r>
      <w:r>
        <w:rPr>
          <w:b w:val="0"/>
          <w:bCs w:val="0"/>
          <w:sz w:val="24"/>
          <w:szCs w:val="24"/>
        </w:rPr>
        <w:t>environments</w:t>
      </w:r>
      <w:r w:rsidRPr="00B6380B">
        <w:rPr>
          <w:b w:val="0"/>
          <w:bCs w:val="0"/>
          <w:sz w:val="24"/>
          <w:szCs w:val="24"/>
        </w:rPr>
        <w:t xml:space="preserve"> is observed.</w:t>
      </w:r>
    </w:p>
    <w:p w:rsidR="003C6E31" w:rsidRPr="003C6E31" w:rsidRDefault="003C6E31" w:rsidP="00EC2E15">
      <w:pPr>
        <w:pStyle w:val="Heading2"/>
      </w:pPr>
      <w:r w:rsidRPr="003C6E31">
        <w:rPr>
          <w:rStyle w:val="Strong"/>
          <w:b/>
          <w:bCs/>
          <w:sz w:val="24"/>
          <w:szCs w:val="24"/>
        </w:rPr>
        <w:t>3.2 Analytical Approach</w:t>
      </w:r>
      <w:bookmarkEnd w:id="20"/>
    </w:p>
    <w:p w:rsidR="00B6380B" w:rsidRDefault="00B6380B" w:rsidP="00B6380B">
      <w:pPr>
        <w:pStyle w:val="Heading2"/>
        <w:spacing w:line="480" w:lineRule="auto"/>
        <w:ind w:firstLine="720"/>
        <w:rPr>
          <w:b w:val="0"/>
          <w:bCs w:val="0"/>
          <w:sz w:val="24"/>
          <w:szCs w:val="24"/>
        </w:rPr>
      </w:pPr>
      <w:bookmarkStart w:id="21" w:name="_Toc214890675"/>
      <w:r w:rsidRPr="00B6380B">
        <w:rPr>
          <w:b w:val="0"/>
          <w:bCs w:val="0"/>
          <w:sz w:val="24"/>
          <w:szCs w:val="24"/>
        </w:rPr>
        <w:t xml:space="preserve">The analysis of the similarities, patterns, and themes of the selected data sources will be conducted with the help of the thematic analysis. This approach can be used to examine sustainability practices, quality assurance procedures in a systematic manner and what they </w:t>
      </w:r>
      <w:r w:rsidRPr="00B6380B">
        <w:rPr>
          <w:b w:val="0"/>
          <w:bCs w:val="0"/>
          <w:sz w:val="24"/>
          <w:szCs w:val="24"/>
        </w:rPr>
        <w:lastRenderedPageBreak/>
        <w:t xml:space="preserve">imply to culinary tourism. A synthesis of an analytical framework offered by </w:t>
      </w:r>
      <w:r w:rsidR="0053194C">
        <w:rPr>
          <w:b w:val="0"/>
          <w:bCs w:val="0"/>
          <w:sz w:val="24"/>
          <w:szCs w:val="24"/>
        </w:rPr>
        <w:t xml:space="preserve">the </w:t>
      </w:r>
      <w:r w:rsidRPr="00B6380B">
        <w:rPr>
          <w:b w:val="0"/>
          <w:bCs w:val="0"/>
          <w:sz w:val="24"/>
          <w:szCs w:val="24"/>
        </w:rPr>
        <w:t xml:space="preserve">Global </w:t>
      </w:r>
      <w:r w:rsidR="0053194C">
        <w:rPr>
          <w:b w:val="0"/>
          <w:bCs w:val="0"/>
          <w:sz w:val="24"/>
          <w:szCs w:val="24"/>
        </w:rPr>
        <w:t>Sustainable Tourism Council</w:t>
      </w:r>
      <w:r w:rsidRPr="00B6380B">
        <w:rPr>
          <w:b w:val="0"/>
          <w:bCs w:val="0"/>
          <w:sz w:val="24"/>
          <w:szCs w:val="24"/>
        </w:rPr>
        <w:t xml:space="preserve"> (GSTC) framework and SERVQUAL model also informs the analysis and helps it to examine how sustainability demands are or are not in line </w:t>
      </w:r>
      <w:r w:rsidR="0053194C">
        <w:rPr>
          <w:b w:val="0"/>
          <w:bCs w:val="0"/>
          <w:sz w:val="24"/>
          <w:szCs w:val="24"/>
        </w:rPr>
        <w:t>with</w:t>
      </w:r>
      <w:r w:rsidRPr="00B6380B">
        <w:rPr>
          <w:b w:val="0"/>
          <w:bCs w:val="0"/>
          <w:sz w:val="24"/>
          <w:szCs w:val="24"/>
        </w:rPr>
        <w:t xml:space="preserve"> service quality expectations. It is a two-frame concept that proposes a systematic evaluation of culinary tourism in terms of operational standards and cultural factors.</w:t>
      </w:r>
    </w:p>
    <w:p w:rsidR="003C6E31" w:rsidRPr="003C6E31" w:rsidRDefault="003C6E31" w:rsidP="00EC2E15">
      <w:pPr>
        <w:pStyle w:val="Heading2"/>
      </w:pPr>
      <w:r w:rsidRPr="003C6E31">
        <w:rPr>
          <w:rStyle w:val="Strong"/>
          <w:b/>
          <w:bCs/>
          <w:sz w:val="24"/>
          <w:szCs w:val="24"/>
        </w:rPr>
        <w:t>3.3 Data Sources</w:t>
      </w:r>
      <w:bookmarkEnd w:id="21"/>
    </w:p>
    <w:p w:rsidR="00427E32" w:rsidRDefault="00427E32" w:rsidP="00EC2E15">
      <w:pPr>
        <w:pStyle w:val="Heading3"/>
        <w:spacing w:line="480" w:lineRule="auto"/>
        <w:ind w:firstLine="720"/>
        <w:rPr>
          <w:b w:val="0"/>
          <w:bCs w:val="0"/>
          <w:sz w:val="24"/>
          <w:szCs w:val="24"/>
        </w:rPr>
      </w:pPr>
      <w:bookmarkStart w:id="22" w:name="_Toc214890676"/>
      <w:r w:rsidRPr="00427E32">
        <w:rPr>
          <w:b w:val="0"/>
          <w:bCs w:val="0"/>
          <w:sz w:val="24"/>
          <w:szCs w:val="24"/>
        </w:rPr>
        <w:t xml:space="preserve">The literature used in the study includes peer-reviewed academic literature, UNWTO publications, governmental guidelines of gastronomy tourism, and case studies of the industry. The most notable ones are </w:t>
      </w:r>
      <w:proofErr w:type="spellStart"/>
      <w:r w:rsidRPr="00427E32">
        <w:rPr>
          <w:b w:val="0"/>
          <w:bCs w:val="0"/>
          <w:sz w:val="24"/>
          <w:szCs w:val="24"/>
        </w:rPr>
        <w:t>Noma</w:t>
      </w:r>
      <w:proofErr w:type="spellEnd"/>
      <w:r w:rsidRPr="00427E32">
        <w:rPr>
          <w:b w:val="0"/>
          <w:bCs w:val="0"/>
          <w:sz w:val="24"/>
          <w:szCs w:val="24"/>
        </w:rPr>
        <w:t xml:space="preserve"> in Denmark, sustainable gastronomy projects of the Basque Culinary </w:t>
      </w:r>
      <w:r>
        <w:rPr>
          <w:b w:val="0"/>
          <w:bCs w:val="0"/>
          <w:sz w:val="24"/>
          <w:szCs w:val="24"/>
        </w:rPr>
        <w:t>Centre</w:t>
      </w:r>
      <w:r w:rsidRPr="00427E32">
        <w:rPr>
          <w:b w:val="0"/>
          <w:bCs w:val="0"/>
          <w:sz w:val="24"/>
          <w:szCs w:val="24"/>
        </w:rPr>
        <w:t>, and community-driven culinary tourism projects in Thailand. These examples are chosen because they are highly involved in the principles of sustainability and because they make their contributions to the world of discussion of authentic and responsible food tourism.</w:t>
      </w:r>
      <w:bookmarkEnd w:id="22"/>
    </w:p>
    <w:p w:rsidR="003C6E31" w:rsidRPr="003C6E31" w:rsidRDefault="003C6E31" w:rsidP="00EC2E15">
      <w:pPr>
        <w:pStyle w:val="Heading2"/>
      </w:pPr>
      <w:bookmarkStart w:id="23" w:name="_Toc214890677"/>
      <w:r w:rsidRPr="003C6E31">
        <w:rPr>
          <w:rStyle w:val="Strong"/>
          <w:b/>
          <w:bCs/>
          <w:sz w:val="24"/>
          <w:szCs w:val="24"/>
        </w:rPr>
        <w:t>3.4 Limitations</w:t>
      </w:r>
      <w:bookmarkEnd w:id="23"/>
    </w:p>
    <w:p w:rsidR="00A74836" w:rsidRDefault="00A74836" w:rsidP="00EC2E15">
      <w:pPr>
        <w:pStyle w:val="Heading3"/>
        <w:spacing w:line="480" w:lineRule="auto"/>
        <w:ind w:firstLine="720"/>
        <w:rPr>
          <w:b w:val="0"/>
          <w:bCs w:val="0"/>
          <w:sz w:val="24"/>
          <w:szCs w:val="24"/>
        </w:rPr>
      </w:pPr>
      <w:bookmarkStart w:id="24" w:name="_Toc214890678"/>
      <w:r w:rsidRPr="00A74836">
        <w:rPr>
          <w:b w:val="0"/>
          <w:bCs w:val="0"/>
          <w:sz w:val="24"/>
          <w:szCs w:val="24"/>
        </w:rPr>
        <w:t xml:space="preserve">The study has various limitations that affect the scope. The lack of primary field research will limit direct interaction with the stakeholders, including chefs, community members, and tourists. This study also </w:t>
      </w:r>
      <w:proofErr w:type="spellStart"/>
      <w:r>
        <w:rPr>
          <w:b w:val="0"/>
          <w:bCs w:val="0"/>
          <w:sz w:val="24"/>
          <w:szCs w:val="24"/>
        </w:rPr>
        <w:t>recognises</w:t>
      </w:r>
      <w:proofErr w:type="spellEnd"/>
      <w:r w:rsidRPr="00A74836">
        <w:rPr>
          <w:b w:val="0"/>
          <w:bCs w:val="0"/>
          <w:sz w:val="24"/>
          <w:szCs w:val="24"/>
        </w:rPr>
        <w:t xml:space="preserve"> the possibility of cultural bias since it is possible that literature is not representative of non-Western views on sustainability and authenticity. Moreover, the use of published case data does not provide the opportunity to check information by yourself.</w:t>
      </w:r>
      <w:bookmarkEnd w:id="24"/>
    </w:p>
    <w:p w:rsidR="003C6E31" w:rsidRPr="003C6E31" w:rsidRDefault="003C6E31" w:rsidP="00EC2E15">
      <w:pPr>
        <w:pStyle w:val="Heading2"/>
      </w:pPr>
      <w:bookmarkStart w:id="25" w:name="_Toc214890679"/>
      <w:r w:rsidRPr="003C6E31">
        <w:rPr>
          <w:rStyle w:val="Strong"/>
          <w:b/>
          <w:bCs/>
          <w:sz w:val="24"/>
          <w:szCs w:val="24"/>
        </w:rPr>
        <w:t>3.5 Ethical Considerations</w:t>
      </w:r>
      <w:bookmarkEnd w:id="25"/>
    </w:p>
    <w:p w:rsidR="00A74836" w:rsidRDefault="00A74836" w:rsidP="00EC2E15">
      <w:pPr>
        <w:pStyle w:val="Heading2"/>
        <w:spacing w:line="480" w:lineRule="auto"/>
        <w:ind w:firstLine="720"/>
        <w:rPr>
          <w:b w:val="0"/>
          <w:bCs w:val="0"/>
          <w:sz w:val="24"/>
          <w:szCs w:val="24"/>
        </w:rPr>
      </w:pPr>
      <w:bookmarkStart w:id="26" w:name="_Toc214890680"/>
      <w:r w:rsidRPr="00A74836">
        <w:rPr>
          <w:b w:val="0"/>
          <w:bCs w:val="0"/>
          <w:sz w:val="24"/>
          <w:szCs w:val="24"/>
        </w:rPr>
        <w:t>The ethical issues revolve around the just and respectful presentation of indigenous and local culinary knowledge</w:t>
      </w:r>
      <w:r w:rsidR="000F1A0F">
        <w:rPr>
          <w:b w:val="0"/>
          <w:bCs w:val="0"/>
          <w:sz w:val="24"/>
          <w:szCs w:val="24"/>
        </w:rPr>
        <w:t xml:space="preserve"> (Posey, 2004)</w:t>
      </w:r>
      <w:r w:rsidRPr="00A74836">
        <w:rPr>
          <w:b w:val="0"/>
          <w:bCs w:val="0"/>
          <w:sz w:val="24"/>
          <w:szCs w:val="24"/>
        </w:rPr>
        <w:t xml:space="preserve">. The approach is such that </w:t>
      </w:r>
      <w:r>
        <w:rPr>
          <w:b w:val="0"/>
          <w:bCs w:val="0"/>
          <w:sz w:val="24"/>
          <w:szCs w:val="24"/>
        </w:rPr>
        <w:t>cultural</w:t>
      </w:r>
      <w:r w:rsidRPr="00A74836">
        <w:rPr>
          <w:b w:val="0"/>
          <w:bCs w:val="0"/>
          <w:sz w:val="24"/>
          <w:szCs w:val="24"/>
        </w:rPr>
        <w:t xml:space="preserve"> practices are not </w:t>
      </w:r>
      <w:r w:rsidRPr="00A74836">
        <w:rPr>
          <w:b w:val="0"/>
          <w:bCs w:val="0"/>
          <w:sz w:val="24"/>
          <w:szCs w:val="24"/>
        </w:rPr>
        <w:lastRenderedPageBreak/>
        <w:t xml:space="preserve">presented as stagnant and </w:t>
      </w:r>
      <w:r>
        <w:rPr>
          <w:b w:val="0"/>
          <w:bCs w:val="0"/>
          <w:sz w:val="24"/>
          <w:szCs w:val="24"/>
        </w:rPr>
        <w:t>monotonous</w:t>
      </w:r>
      <w:r w:rsidRPr="00A74836">
        <w:rPr>
          <w:b w:val="0"/>
          <w:bCs w:val="0"/>
          <w:sz w:val="24"/>
          <w:szCs w:val="24"/>
        </w:rPr>
        <w:t xml:space="preserve"> practices</w:t>
      </w:r>
      <w:r>
        <w:rPr>
          <w:b w:val="0"/>
          <w:bCs w:val="0"/>
          <w:sz w:val="24"/>
          <w:szCs w:val="24"/>
        </w:rPr>
        <w:t>,</w:t>
      </w:r>
      <w:r w:rsidRPr="00A74836">
        <w:rPr>
          <w:b w:val="0"/>
          <w:bCs w:val="0"/>
          <w:sz w:val="24"/>
          <w:szCs w:val="24"/>
        </w:rPr>
        <w:t xml:space="preserve"> as the method acknowledges the fluidity and changeability of food customs in tourism contexts.</w:t>
      </w:r>
      <w:bookmarkEnd w:id="26"/>
    </w:p>
    <w:p w:rsidR="003C6E31" w:rsidRPr="00EC2E15" w:rsidRDefault="003C6E31" w:rsidP="00EC2E15">
      <w:pPr>
        <w:pStyle w:val="Heading1"/>
        <w:jc w:val="center"/>
        <w:rPr>
          <w:rFonts w:ascii="Times New Roman" w:hAnsi="Times New Roman" w:cs="Times New Roman"/>
          <w:sz w:val="28"/>
        </w:rPr>
      </w:pPr>
      <w:bookmarkStart w:id="27" w:name="_Toc214890681"/>
      <w:r w:rsidRPr="00EC2E15">
        <w:rPr>
          <w:rStyle w:val="Strong"/>
          <w:rFonts w:ascii="Times New Roman" w:hAnsi="Times New Roman" w:cs="Times New Roman"/>
          <w:bCs w:val="0"/>
          <w:sz w:val="28"/>
        </w:rPr>
        <w:t>4. Findings</w:t>
      </w:r>
      <w:bookmarkEnd w:id="27"/>
    </w:p>
    <w:p w:rsidR="003C6E31" w:rsidRPr="003C6E31" w:rsidRDefault="003C6E31" w:rsidP="00EC2E15">
      <w:pPr>
        <w:pStyle w:val="Heading2"/>
      </w:pPr>
      <w:bookmarkStart w:id="28" w:name="_Toc214890682"/>
      <w:r w:rsidRPr="003C6E31">
        <w:rPr>
          <w:rStyle w:val="Strong"/>
          <w:b/>
          <w:bCs/>
          <w:sz w:val="24"/>
          <w:szCs w:val="24"/>
        </w:rPr>
        <w:t>4.1 Authenticity vs. Global Demand</w:t>
      </w:r>
      <w:bookmarkEnd w:id="28"/>
    </w:p>
    <w:p w:rsidR="00D86905" w:rsidRDefault="00D86905" w:rsidP="00EC2E15">
      <w:pPr>
        <w:pStyle w:val="Heading3"/>
        <w:spacing w:line="480" w:lineRule="auto"/>
        <w:ind w:firstLine="720"/>
        <w:rPr>
          <w:b w:val="0"/>
          <w:bCs w:val="0"/>
          <w:sz w:val="24"/>
          <w:szCs w:val="24"/>
        </w:rPr>
      </w:pPr>
      <w:bookmarkStart w:id="29" w:name="_Toc214890683"/>
      <w:r w:rsidRPr="00D86905">
        <w:rPr>
          <w:b w:val="0"/>
          <w:bCs w:val="0"/>
          <w:sz w:val="24"/>
          <w:szCs w:val="24"/>
        </w:rPr>
        <w:t>The thematic analysis shows that there has been a continuous conflict between culinary authenticity and the need to meet the demands of global tourists. Most of the places are changing the traditional food to suit the international taste, which tends to lower the intensity of the spices, change the ingredients or make the preparation methods simpler</w:t>
      </w:r>
      <w:r w:rsidR="00F32C33">
        <w:rPr>
          <w:b w:val="0"/>
          <w:bCs w:val="0"/>
          <w:sz w:val="24"/>
          <w:szCs w:val="24"/>
        </w:rPr>
        <w:t xml:space="preserve"> (</w:t>
      </w:r>
      <w:proofErr w:type="spellStart"/>
      <w:r w:rsidR="00F32C33">
        <w:rPr>
          <w:b w:val="0"/>
          <w:bCs w:val="0"/>
          <w:sz w:val="24"/>
          <w:szCs w:val="24"/>
        </w:rPr>
        <w:t>Kulshrestha</w:t>
      </w:r>
      <w:proofErr w:type="spellEnd"/>
      <w:r w:rsidR="00F32C33">
        <w:rPr>
          <w:b w:val="0"/>
          <w:bCs w:val="0"/>
          <w:sz w:val="24"/>
          <w:szCs w:val="24"/>
        </w:rPr>
        <w:t>, 2025)</w:t>
      </w:r>
      <w:r w:rsidRPr="00D86905">
        <w:rPr>
          <w:b w:val="0"/>
          <w:bCs w:val="0"/>
          <w:sz w:val="24"/>
          <w:szCs w:val="24"/>
        </w:rPr>
        <w:t xml:space="preserve">. </w:t>
      </w:r>
      <w:r w:rsidR="00403C33" w:rsidRPr="00403C33">
        <w:rPr>
          <w:b w:val="0"/>
          <w:bCs w:val="0"/>
          <w:sz w:val="24"/>
          <w:szCs w:val="24"/>
        </w:rPr>
        <w:t>This commercially driven adaptation results in the simplification of complex culinary traditions, making them more accessible and easily interpret</w:t>
      </w:r>
      <w:r w:rsidR="00403C33">
        <w:rPr>
          <w:b w:val="0"/>
          <w:bCs w:val="0"/>
          <w:sz w:val="24"/>
          <w:szCs w:val="24"/>
        </w:rPr>
        <w:t>able for international visitors</w:t>
      </w:r>
      <w:r w:rsidRPr="00D86905">
        <w:rPr>
          <w:b w:val="0"/>
          <w:bCs w:val="0"/>
          <w:sz w:val="24"/>
          <w:szCs w:val="24"/>
        </w:rPr>
        <w:t>. However, there are multiple destinations which prove that authenticity can be used as an effective value proposition. The regions, which focus on culinary traditions and heritage-based cooking techniques, on local ingredients and cultural narratives, tend to be visited by people interested in having immersive and meaningful gastronomic experiences. These cases indicate that authenticity</w:t>
      </w:r>
      <w:r>
        <w:rPr>
          <w:b w:val="0"/>
          <w:bCs w:val="0"/>
          <w:sz w:val="24"/>
          <w:szCs w:val="24"/>
        </w:rPr>
        <w:t>,</w:t>
      </w:r>
      <w:r w:rsidRPr="00D86905">
        <w:rPr>
          <w:b w:val="0"/>
          <w:bCs w:val="0"/>
          <w:sz w:val="24"/>
          <w:szCs w:val="24"/>
        </w:rPr>
        <w:t xml:space="preserve"> when placed strategically</w:t>
      </w:r>
      <w:r>
        <w:rPr>
          <w:b w:val="0"/>
          <w:bCs w:val="0"/>
          <w:sz w:val="24"/>
          <w:szCs w:val="24"/>
        </w:rPr>
        <w:t>,</w:t>
      </w:r>
      <w:r w:rsidRPr="00D86905">
        <w:rPr>
          <w:b w:val="0"/>
          <w:bCs w:val="0"/>
          <w:sz w:val="24"/>
          <w:szCs w:val="24"/>
        </w:rPr>
        <w:t xml:space="preserve"> can boost the competitiveness and not suppress the appeal in the market.</w:t>
      </w:r>
      <w:bookmarkEnd w:id="29"/>
    </w:p>
    <w:p w:rsidR="003C6E31" w:rsidRPr="003C6E31" w:rsidRDefault="003C6E31" w:rsidP="00EC2E15">
      <w:pPr>
        <w:pStyle w:val="Heading2"/>
      </w:pPr>
      <w:bookmarkStart w:id="30" w:name="_Toc214890684"/>
      <w:r w:rsidRPr="003C6E31">
        <w:rPr>
          <w:rStyle w:val="Strong"/>
          <w:b/>
          <w:bCs/>
          <w:sz w:val="24"/>
          <w:szCs w:val="24"/>
        </w:rPr>
        <w:t>4.2 Sustainable Food Sourcing</w:t>
      </w:r>
      <w:bookmarkEnd w:id="30"/>
    </w:p>
    <w:p w:rsidR="00D86905" w:rsidRDefault="00D86905" w:rsidP="00EC2E15">
      <w:pPr>
        <w:pStyle w:val="Heading3"/>
        <w:spacing w:line="480" w:lineRule="auto"/>
        <w:ind w:firstLine="720"/>
        <w:rPr>
          <w:b w:val="0"/>
          <w:bCs w:val="0"/>
          <w:sz w:val="24"/>
          <w:szCs w:val="24"/>
        </w:rPr>
      </w:pPr>
      <w:bookmarkStart w:id="31" w:name="_Toc214890685"/>
      <w:r w:rsidRPr="00D86905">
        <w:rPr>
          <w:b w:val="0"/>
          <w:bCs w:val="0"/>
          <w:sz w:val="24"/>
          <w:szCs w:val="24"/>
        </w:rPr>
        <w:t>Results show that sustainable sourcing models</w:t>
      </w:r>
      <w:r>
        <w:rPr>
          <w:b w:val="0"/>
          <w:bCs w:val="0"/>
          <w:sz w:val="24"/>
          <w:szCs w:val="24"/>
        </w:rPr>
        <w:t>,</w:t>
      </w:r>
      <w:r w:rsidRPr="00D86905">
        <w:rPr>
          <w:b w:val="0"/>
          <w:bCs w:val="0"/>
          <w:sz w:val="24"/>
          <w:szCs w:val="24"/>
        </w:rPr>
        <w:t xml:space="preserve"> especially farm-to-table models</w:t>
      </w:r>
      <w:r>
        <w:rPr>
          <w:b w:val="0"/>
          <w:bCs w:val="0"/>
          <w:sz w:val="24"/>
          <w:szCs w:val="24"/>
        </w:rPr>
        <w:t>,</w:t>
      </w:r>
      <w:r w:rsidRPr="00D86905">
        <w:rPr>
          <w:b w:val="0"/>
          <w:bCs w:val="0"/>
          <w:sz w:val="24"/>
          <w:szCs w:val="24"/>
        </w:rPr>
        <w:t xml:space="preserve"> play an important role in </w:t>
      </w:r>
      <w:proofErr w:type="spellStart"/>
      <w:r>
        <w:rPr>
          <w:b w:val="0"/>
          <w:bCs w:val="0"/>
          <w:sz w:val="24"/>
          <w:szCs w:val="24"/>
        </w:rPr>
        <w:t>minimising</w:t>
      </w:r>
      <w:proofErr w:type="spellEnd"/>
      <w:r w:rsidRPr="00D86905">
        <w:rPr>
          <w:b w:val="0"/>
          <w:bCs w:val="0"/>
          <w:sz w:val="24"/>
          <w:szCs w:val="24"/>
        </w:rPr>
        <w:t xml:space="preserve"> environmental footprints in culinary tourism</w:t>
      </w:r>
      <w:r w:rsidR="009235A2">
        <w:rPr>
          <w:b w:val="0"/>
          <w:bCs w:val="0"/>
          <w:sz w:val="24"/>
          <w:szCs w:val="24"/>
        </w:rPr>
        <w:t xml:space="preserve"> (</w:t>
      </w:r>
      <w:proofErr w:type="spellStart"/>
      <w:r w:rsidR="009235A2">
        <w:rPr>
          <w:b w:val="0"/>
          <w:bCs w:val="0"/>
          <w:sz w:val="24"/>
          <w:szCs w:val="24"/>
        </w:rPr>
        <w:t>Stoica</w:t>
      </w:r>
      <w:proofErr w:type="spellEnd"/>
      <w:r w:rsidR="009235A2">
        <w:rPr>
          <w:b w:val="0"/>
          <w:bCs w:val="0"/>
          <w:sz w:val="24"/>
          <w:szCs w:val="24"/>
        </w:rPr>
        <w:t>, 2024)</w:t>
      </w:r>
      <w:r w:rsidRPr="00D86905">
        <w:rPr>
          <w:b w:val="0"/>
          <w:bCs w:val="0"/>
          <w:sz w:val="24"/>
          <w:szCs w:val="24"/>
        </w:rPr>
        <w:t xml:space="preserve">. These models reduce supply chains by creating direct relations between chefs and local farmers, which leads to fresher food, lower emissions in transportation, and greater economic support of the local agricultural economies. Seasonality is a key factor, because the problem of biodiversity </w:t>
      </w:r>
      <w:r w:rsidRPr="00D86905">
        <w:rPr>
          <w:b w:val="0"/>
          <w:bCs w:val="0"/>
          <w:sz w:val="24"/>
          <w:szCs w:val="24"/>
        </w:rPr>
        <w:lastRenderedPageBreak/>
        <w:t xml:space="preserve">promotes the use of the menu created on the basis of local harvesting, and it is less dependent on imported products. Coupled with regenerative agriculture methods, including the restoration of soil and diversification of the crops, </w:t>
      </w:r>
      <w:r>
        <w:rPr>
          <w:b w:val="0"/>
          <w:bCs w:val="0"/>
          <w:sz w:val="24"/>
          <w:szCs w:val="24"/>
        </w:rPr>
        <w:t xml:space="preserve">there </w:t>
      </w:r>
      <w:r w:rsidRPr="00D86905">
        <w:rPr>
          <w:b w:val="0"/>
          <w:bCs w:val="0"/>
          <w:sz w:val="24"/>
          <w:szCs w:val="24"/>
        </w:rPr>
        <w:t xml:space="preserve">are additional benefits in terms of environmental sustainability. Nevertheless, a number of issues arise. Sustainable sourcing is likened to an increased cost since farming practices are </w:t>
      </w:r>
      <w:proofErr w:type="spellStart"/>
      <w:r>
        <w:rPr>
          <w:b w:val="0"/>
          <w:bCs w:val="0"/>
          <w:sz w:val="24"/>
          <w:szCs w:val="24"/>
        </w:rPr>
        <w:t>labour-intensive</w:t>
      </w:r>
      <w:proofErr w:type="spellEnd"/>
      <w:r w:rsidRPr="00D86905">
        <w:rPr>
          <w:b w:val="0"/>
          <w:bCs w:val="0"/>
          <w:sz w:val="24"/>
          <w:szCs w:val="24"/>
        </w:rPr>
        <w:t xml:space="preserve"> and the economies of scale are minimal</w:t>
      </w:r>
      <w:r w:rsidR="00A86EB1">
        <w:rPr>
          <w:b w:val="0"/>
          <w:bCs w:val="0"/>
          <w:sz w:val="24"/>
          <w:szCs w:val="24"/>
        </w:rPr>
        <w:t xml:space="preserve"> (Bowler, 2002)</w:t>
      </w:r>
      <w:r w:rsidRPr="00D86905">
        <w:rPr>
          <w:b w:val="0"/>
          <w:bCs w:val="0"/>
          <w:sz w:val="24"/>
          <w:szCs w:val="24"/>
        </w:rPr>
        <w:t>. Also, in small-scale production, producers might not be able to maintain a steady level of supply</w:t>
      </w:r>
      <w:r>
        <w:rPr>
          <w:b w:val="0"/>
          <w:bCs w:val="0"/>
          <w:sz w:val="24"/>
          <w:szCs w:val="24"/>
        </w:rPr>
        <w:t>,</w:t>
      </w:r>
      <w:r w:rsidRPr="00D86905">
        <w:rPr>
          <w:b w:val="0"/>
          <w:bCs w:val="0"/>
          <w:sz w:val="24"/>
          <w:szCs w:val="24"/>
        </w:rPr>
        <w:t xml:space="preserve"> particularly in </w:t>
      </w:r>
      <w:r>
        <w:rPr>
          <w:b w:val="0"/>
          <w:bCs w:val="0"/>
          <w:sz w:val="24"/>
          <w:szCs w:val="24"/>
        </w:rPr>
        <w:t xml:space="preserve">the </w:t>
      </w:r>
      <w:r w:rsidRPr="00D86905">
        <w:rPr>
          <w:b w:val="0"/>
          <w:bCs w:val="0"/>
          <w:sz w:val="24"/>
          <w:szCs w:val="24"/>
        </w:rPr>
        <w:t>case of climatic disruptions. All these restrictions demonstrate the necessity of joint supply chain systems and financial assistance systems that can enhance the local resilience of agriculture.</w:t>
      </w:r>
      <w:bookmarkEnd w:id="31"/>
    </w:p>
    <w:p w:rsidR="003C6E31" w:rsidRPr="003C6E31" w:rsidRDefault="003C6E31" w:rsidP="00EC2E15">
      <w:pPr>
        <w:pStyle w:val="Heading2"/>
      </w:pPr>
      <w:bookmarkStart w:id="32" w:name="_Toc214890686"/>
      <w:r w:rsidRPr="003C6E31">
        <w:rPr>
          <w:rStyle w:val="Strong"/>
          <w:b/>
          <w:bCs/>
          <w:sz w:val="24"/>
          <w:szCs w:val="24"/>
        </w:rPr>
        <w:t>4.3 Waste Management and Circular Practices</w:t>
      </w:r>
      <w:bookmarkEnd w:id="32"/>
    </w:p>
    <w:p w:rsidR="00A763A2" w:rsidRDefault="00A763A2" w:rsidP="00EC2E15">
      <w:pPr>
        <w:pStyle w:val="Heading3"/>
        <w:spacing w:line="480" w:lineRule="auto"/>
        <w:ind w:firstLine="720"/>
        <w:rPr>
          <w:b w:val="0"/>
          <w:bCs w:val="0"/>
          <w:sz w:val="24"/>
          <w:szCs w:val="24"/>
        </w:rPr>
      </w:pPr>
      <w:bookmarkStart w:id="33" w:name="_Toc214890687"/>
      <w:r w:rsidRPr="00A763A2">
        <w:rPr>
          <w:b w:val="0"/>
          <w:bCs w:val="0"/>
          <w:sz w:val="24"/>
          <w:szCs w:val="24"/>
        </w:rPr>
        <w:t>This examination indicates that waste management is nowadays a major element of sustainable culinary tourism. Most companies are using digital food waste management systems to track excess production, detect unproductive processes, and inform menu design</w:t>
      </w:r>
      <w:r w:rsidR="00A329C8">
        <w:rPr>
          <w:b w:val="0"/>
          <w:bCs w:val="0"/>
          <w:sz w:val="24"/>
          <w:szCs w:val="24"/>
        </w:rPr>
        <w:t xml:space="preserve"> (</w:t>
      </w:r>
      <w:r w:rsidR="00A329C8" w:rsidRPr="00A329C8">
        <w:rPr>
          <w:b w:val="0"/>
          <w:bCs w:val="0"/>
          <w:sz w:val="24"/>
          <w:szCs w:val="24"/>
        </w:rPr>
        <w:t>Cane</w:t>
      </w:r>
      <w:r w:rsidR="00A329C8">
        <w:rPr>
          <w:b w:val="0"/>
          <w:bCs w:val="0"/>
          <w:sz w:val="24"/>
          <w:szCs w:val="24"/>
        </w:rPr>
        <w:t xml:space="preserve"> </w:t>
      </w:r>
      <w:r w:rsidR="00A329C8" w:rsidRPr="00A329C8">
        <w:rPr>
          <w:b w:val="0"/>
          <w:bCs w:val="0"/>
          <w:sz w:val="24"/>
          <w:szCs w:val="24"/>
        </w:rPr>
        <w:t>&amp; Parra,</w:t>
      </w:r>
      <w:r w:rsidR="00A329C8">
        <w:rPr>
          <w:b w:val="0"/>
          <w:bCs w:val="0"/>
          <w:sz w:val="24"/>
          <w:szCs w:val="24"/>
        </w:rPr>
        <w:t xml:space="preserve"> </w:t>
      </w:r>
      <w:r w:rsidR="00A329C8" w:rsidRPr="00A329C8">
        <w:rPr>
          <w:b w:val="0"/>
          <w:bCs w:val="0"/>
          <w:sz w:val="24"/>
          <w:szCs w:val="24"/>
        </w:rPr>
        <w:t>2020)</w:t>
      </w:r>
      <w:r w:rsidRPr="00A763A2">
        <w:rPr>
          <w:b w:val="0"/>
          <w:bCs w:val="0"/>
          <w:sz w:val="24"/>
          <w:szCs w:val="24"/>
        </w:rPr>
        <w:t xml:space="preserve">. These technologies can reduce </w:t>
      </w:r>
      <w:r>
        <w:rPr>
          <w:b w:val="0"/>
          <w:bCs w:val="0"/>
          <w:sz w:val="24"/>
          <w:szCs w:val="24"/>
        </w:rPr>
        <w:t>waste</w:t>
      </w:r>
      <w:r w:rsidRPr="00A763A2">
        <w:rPr>
          <w:b w:val="0"/>
          <w:bCs w:val="0"/>
          <w:sz w:val="24"/>
          <w:szCs w:val="24"/>
        </w:rPr>
        <w:t xml:space="preserve"> substantially</w:t>
      </w:r>
      <w:r>
        <w:rPr>
          <w:b w:val="0"/>
          <w:bCs w:val="0"/>
          <w:sz w:val="24"/>
          <w:szCs w:val="24"/>
        </w:rPr>
        <w:t>,</w:t>
      </w:r>
      <w:r w:rsidRPr="00A763A2">
        <w:rPr>
          <w:b w:val="0"/>
          <w:bCs w:val="0"/>
          <w:sz w:val="24"/>
          <w:szCs w:val="24"/>
        </w:rPr>
        <w:t xml:space="preserve"> besides enhancing the efficiency of the operations in the kitchen. The idea of circularity, including composing organic waste and recycling ingredients, as well as using by-products in new dishes</w:t>
      </w:r>
      <w:r>
        <w:rPr>
          <w:b w:val="0"/>
          <w:bCs w:val="0"/>
          <w:sz w:val="24"/>
          <w:szCs w:val="24"/>
        </w:rPr>
        <w:t>,</w:t>
      </w:r>
      <w:r w:rsidRPr="00A763A2">
        <w:rPr>
          <w:b w:val="0"/>
          <w:bCs w:val="0"/>
          <w:sz w:val="24"/>
          <w:szCs w:val="24"/>
        </w:rPr>
        <w:t xml:space="preserve"> will help the sustainability of the environment</w:t>
      </w:r>
      <w:r w:rsidR="00E275D2">
        <w:rPr>
          <w:b w:val="0"/>
          <w:bCs w:val="0"/>
          <w:sz w:val="24"/>
          <w:szCs w:val="24"/>
        </w:rPr>
        <w:t xml:space="preserve"> (</w:t>
      </w:r>
      <w:proofErr w:type="spellStart"/>
      <w:r w:rsidR="00E275D2" w:rsidRPr="00E275D2">
        <w:rPr>
          <w:b w:val="0"/>
          <w:bCs w:val="0"/>
          <w:sz w:val="24"/>
          <w:szCs w:val="24"/>
        </w:rPr>
        <w:t>Aschemann-Witze</w:t>
      </w:r>
      <w:r w:rsidR="00E275D2">
        <w:rPr>
          <w:b w:val="0"/>
          <w:bCs w:val="0"/>
          <w:sz w:val="24"/>
          <w:szCs w:val="24"/>
        </w:rPr>
        <w:t>l</w:t>
      </w:r>
      <w:proofErr w:type="spellEnd"/>
      <w:r w:rsidR="0094670B">
        <w:rPr>
          <w:b w:val="0"/>
          <w:bCs w:val="0"/>
          <w:sz w:val="24"/>
          <w:szCs w:val="24"/>
        </w:rPr>
        <w:t xml:space="preserve"> </w:t>
      </w:r>
      <w:r w:rsidR="00E275D2">
        <w:rPr>
          <w:b w:val="0"/>
          <w:bCs w:val="0"/>
          <w:sz w:val="24"/>
          <w:szCs w:val="24"/>
        </w:rPr>
        <w:t xml:space="preserve">&amp; </w:t>
      </w:r>
      <w:proofErr w:type="spellStart"/>
      <w:r w:rsidR="00E275D2">
        <w:rPr>
          <w:b w:val="0"/>
          <w:bCs w:val="0"/>
          <w:sz w:val="24"/>
          <w:szCs w:val="24"/>
        </w:rPr>
        <w:t>Peschel</w:t>
      </w:r>
      <w:proofErr w:type="spellEnd"/>
      <w:r w:rsidR="00E275D2">
        <w:rPr>
          <w:b w:val="0"/>
          <w:bCs w:val="0"/>
          <w:sz w:val="24"/>
          <w:szCs w:val="24"/>
        </w:rPr>
        <w:t>, 2019)</w:t>
      </w:r>
      <w:r w:rsidRPr="00A763A2">
        <w:rPr>
          <w:b w:val="0"/>
          <w:bCs w:val="0"/>
          <w:sz w:val="24"/>
          <w:szCs w:val="24"/>
        </w:rPr>
        <w:t>. The menu engineering that matches the portions with consumption habits also minimizes the unwanted waste. Real-world examples are associated with clear advantages: restaurants that implement waste audits and composting programs tend to report a reduction in their economic costs as well as a positive shift in the perception of society. These results indicate that circular gastronomy operations not only lead to much better sustainability results, but also to destination branding as innovative and environmentally friendly.</w:t>
      </w:r>
      <w:bookmarkEnd w:id="33"/>
    </w:p>
    <w:p w:rsidR="003C6E31" w:rsidRPr="003C6E31" w:rsidRDefault="003C6E31" w:rsidP="00EC2E15">
      <w:pPr>
        <w:pStyle w:val="Heading2"/>
      </w:pPr>
      <w:bookmarkStart w:id="34" w:name="_Toc214890688"/>
      <w:r w:rsidRPr="003C6E31">
        <w:rPr>
          <w:rStyle w:val="Strong"/>
          <w:b/>
          <w:bCs/>
          <w:sz w:val="24"/>
          <w:szCs w:val="24"/>
        </w:rPr>
        <w:lastRenderedPageBreak/>
        <w:t>4.4 Supply Chain Transparency</w:t>
      </w:r>
      <w:bookmarkEnd w:id="34"/>
    </w:p>
    <w:p w:rsidR="003B79D6" w:rsidRDefault="00B64E6F" w:rsidP="00EC2E15">
      <w:pPr>
        <w:pStyle w:val="Heading3"/>
        <w:spacing w:line="480" w:lineRule="auto"/>
        <w:ind w:firstLine="720"/>
        <w:rPr>
          <w:b w:val="0"/>
          <w:bCs w:val="0"/>
          <w:sz w:val="24"/>
          <w:szCs w:val="24"/>
        </w:rPr>
      </w:pPr>
      <w:bookmarkStart w:id="35" w:name="_Toc214890689"/>
      <w:r w:rsidRPr="00B64E6F">
        <w:rPr>
          <w:b w:val="0"/>
          <w:bCs w:val="0"/>
          <w:sz w:val="24"/>
          <w:szCs w:val="24"/>
        </w:rPr>
        <w:t xml:space="preserve">The other significant finding is supply chain transparency. The technologies are the </w:t>
      </w:r>
      <w:proofErr w:type="spellStart"/>
      <w:r w:rsidRPr="00B64E6F">
        <w:rPr>
          <w:b w:val="0"/>
          <w:bCs w:val="0"/>
          <w:sz w:val="24"/>
          <w:szCs w:val="24"/>
        </w:rPr>
        <w:t>blockchain</w:t>
      </w:r>
      <w:proofErr w:type="spellEnd"/>
      <w:r w:rsidRPr="00B64E6F">
        <w:rPr>
          <w:b w:val="0"/>
          <w:bCs w:val="0"/>
          <w:sz w:val="24"/>
          <w:szCs w:val="24"/>
        </w:rPr>
        <w:t xml:space="preserve"> and QR codes, which allow consumers to monitor the origin of the ingredients and give all the details about the manufacturing process, delivery, and the name of the farmers (</w:t>
      </w:r>
      <w:proofErr w:type="spellStart"/>
      <w:r w:rsidRPr="00B64E6F">
        <w:rPr>
          <w:b w:val="0"/>
          <w:bCs w:val="0"/>
          <w:sz w:val="24"/>
          <w:szCs w:val="24"/>
        </w:rPr>
        <w:t>Dey</w:t>
      </w:r>
      <w:proofErr w:type="spellEnd"/>
      <w:r w:rsidRPr="00B64E6F">
        <w:rPr>
          <w:b w:val="0"/>
          <w:bCs w:val="0"/>
          <w:sz w:val="24"/>
          <w:szCs w:val="24"/>
        </w:rPr>
        <w:t xml:space="preserve"> et al., 2021). Such transparency enhances trust particularly to the tourists who are eth</w:t>
      </w:r>
      <w:r>
        <w:rPr>
          <w:b w:val="0"/>
          <w:bCs w:val="0"/>
          <w:sz w:val="24"/>
          <w:szCs w:val="24"/>
        </w:rPr>
        <w:t>ical and responsible consumers</w:t>
      </w:r>
      <w:r w:rsidR="003B79D6" w:rsidRPr="003B79D6">
        <w:rPr>
          <w:b w:val="0"/>
          <w:bCs w:val="0"/>
          <w:sz w:val="24"/>
          <w:szCs w:val="24"/>
        </w:rPr>
        <w:t>. These systems can be used socially to empower small producers so that they are able to be seen in the tourism markets</w:t>
      </w:r>
      <w:r w:rsidR="003B79D6">
        <w:rPr>
          <w:b w:val="0"/>
          <w:bCs w:val="0"/>
          <w:sz w:val="24"/>
          <w:szCs w:val="24"/>
        </w:rPr>
        <w:t>,</w:t>
      </w:r>
      <w:r w:rsidR="003B79D6" w:rsidRPr="003B79D6">
        <w:rPr>
          <w:b w:val="0"/>
          <w:bCs w:val="0"/>
          <w:sz w:val="24"/>
          <w:szCs w:val="24"/>
        </w:rPr>
        <w:t xml:space="preserve"> and their contributions to regional food identities are also taken into consideration. Nonetheless, there are financial and technical issues related to the introduction of such technologies. The large cost of installation and maintenance can result in inaccessibility by small enterprises, and the barriers to digital literacy can also reduce adoption. Without these concerns, the growing trend of demand </w:t>
      </w:r>
      <w:r w:rsidR="003B79D6">
        <w:rPr>
          <w:b w:val="0"/>
          <w:bCs w:val="0"/>
          <w:sz w:val="24"/>
          <w:szCs w:val="24"/>
        </w:rPr>
        <w:t>for</w:t>
      </w:r>
      <w:r w:rsidR="003B79D6" w:rsidRPr="003B79D6">
        <w:rPr>
          <w:b w:val="0"/>
          <w:bCs w:val="0"/>
          <w:sz w:val="24"/>
          <w:szCs w:val="24"/>
        </w:rPr>
        <w:t xml:space="preserve"> traceable and ethically sourced food implies that transparency will </w:t>
      </w:r>
      <w:r w:rsidR="003B79D6">
        <w:rPr>
          <w:b w:val="0"/>
          <w:bCs w:val="0"/>
          <w:sz w:val="24"/>
          <w:szCs w:val="24"/>
        </w:rPr>
        <w:t>continue</w:t>
      </w:r>
      <w:r w:rsidR="003B79D6" w:rsidRPr="003B79D6">
        <w:rPr>
          <w:b w:val="0"/>
          <w:bCs w:val="0"/>
          <w:sz w:val="24"/>
          <w:szCs w:val="24"/>
        </w:rPr>
        <w:t xml:space="preserve"> </w:t>
      </w:r>
      <w:r w:rsidR="003B79D6">
        <w:rPr>
          <w:b w:val="0"/>
          <w:bCs w:val="0"/>
          <w:sz w:val="24"/>
          <w:szCs w:val="24"/>
        </w:rPr>
        <w:t>to inform</w:t>
      </w:r>
      <w:r w:rsidR="003B79D6" w:rsidRPr="003B79D6">
        <w:rPr>
          <w:b w:val="0"/>
          <w:bCs w:val="0"/>
          <w:sz w:val="24"/>
          <w:szCs w:val="24"/>
        </w:rPr>
        <w:t xml:space="preserve"> the development of culinary tourism.</w:t>
      </w:r>
      <w:bookmarkEnd w:id="35"/>
    </w:p>
    <w:p w:rsidR="003C6E31" w:rsidRPr="003C6E31" w:rsidRDefault="003C6E31" w:rsidP="00EC2E15">
      <w:pPr>
        <w:pStyle w:val="Heading2"/>
      </w:pPr>
      <w:bookmarkStart w:id="36" w:name="_Toc214890690"/>
      <w:r w:rsidRPr="003C6E31">
        <w:rPr>
          <w:rStyle w:val="Strong"/>
          <w:b/>
          <w:bCs/>
          <w:sz w:val="24"/>
          <w:szCs w:val="24"/>
        </w:rPr>
        <w:t>4.5 Case Studies</w:t>
      </w:r>
      <w:bookmarkEnd w:id="36"/>
    </w:p>
    <w:p w:rsidR="00E66E7A" w:rsidRDefault="00E66E7A" w:rsidP="00EC2E15">
      <w:pPr>
        <w:pStyle w:val="NormalWeb"/>
        <w:spacing w:line="480" w:lineRule="auto"/>
        <w:ind w:firstLine="720"/>
      </w:pPr>
      <w:r w:rsidRPr="00E66E7A">
        <w:t xml:space="preserve">A number of case studies in the world depict the findings. The example of </w:t>
      </w:r>
      <w:proofErr w:type="spellStart"/>
      <w:r w:rsidRPr="00E66E7A">
        <w:t>Noma</w:t>
      </w:r>
      <w:proofErr w:type="spellEnd"/>
      <w:r w:rsidRPr="00E66E7A">
        <w:t xml:space="preserve"> in Denmark is a hyper-local sourcing, as the menu was </w:t>
      </w:r>
      <w:proofErr w:type="spellStart"/>
      <w:r>
        <w:t>organised</w:t>
      </w:r>
      <w:proofErr w:type="spellEnd"/>
      <w:r w:rsidRPr="00E66E7A">
        <w:t xml:space="preserve"> around Scandinavian products and seasonal variations</w:t>
      </w:r>
      <w:r w:rsidR="00062033">
        <w:t xml:space="preserve"> (</w:t>
      </w:r>
      <w:proofErr w:type="spellStart"/>
      <w:r w:rsidR="00062033">
        <w:t>Kelting</w:t>
      </w:r>
      <w:proofErr w:type="spellEnd"/>
      <w:r w:rsidR="00062033">
        <w:t>, 2022)</w:t>
      </w:r>
      <w:r w:rsidRPr="00E66E7A">
        <w:t>. Although the restaurant has been commended on its environmental commitment</w:t>
      </w:r>
      <w:r>
        <w:t>,</w:t>
      </w:r>
      <w:r w:rsidRPr="00E66E7A">
        <w:t xml:space="preserve"> the company has come under fire due to exclusivity and affordability, which question the social sustainability of the high-end gastronomy.</w:t>
      </w:r>
    </w:p>
    <w:p w:rsidR="00E66E7A" w:rsidRDefault="00E66E7A" w:rsidP="00B20FD2">
      <w:pPr>
        <w:pStyle w:val="NormalWeb"/>
        <w:spacing w:line="480" w:lineRule="auto"/>
        <w:ind w:firstLine="720"/>
      </w:pPr>
      <w:r w:rsidRPr="00E66E7A">
        <w:t xml:space="preserve">On the contrary, the </w:t>
      </w:r>
      <w:proofErr w:type="spellStart"/>
      <w:r w:rsidRPr="00E66E7A">
        <w:t>mistura</w:t>
      </w:r>
      <w:proofErr w:type="spellEnd"/>
      <w:r w:rsidRPr="00E66E7A">
        <w:t xml:space="preserve"> Festival in Peru evidences culinary tourism that is community-focused, as it shows appreciation of indigenous products and traditions as well as diversity of the territory</w:t>
      </w:r>
      <w:r w:rsidR="00563DF8">
        <w:t xml:space="preserve"> (</w:t>
      </w:r>
      <w:proofErr w:type="spellStart"/>
      <w:r w:rsidR="00563DF8" w:rsidRPr="00563DF8">
        <w:t>Espitia</w:t>
      </w:r>
      <w:proofErr w:type="spellEnd"/>
      <w:r w:rsidR="00563DF8" w:rsidRPr="00563DF8">
        <w:t>, 2017)</w:t>
      </w:r>
      <w:r w:rsidRPr="00E66E7A">
        <w:t xml:space="preserve">. The festival not only </w:t>
      </w:r>
      <w:r>
        <w:t>enhances</w:t>
      </w:r>
      <w:r w:rsidRPr="00E66E7A">
        <w:t xml:space="preserve"> national identity but also </w:t>
      </w:r>
      <w:r>
        <w:t>supports</w:t>
      </w:r>
      <w:r w:rsidRPr="00E66E7A">
        <w:t xml:space="preserve"> the </w:t>
      </w:r>
      <w:r>
        <w:t>small-scale</w:t>
      </w:r>
      <w:r w:rsidRPr="00E66E7A">
        <w:t xml:space="preserve"> producers and food artisans.</w:t>
      </w:r>
    </w:p>
    <w:p w:rsidR="00E66E7A" w:rsidRPr="00E66E7A" w:rsidRDefault="00E66E7A" w:rsidP="00B20FD2">
      <w:pPr>
        <w:pStyle w:val="NormalWeb"/>
        <w:spacing w:line="480" w:lineRule="auto"/>
        <w:ind w:firstLine="720"/>
        <w:rPr>
          <w:rStyle w:val="Strong"/>
          <w:b w:val="0"/>
        </w:rPr>
      </w:pPr>
      <w:r w:rsidRPr="00E66E7A">
        <w:rPr>
          <w:rStyle w:val="Strong"/>
          <w:b w:val="0"/>
        </w:rPr>
        <w:lastRenderedPageBreak/>
        <w:t xml:space="preserve">The practice of culinary tourism in maintaining authenticity was noted because Japan recognized </w:t>
      </w:r>
      <w:proofErr w:type="spellStart"/>
      <w:r w:rsidRPr="00E66E7A">
        <w:rPr>
          <w:rStyle w:val="Strong"/>
          <w:b w:val="0"/>
        </w:rPr>
        <w:t>washoku</w:t>
      </w:r>
      <w:proofErr w:type="spellEnd"/>
      <w:r w:rsidRPr="00E66E7A">
        <w:rPr>
          <w:rStyle w:val="Strong"/>
          <w:b w:val="0"/>
        </w:rPr>
        <w:t xml:space="preserve"> as an Intangible Cultural </w:t>
      </w:r>
      <w:r>
        <w:rPr>
          <w:rStyle w:val="Strong"/>
          <w:b w:val="0"/>
        </w:rPr>
        <w:t>Heritage</w:t>
      </w:r>
      <w:r w:rsidRPr="00E66E7A">
        <w:rPr>
          <w:rStyle w:val="Strong"/>
          <w:b w:val="0"/>
        </w:rPr>
        <w:t xml:space="preserve"> by UNESCO</w:t>
      </w:r>
      <w:r w:rsidR="005C60D8">
        <w:rPr>
          <w:rStyle w:val="Strong"/>
          <w:b w:val="0"/>
        </w:rPr>
        <w:t xml:space="preserve"> (</w:t>
      </w:r>
      <w:proofErr w:type="spellStart"/>
      <w:r w:rsidR="005C60D8">
        <w:rPr>
          <w:rStyle w:val="Strong"/>
          <w:b w:val="0"/>
        </w:rPr>
        <w:t>Cang</w:t>
      </w:r>
      <w:proofErr w:type="spellEnd"/>
      <w:r w:rsidR="005C60D8">
        <w:rPr>
          <w:rStyle w:val="Strong"/>
          <w:b w:val="0"/>
        </w:rPr>
        <w:t>, 2018)</w:t>
      </w:r>
      <w:r w:rsidRPr="00E66E7A">
        <w:rPr>
          <w:rStyle w:val="Strong"/>
          <w:b w:val="0"/>
        </w:rPr>
        <w:t>. This label promotes environmental friendliness in food production, responsible eating and passing of cooking skills to future generations.</w:t>
      </w:r>
    </w:p>
    <w:p w:rsidR="00E66E7A" w:rsidRDefault="00E66E7A" w:rsidP="00B20FD2">
      <w:pPr>
        <w:pStyle w:val="NormalWeb"/>
        <w:spacing w:line="480" w:lineRule="auto"/>
        <w:ind w:firstLine="720"/>
      </w:pPr>
      <w:r w:rsidRPr="00E66E7A">
        <w:t>Lastly, the community-based tourism (CBT) culinary villages of Thailand demonstrate how food cultures can be used to build an economic foundation</w:t>
      </w:r>
      <w:r w:rsidR="00AB2241">
        <w:t xml:space="preserve"> (</w:t>
      </w:r>
      <w:proofErr w:type="spellStart"/>
      <w:r w:rsidR="00AB2241">
        <w:t>Satarat</w:t>
      </w:r>
      <w:proofErr w:type="spellEnd"/>
      <w:r w:rsidR="00AB2241">
        <w:t>, 2010)</w:t>
      </w:r>
      <w:r w:rsidRPr="00E66E7A">
        <w:t>. These villages combine the elements of traditional recipes, cooking lessons and farm tours to be part of the tourism services, and the economic gains are directly directed to the local families.</w:t>
      </w:r>
    </w:p>
    <w:p w:rsidR="003C6E31" w:rsidRPr="00B20FD2" w:rsidRDefault="003C6E31" w:rsidP="00B20FD2">
      <w:pPr>
        <w:pStyle w:val="Heading1"/>
        <w:jc w:val="center"/>
        <w:rPr>
          <w:rFonts w:ascii="Times New Roman" w:hAnsi="Times New Roman" w:cs="Times New Roman"/>
          <w:sz w:val="28"/>
        </w:rPr>
      </w:pPr>
      <w:bookmarkStart w:id="37" w:name="_Toc214890692"/>
      <w:r w:rsidRPr="00B20FD2">
        <w:rPr>
          <w:rStyle w:val="Strong"/>
          <w:rFonts w:ascii="Times New Roman" w:hAnsi="Times New Roman" w:cs="Times New Roman"/>
          <w:bCs w:val="0"/>
          <w:sz w:val="28"/>
        </w:rPr>
        <w:t>5. Discussion</w:t>
      </w:r>
      <w:bookmarkEnd w:id="37"/>
    </w:p>
    <w:p w:rsidR="003C6E31" w:rsidRPr="003C6E31" w:rsidRDefault="003C6E31" w:rsidP="00B20FD2">
      <w:pPr>
        <w:pStyle w:val="Heading2"/>
      </w:pPr>
      <w:bookmarkStart w:id="38" w:name="_Toc214890693"/>
      <w:r w:rsidRPr="003C6E31">
        <w:rPr>
          <w:rStyle w:val="Strong"/>
          <w:b/>
          <w:bCs/>
          <w:sz w:val="24"/>
          <w:szCs w:val="24"/>
        </w:rPr>
        <w:t>5.1 Conflicts Between Authenticity and Standardization</w:t>
      </w:r>
      <w:bookmarkEnd w:id="38"/>
    </w:p>
    <w:p w:rsidR="00202354" w:rsidRDefault="00202354" w:rsidP="00B20FD2">
      <w:pPr>
        <w:pStyle w:val="Heading3"/>
        <w:spacing w:line="480" w:lineRule="auto"/>
        <w:ind w:firstLine="720"/>
        <w:rPr>
          <w:b w:val="0"/>
          <w:bCs w:val="0"/>
          <w:sz w:val="24"/>
          <w:szCs w:val="24"/>
        </w:rPr>
      </w:pPr>
      <w:bookmarkStart w:id="39" w:name="_Toc214890694"/>
      <w:r w:rsidRPr="00202354">
        <w:rPr>
          <w:b w:val="0"/>
          <w:bCs w:val="0"/>
          <w:sz w:val="24"/>
          <w:szCs w:val="24"/>
        </w:rPr>
        <w:t>The findings also indicate the current struggle between food authenticity and tourist expectations of ease and comfort. Places are also typically pressured to minimize or modify traditional recipes in such a way that they become as universal as possible, particularly to new visitors who may not be familiar with local preferences or methods of cooking. This controversy is an indication of a more considerable debate around the concept of what authenticity is in the first place.</w:t>
      </w:r>
    </w:p>
    <w:p w:rsidR="00202354" w:rsidRDefault="00202354" w:rsidP="00B20FD2">
      <w:pPr>
        <w:pStyle w:val="Heading3"/>
        <w:spacing w:line="480" w:lineRule="auto"/>
        <w:ind w:firstLine="720"/>
        <w:rPr>
          <w:b w:val="0"/>
          <w:bCs w:val="0"/>
          <w:sz w:val="24"/>
          <w:szCs w:val="24"/>
        </w:rPr>
      </w:pPr>
      <w:r w:rsidRPr="00202354">
        <w:rPr>
          <w:b w:val="0"/>
          <w:bCs w:val="0"/>
          <w:sz w:val="24"/>
          <w:szCs w:val="24"/>
        </w:rPr>
        <w:t xml:space="preserve"> Authenticity</w:t>
      </w:r>
      <w:r>
        <w:rPr>
          <w:b w:val="0"/>
          <w:bCs w:val="0"/>
          <w:sz w:val="24"/>
          <w:szCs w:val="24"/>
        </w:rPr>
        <w:t>,</w:t>
      </w:r>
      <w:r w:rsidRPr="00202354">
        <w:rPr>
          <w:b w:val="0"/>
          <w:bCs w:val="0"/>
          <w:sz w:val="24"/>
          <w:szCs w:val="24"/>
        </w:rPr>
        <w:t xml:space="preserve"> as highlighted in the literature</w:t>
      </w:r>
      <w:r>
        <w:rPr>
          <w:b w:val="0"/>
          <w:bCs w:val="0"/>
          <w:sz w:val="24"/>
          <w:szCs w:val="24"/>
        </w:rPr>
        <w:t>,</w:t>
      </w:r>
      <w:r w:rsidRPr="00202354">
        <w:rPr>
          <w:b w:val="0"/>
          <w:bCs w:val="0"/>
          <w:sz w:val="24"/>
          <w:szCs w:val="24"/>
        </w:rPr>
        <w:t xml:space="preserve"> is not a fixed or objective attribute, but rather a dynamic and growing construction that transpires as the outcome of cultural encounters and market forces and social discourses (</w:t>
      </w:r>
      <w:proofErr w:type="spellStart"/>
      <w:r w:rsidRPr="00202354">
        <w:rPr>
          <w:b w:val="0"/>
          <w:bCs w:val="0"/>
          <w:sz w:val="24"/>
          <w:szCs w:val="24"/>
        </w:rPr>
        <w:t>Lindholm</w:t>
      </w:r>
      <w:proofErr w:type="spellEnd"/>
      <w:r w:rsidRPr="00202354">
        <w:rPr>
          <w:b w:val="0"/>
          <w:bCs w:val="0"/>
          <w:sz w:val="24"/>
          <w:szCs w:val="24"/>
        </w:rPr>
        <w:t xml:space="preserve">, 2007). However, the authenticity that tourism marketing tends to propagate is usually the static type- a fixed image of cultural legacy that is supposed to appeal to international consumers to have an experience that can be regarded </w:t>
      </w:r>
      <w:r w:rsidRPr="00202354">
        <w:rPr>
          <w:b w:val="0"/>
          <w:bCs w:val="0"/>
          <w:sz w:val="24"/>
          <w:szCs w:val="24"/>
        </w:rPr>
        <w:lastRenderedPageBreak/>
        <w:t>as traditional (Chhabra, 2010). This marketing is a danger of freezing the culinary identities in the long run and transforming l</w:t>
      </w:r>
      <w:r>
        <w:rPr>
          <w:b w:val="0"/>
          <w:bCs w:val="0"/>
          <w:sz w:val="24"/>
          <w:szCs w:val="24"/>
        </w:rPr>
        <w:t>iving traditions into a formula</w:t>
      </w:r>
      <w:r w:rsidR="00E66E7A" w:rsidRPr="00E66E7A">
        <w:rPr>
          <w:b w:val="0"/>
          <w:bCs w:val="0"/>
          <w:sz w:val="24"/>
          <w:szCs w:val="24"/>
        </w:rPr>
        <w:t xml:space="preserve">. </w:t>
      </w:r>
    </w:p>
    <w:p w:rsidR="00E66E7A" w:rsidRDefault="00E66E7A" w:rsidP="00B20FD2">
      <w:pPr>
        <w:pStyle w:val="Heading3"/>
        <w:spacing w:line="480" w:lineRule="auto"/>
        <w:ind w:firstLine="720"/>
        <w:rPr>
          <w:b w:val="0"/>
          <w:bCs w:val="0"/>
          <w:sz w:val="24"/>
          <w:szCs w:val="24"/>
        </w:rPr>
      </w:pPr>
      <w:r w:rsidRPr="00E66E7A">
        <w:rPr>
          <w:b w:val="0"/>
          <w:bCs w:val="0"/>
          <w:sz w:val="24"/>
          <w:szCs w:val="24"/>
        </w:rPr>
        <w:t>The clash between mobile cultural activity and fixed market conceptualization of authenticity highlights one of the key issues: destinations have to find a form of balancing between preserving their own gastronomic identity and cultural authenticity</w:t>
      </w:r>
      <w:r>
        <w:rPr>
          <w:b w:val="0"/>
          <w:bCs w:val="0"/>
          <w:sz w:val="24"/>
          <w:szCs w:val="24"/>
        </w:rPr>
        <w:t>,</w:t>
      </w:r>
      <w:r w:rsidRPr="00E66E7A">
        <w:rPr>
          <w:b w:val="0"/>
          <w:bCs w:val="0"/>
          <w:sz w:val="24"/>
          <w:szCs w:val="24"/>
        </w:rPr>
        <w:t xml:space="preserve"> and responding to the demands of tourism without losing their cultural identity.</w:t>
      </w:r>
      <w:bookmarkEnd w:id="39"/>
    </w:p>
    <w:p w:rsidR="00E66E7A" w:rsidRPr="00E66E7A" w:rsidRDefault="003C6E31" w:rsidP="00B20FD2">
      <w:pPr>
        <w:pStyle w:val="Heading2"/>
      </w:pPr>
      <w:bookmarkStart w:id="40" w:name="_Toc214890695"/>
      <w:r w:rsidRPr="003C6E31">
        <w:rPr>
          <w:rStyle w:val="Strong"/>
          <w:b/>
          <w:bCs/>
          <w:sz w:val="24"/>
          <w:szCs w:val="24"/>
        </w:rPr>
        <w:t xml:space="preserve">5.2 Integrating Quality Assurance </w:t>
      </w:r>
      <w:proofErr w:type="gramStart"/>
      <w:r w:rsidRPr="003C6E31">
        <w:rPr>
          <w:rStyle w:val="Strong"/>
          <w:b/>
          <w:bCs/>
          <w:sz w:val="24"/>
          <w:szCs w:val="24"/>
        </w:rPr>
        <w:t>With</w:t>
      </w:r>
      <w:proofErr w:type="gramEnd"/>
      <w:r w:rsidRPr="003C6E31">
        <w:rPr>
          <w:rStyle w:val="Strong"/>
          <w:b/>
          <w:bCs/>
          <w:sz w:val="24"/>
          <w:szCs w:val="24"/>
        </w:rPr>
        <w:t xml:space="preserve"> Sustainability</w:t>
      </w:r>
      <w:bookmarkEnd w:id="40"/>
    </w:p>
    <w:p w:rsidR="00E66E7A" w:rsidRDefault="00E66E7A" w:rsidP="00B20FD2">
      <w:pPr>
        <w:pStyle w:val="NormalWeb"/>
        <w:spacing w:line="480" w:lineRule="auto"/>
        <w:ind w:firstLine="720"/>
      </w:pPr>
      <w:r>
        <w:t>Complex interrelationships between quality assurance systems and sustainability goals are also identified in the discussion. The use of standards like ISO 22000 and HACCP is certain to increase the level of consumer confidence by promoting the safety, consistency, and reliability of the operations of food</w:t>
      </w:r>
      <w:r w:rsidR="00471D04">
        <w:t xml:space="preserve"> (</w:t>
      </w:r>
      <w:proofErr w:type="spellStart"/>
      <w:r w:rsidR="00471D04">
        <w:t>Psomas</w:t>
      </w:r>
      <w:proofErr w:type="spellEnd"/>
      <w:r w:rsidR="00471D04">
        <w:t xml:space="preserve"> </w:t>
      </w:r>
      <w:r w:rsidR="00471D04" w:rsidRPr="00471D04">
        <w:t xml:space="preserve">&amp; </w:t>
      </w:r>
      <w:proofErr w:type="spellStart"/>
      <w:r w:rsidR="00471D04" w:rsidRPr="00471D04">
        <w:t>Kafetzopoulos</w:t>
      </w:r>
      <w:proofErr w:type="spellEnd"/>
      <w:r w:rsidR="00471D04" w:rsidRPr="00471D04">
        <w:t>, 2015)</w:t>
      </w:r>
      <w:r>
        <w:t>. International tourism is one sector that finds the systems especially useful, as different guests might have other issues as well as hygiene or other preparation processes, that they would be worried about. Nevertheless, they may have high operational and financial costs to be implemented, especially for small-scale producers and community-based culinary businesses. Systematic documentation, controlled processes and regulated environments may also clash with the artisanal, informal and experiential aspects of the traditional cooking methods.</w:t>
      </w:r>
    </w:p>
    <w:p w:rsidR="00E66C24" w:rsidRDefault="00E66C24" w:rsidP="00B20FD2">
      <w:pPr>
        <w:pStyle w:val="Heading3"/>
        <w:spacing w:line="480" w:lineRule="auto"/>
        <w:ind w:firstLine="720"/>
        <w:rPr>
          <w:b w:val="0"/>
          <w:bCs w:val="0"/>
          <w:sz w:val="24"/>
          <w:szCs w:val="24"/>
        </w:rPr>
      </w:pPr>
      <w:bookmarkStart w:id="41" w:name="_Toc214890696"/>
      <w:r w:rsidRPr="00E66C24">
        <w:rPr>
          <w:b w:val="0"/>
          <w:bCs w:val="0"/>
          <w:sz w:val="24"/>
          <w:szCs w:val="24"/>
        </w:rPr>
        <w:t xml:space="preserve">An important question arises, and it is can the unintentional result of </w:t>
      </w:r>
      <w:proofErr w:type="spellStart"/>
      <w:r w:rsidRPr="00E66C24">
        <w:rPr>
          <w:b w:val="0"/>
          <w:bCs w:val="0"/>
          <w:sz w:val="24"/>
          <w:szCs w:val="24"/>
        </w:rPr>
        <w:t>standardisation</w:t>
      </w:r>
      <w:proofErr w:type="spellEnd"/>
      <w:r w:rsidRPr="00E66C24">
        <w:rPr>
          <w:b w:val="0"/>
          <w:bCs w:val="0"/>
          <w:sz w:val="24"/>
          <w:szCs w:val="24"/>
        </w:rPr>
        <w:t xml:space="preserve"> </w:t>
      </w:r>
      <w:r>
        <w:rPr>
          <w:b w:val="0"/>
          <w:bCs w:val="0"/>
          <w:sz w:val="24"/>
          <w:szCs w:val="24"/>
        </w:rPr>
        <w:t xml:space="preserve">can </w:t>
      </w:r>
      <w:r w:rsidRPr="00E66C24">
        <w:rPr>
          <w:b w:val="0"/>
          <w:bCs w:val="0"/>
          <w:sz w:val="24"/>
          <w:szCs w:val="24"/>
        </w:rPr>
        <w:t xml:space="preserve">be the loss of cultural food experiences? Although the purpose behind quality systems is to </w:t>
      </w:r>
      <w:proofErr w:type="spellStart"/>
      <w:r>
        <w:rPr>
          <w:b w:val="0"/>
          <w:bCs w:val="0"/>
          <w:sz w:val="24"/>
          <w:szCs w:val="24"/>
        </w:rPr>
        <w:t>minimise</w:t>
      </w:r>
      <w:proofErr w:type="spellEnd"/>
      <w:r w:rsidRPr="00E66C24">
        <w:rPr>
          <w:b w:val="0"/>
          <w:bCs w:val="0"/>
          <w:sz w:val="24"/>
          <w:szCs w:val="24"/>
        </w:rPr>
        <w:t xml:space="preserve"> risk, it can also limit the creativity and traditional practices whose basis </w:t>
      </w:r>
      <w:r>
        <w:rPr>
          <w:b w:val="0"/>
          <w:bCs w:val="0"/>
          <w:sz w:val="24"/>
          <w:szCs w:val="24"/>
        </w:rPr>
        <w:t>is</w:t>
      </w:r>
      <w:r w:rsidRPr="00E66C24">
        <w:rPr>
          <w:b w:val="0"/>
          <w:bCs w:val="0"/>
          <w:sz w:val="24"/>
          <w:szCs w:val="24"/>
        </w:rPr>
        <w:t xml:space="preserve"> flexibility, sensory judgment, and inherited knowledge. By way of example, the old methods of fermentation or outdoor cooking do not fit well into the HACCP guidelines, yet are culturally </w:t>
      </w:r>
      <w:r w:rsidRPr="00E66C24">
        <w:rPr>
          <w:b w:val="0"/>
          <w:bCs w:val="0"/>
          <w:sz w:val="24"/>
          <w:szCs w:val="24"/>
        </w:rPr>
        <w:lastRenderedPageBreak/>
        <w:t>important and historically safe. Therefore, even though quality systems can make the cuisine more sustainable (in terms of safety, waste, etc.), it is an unavoidable opportunity to over-</w:t>
      </w:r>
      <w:proofErr w:type="spellStart"/>
      <w:r w:rsidRPr="00E66C24">
        <w:rPr>
          <w:b w:val="0"/>
          <w:bCs w:val="0"/>
          <w:sz w:val="24"/>
          <w:szCs w:val="24"/>
        </w:rPr>
        <w:t>standardise</w:t>
      </w:r>
      <w:proofErr w:type="spellEnd"/>
      <w:r w:rsidRPr="00E66C24">
        <w:rPr>
          <w:b w:val="0"/>
          <w:bCs w:val="0"/>
          <w:sz w:val="24"/>
          <w:szCs w:val="24"/>
        </w:rPr>
        <w:t xml:space="preserve"> the culinary heritage when applied strictly. There needs to be a more contextual approach, one that is not compromising but yet promises tourists.</w:t>
      </w:r>
      <w:bookmarkEnd w:id="41"/>
    </w:p>
    <w:p w:rsidR="003C6E31" w:rsidRPr="003C6E31" w:rsidRDefault="003C6E31" w:rsidP="00B20FD2">
      <w:pPr>
        <w:pStyle w:val="Heading2"/>
      </w:pPr>
      <w:bookmarkStart w:id="42" w:name="_Toc214890697"/>
      <w:r w:rsidRPr="003C6E31">
        <w:rPr>
          <w:rStyle w:val="Strong"/>
          <w:b/>
          <w:bCs/>
          <w:sz w:val="24"/>
          <w:szCs w:val="24"/>
        </w:rPr>
        <w:t>5.3 Implications for Stakeholders</w:t>
      </w:r>
      <w:bookmarkEnd w:id="42"/>
    </w:p>
    <w:p w:rsidR="00831FED" w:rsidRDefault="00831FED" w:rsidP="00B20FD2">
      <w:pPr>
        <w:pStyle w:val="NormalWeb"/>
        <w:spacing w:line="480" w:lineRule="auto"/>
        <w:ind w:firstLine="720"/>
      </w:pPr>
      <w:r w:rsidRPr="00831FED">
        <w:t>The implications of the findings are quite important to the major stakeholders in culinary tourism</w:t>
      </w:r>
      <w:r>
        <w:t>,</w:t>
      </w:r>
      <w:r w:rsidRPr="00831FED">
        <w:t xml:space="preserve"> and these include local communities, who form custodians of culinary heritage. When tourism demand influences the way food is prepared or presented, then it becomes possible to propagate cultural appropriation</w:t>
      </w:r>
      <w:r>
        <w:t>,</w:t>
      </w:r>
      <w:r w:rsidRPr="00831FED">
        <w:t xml:space="preserve"> whereby culinary traditions are being commodified without proper acknowledgement or profit to those communities that developed the cuisine</w:t>
      </w:r>
      <w:r w:rsidR="0040208D">
        <w:t xml:space="preserve"> (</w:t>
      </w:r>
      <w:proofErr w:type="spellStart"/>
      <w:r w:rsidR="0040208D">
        <w:t>Gertner</w:t>
      </w:r>
      <w:proofErr w:type="spellEnd"/>
      <w:r w:rsidR="0040208D">
        <w:t>, 2019)</w:t>
      </w:r>
      <w:r w:rsidRPr="00831FED">
        <w:t>. Meanwhile, culinary tourism has the potential to be an effective means of economic empowerment</w:t>
      </w:r>
      <w:r>
        <w:t>,</w:t>
      </w:r>
      <w:r w:rsidRPr="00831FED">
        <w:t xml:space="preserve"> and this can be achieved </w:t>
      </w:r>
      <w:r>
        <w:t>powerfully</w:t>
      </w:r>
      <w:r w:rsidRPr="00831FED">
        <w:t xml:space="preserve"> when a local tourism value chain is incorporated into local producers, farmers and cooks</w:t>
      </w:r>
      <w:r w:rsidR="00D10F44">
        <w:t xml:space="preserve"> (</w:t>
      </w:r>
      <w:proofErr w:type="spellStart"/>
      <w:r w:rsidR="00D10F44">
        <w:t>Sulaiman</w:t>
      </w:r>
      <w:proofErr w:type="spellEnd"/>
      <w:r w:rsidR="00D10F44">
        <w:t xml:space="preserve"> et al., 2022)</w:t>
      </w:r>
      <w:r w:rsidRPr="00831FED">
        <w:t>. The community-based models</w:t>
      </w:r>
      <w:r>
        <w:t>,</w:t>
      </w:r>
      <w:r w:rsidRPr="00831FED">
        <w:t xml:space="preserve"> including the Thai models</w:t>
      </w:r>
      <w:r>
        <w:t>,</w:t>
      </w:r>
      <w:r w:rsidRPr="00831FED">
        <w:t xml:space="preserve"> have illustrated that fair involvement may enhance cultural pride and can be used to improve the livelihood.</w:t>
      </w:r>
    </w:p>
    <w:p w:rsidR="00FF5086" w:rsidRDefault="00FF5086" w:rsidP="00B20FD2">
      <w:pPr>
        <w:pStyle w:val="NormalWeb"/>
        <w:spacing w:line="480" w:lineRule="auto"/>
        <w:ind w:firstLine="720"/>
      </w:pPr>
      <w:r w:rsidRPr="00FF5086">
        <w:t xml:space="preserve">To businesses, the increased focus on sustainability and responsible consumption imposes </w:t>
      </w:r>
      <w:r>
        <w:t>stress</w:t>
      </w:r>
      <w:r w:rsidRPr="00FF5086">
        <w:t xml:space="preserve"> on operations. Restaurants have to juggle the urge to preserve original menus and the realities of cost, reliability of supply and adherence to sustainability certifications</w:t>
      </w:r>
      <w:r w:rsidR="001A7A65">
        <w:t xml:space="preserve"> (Freeman, 2011)</w:t>
      </w:r>
      <w:r w:rsidRPr="00FF5086">
        <w:t xml:space="preserve">. Attractions like </w:t>
      </w:r>
      <w:proofErr w:type="spellStart"/>
      <w:r w:rsidRPr="00FF5086">
        <w:t>Noma</w:t>
      </w:r>
      <w:proofErr w:type="spellEnd"/>
      <w:r w:rsidRPr="00FF5086">
        <w:t xml:space="preserve"> help to demonstrate what is feasible and what is not: on the one hand, the concept of hyper-local sourcing makes it possible to attract the notice of the global community and raise the gastronomic level of a destination; on the other hand, this phenomenon may also cause some sense of elitist products and build a financial fence around communities </w:t>
      </w:r>
      <w:r w:rsidRPr="00FF5086">
        <w:lastRenderedPageBreak/>
        <w:t xml:space="preserve">who do not necessarily have the resources to visit all the local attractions. Businesses </w:t>
      </w:r>
      <w:r>
        <w:t>are also</w:t>
      </w:r>
      <w:r w:rsidRPr="00FF5086">
        <w:t xml:space="preserve"> forced to deal with the competing consumer expectations in which the tourists are attaining </w:t>
      </w:r>
      <w:r>
        <w:t xml:space="preserve">an </w:t>
      </w:r>
      <w:r w:rsidRPr="00FF5086">
        <w:t>environmentally responsible experience</w:t>
      </w:r>
      <w:r>
        <w:t>,</w:t>
      </w:r>
      <w:r w:rsidRPr="00FF5086">
        <w:t xml:space="preserve"> yet remain focused on affordability and convenience.</w:t>
      </w:r>
    </w:p>
    <w:p w:rsidR="00FF5086" w:rsidRPr="00FF5086" w:rsidRDefault="00FF5086" w:rsidP="00B20FD2">
      <w:pPr>
        <w:pStyle w:val="Heading3"/>
        <w:spacing w:line="480" w:lineRule="auto"/>
        <w:ind w:firstLine="720"/>
        <w:rPr>
          <w:rStyle w:val="Strong"/>
          <w:bCs/>
          <w:sz w:val="24"/>
          <w:szCs w:val="24"/>
        </w:rPr>
      </w:pPr>
      <w:bookmarkStart w:id="43" w:name="_Toc214890698"/>
      <w:r w:rsidRPr="00FF5086">
        <w:rPr>
          <w:rStyle w:val="Strong"/>
          <w:bCs/>
          <w:sz w:val="24"/>
          <w:szCs w:val="24"/>
        </w:rPr>
        <w:t xml:space="preserve">The changing culinary tourism is shaped by the tourists themselves. Despite the obvious signs of increasing ecological consciousness, tourists tend to be guided by convenience and lack of time, as well as the stereotypical ideas about what can be considered authentic food. This discrepancy between the aspiration and </w:t>
      </w:r>
      <w:proofErr w:type="spellStart"/>
      <w:r w:rsidRPr="00FF5086">
        <w:rPr>
          <w:rStyle w:val="Strong"/>
          <w:bCs/>
          <w:sz w:val="24"/>
          <w:szCs w:val="24"/>
        </w:rPr>
        <w:t>behaviour</w:t>
      </w:r>
      <w:proofErr w:type="spellEnd"/>
      <w:r w:rsidRPr="00FF5086">
        <w:rPr>
          <w:rStyle w:val="Strong"/>
          <w:bCs/>
          <w:sz w:val="24"/>
          <w:szCs w:val="24"/>
        </w:rPr>
        <w:t xml:space="preserve"> makes sustainability difficult. Tourists might require the sustainable practices in theory, but still make choices that are familiar, </w:t>
      </w:r>
      <w:proofErr w:type="spellStart"/>
      <w:r w:rsidRPr="00FF5086">
        <w:rPr>
          <w:rStyle w:val="Strong"/>
          <w:bCs/>
          <w:sz w:val="24"/>
          <w:szCs w:val="24"/>
        </w:rPr>
        <w:t>globalised</w:t>
      </w:r>
      <w:proofErr w:type="spellEnd"/>
      <w:r w:rsidRPr="00FF5086">
        <w:rPr>
          <w:rStyle w:val="Strong"/>
          <w:bCs/>
          <w:sz w:val="24"/>
          <w:szCs w:val="24"/>
        </w:rPr>
        <w:t xml:space="preserve"> or cheap. The results indicate that sustainability is only successful when tourists are not just consumers but also co-participants in cultural education, ethical decisions as well as responsible actions.</w:t>
      </w:r>
      <w:bookmarkEnd w:id="43"/>
    </w:p>
    <w:p w:rsidR="003C6E31" w:rsidRPr="003C6E31" w:rsidRDefault="003C6E31" w:rsidP="00B20FD2">
      <w:pPr>
        <w:pStyle w:val="Heading2"/>
      </w:pPr>
      <w:bookmarkStart w:id="44" w:name="_Toc214890699"/>
      <w:r w:rsidRPr="003C6E31">
        <w:rPr>
          <w:rStyle w:val="Strong"/>
          <w:b/>
          <w:bCs/>
          <w:sz w:val="24"/>
          <w:szCs w:val="24"/>
        </w:rPr>
        <w:t>5.4 Towards a Balanced Model</w:t>
      </w:r>
      <w:bookmarkEnd w:id="44"/>
    </w:p>
    <w:p w:rsidR="00A92513" w:rsidRDefault="00A92513" w:rsidP="00B20FD2">
      <w:pPr>
        <w:pStyle w:val="NormalWeb"/>
        <w:spacing w:line="480" w:lineRule="auto"/>
        <w:ind w:firstLine="720"/>
      </w:pPr>
      <w:r w:rsidRPr="00A92513">
        <w:t>The findings show that it is required to have a balanced conceptual framework that will encompass the elements of authenticity, sustainability, and quality of service within the integrated approach. This type of model is based on the fact that authenticity does not consist of practice in the past being preserved, but an active and changing statement of culture. The viability of long-term sustainability also has the moral foundation of sustainability as it ensures that environmental, social, and economic factors are viewed as inseparable (</w:t>
      </w:r>
      <w:proofErr w:type="spellStart"/>
      <w:r w:rsidRPr="00A92513">
        <w:t>Hariram</w:t>
      </w:r>
      <w:proofErr w:type="spellEnd"/>
      <w:r w:rsidRPr="00A92513">
        <w:t xml:space="preserve"> et al., 2023). Quality assurance may also bring reliability to the operations and make the visitors more trusting, which guarantees the culinary experience as not only safe, but the services provided are also of high quality (</w:t>
      </w:r>
      <w:proofErr w:type="spellStart"/>
      <w:r w:rsidRPr="00A92513">
        <w:t>Kapiki</w:t>
      </w:r>
      <w:proofErr w:type="spellEnd"/>
      <w:r w:rsidRPr="00A92513">
        <w:t>, 2012).</w:t>
      </w:r>
    </w:p>
    <w:p w:rsidR="00A92513" w:rsidRDefault="00A92513" w:rsidP="00B20FD2">
      <w:pPr>
        <w:pStyle w:val="Heading2"/>
        <w:spacing w:line="480" w:lineRule="auto"/>
        <w:ind w:firstLine="720"/>
        <w:rPr>
          <w:b w:val="0"/>
          <w:bCs w:val="0"/>
          <w:sz w:val="24"/>
          <w:szCs w:val="24"/>
        </w:rPr>
      </w:pPr>
      <w:bookmarkStart w:id="45" w:name="_Toc214890700"/>
      <w:r w:rsidRPr="00A92513">
        <w:rPr>
          <w:b w:val="0"/>
          <w:bCs w:val="0"/>
          <w:sz w:val="24"/>
          <w:szCs w:val="24"/>
        </w:rPr>
        <w:lastRenderedPageBreak/>
        <w:t>In a balanced model, these three factors, authenticity, sustainability and quality would be arranged in a circular connection, to the contrary of being arranged in a hierarchical one. Authenticity also teaches sustainability in the sense that food activities are founded on the local ecosystems and cultural practices. Sustainability assists in combating fake by preserving ingredients, knowledge and cultural rights to the subsequent generations (Thiele, 2024). Service quality is adopted as a tool that can pass these values to the tourists enhancing the experience and increasing customer satisfaction.</w:t>
      </w:r>
    </w:p>
    <w:bookmarkEnd w:id="45"/>
    <w:p w:rsidR="00B20FD2" w:rsidRDefault="00A92513" w:rsidP="00B20FD2">
      <w:pPr>
        <w:pStyle w:val="Heading2"/>
        <w:spacing w:line="480" w:lineRule="auto"/>
        <w:ind w:firstLine="720"/>
        <w:rPr>
          <w:b w:val="0"/>
          <w:bCs w:val="0"/>
          <w:sz w:val="24"/>
          <w:szCs w:val="24"/>
        </w:rPr>
      </w:pPr>
      <w:r w:rsidRPr="00A92513">
        <w:rPr>
          <w:b w:val="0"/>
          <w:bCs w:val="0"/>
          <w:sz w:val="24"/>
          <w:szCs w:val="24"/>
        </w:rPr>
        <w:t xml:space="preserve">It is based on </w:t>
      </w:r>
      <w:r>
        <w:rPr>
          <w:b w:val="0"/>
          <w:bCs w:val="0"/>
          <w:sz w:val="24"/>
          <w:szCs w:val="24"/>
        </w:rPr>
        <w:t xml:space="preserve">the </w:t>
      </w:r>
      <w:r w:rsidRPr="00A92513">
        <w:rPr>
          <w:b w:val="0"/>
          <w:bCs w:val="0"/>
          <w:sz w:val="24"/>
          <w:szCs w:val="24"/>
        </w:rPr>
        <w:t>participatory involvement of the local communities</w:t>
      </w:r>
      <w:r>
        <w:rPr>
          <w:b w:val="0"/>
          <w:bCs w:val="0"/>
          <w:sz w:val="24"/>
          <w:szCs w:val="24"/>
        </w:rPr>
        <w:t>,</w:t>
      </w:r>
      <w:r w:rsidRPr="00A92513">
        <w:rPr>
          <w:b w:val="0"/>
          <w:bCs w:val="0"/>
          <w:sz w:val="24"/>
          <w:szCs w:val="24"/>
        </w:rPr>
        <w:t xml:space="preserve"> who play an active role in the development of culinary tourism. The co-creation experiences, like farmers and tourists cooking together or going to farms</w:t>
      </w:r>
      <w:r>
        <w:rPr>
          <w:b w:val="0"/>
          <w:bCs w:val="0"/>
          <w:sz w:val="24"/>
          <w:szCs w:val="24"/>
        </w:rPr>
        <w:t>,</w:t>
      </w:r>
      <w:r w:rsidRPr="00A92513">
        <w:rPr>
          <w:b w:val="0"/>
          <w:bCs w:val="0"/>
          <w:sz w:val="24"/>
          <w:szCs w:val="24"/>
        </w:rPr>
        <w:t xml:space="preserve"> enhance cultural and environmental knowledge. By doing so, culinary tourism turns out to be a collaborative cultural transmission process, as opposed to a commercial process. The model is also enhanced by strong partnerships between the governments and other hospitality businesses, communities, and sustainability </w:t>
      </w:r>
      <w:proofErr w:type="spellStart"/>
      <w:r>
        <w:rPr>
          <w:b w:val="0"/>
          <w:bCs w:val="0"/>
          <w:sz w:val="24"/>
          <w:szCs w:val="24"/>
        </w:rPr>
        <w:t>organisations</w:t>
      </w:r>
      <w:proofErr w:type="spellEnd"/>
      <w:r w:rsidRPr="00A92513">
        <w:rPr>
          <w:b w:val="0"/>
          <w:bCs w:val="0"/>
          <w:sz w:val="24"/>
          <w:szCs w:val="24"/>
        </w:rPr>
        <w:t xml:space="preserve"> to coordinate the regulations, training, funding, and promotion.</w:t>
      </w:r>
    </w:p>
    <w:p w:rsidR="00B20FD2" w:rsidRDefault="00B20FD2" w:rsidP="00B20FD2">
      <w:pPr>
        <w:pStyle w:val="Heading2"/>
        <w:spacing w:line="480" w:lineRule="auto"/>
        <w:ind w:firstLine="720"/>
        <w:rPr>
          <w:b w:val="0"/>
          <w:bCs w:val="0"/>
          <w:sz w:val="24"/>
          <w:szCs w:val="24"/>
        </w:rPr>
      </w:pPr>
    </w:p>
    <w:p w:rsidR="00A92513" w:rsidRDefault="00A92513" w:rsidP="00B20FD2">
      <w:pPr>
        <w:pStyle w:val="Heading2"/>
        <w:spacing w:line="480" w:lineRule="auto"/>
        <w:ind w:firstLine="720"/>
        <w:rPr>
          <w:b w:val="0"/>
          <w:bCs w:val="0"/>
          <w:sz w:val="24"/>
          <w:szCs w:val="24"/>
        </w:rPr>
      </w:pPr>
    </w:p>
    <w:p w:rsidR="00A92513" w:rsidRDefault="00A92513" w:rsidP="00B20FD2">
      <w:pPr>
        <w:pStyle w:val="Heading2"/>
        <w:spacing w:line="480" w:lineRule="auto"/>
        <w:ind w:firstLine="720"/>
        <w:rPr>
          <w:b w:val="0"/>
          <w:bCs w:val="0"/>
          <w:sz w:val="24"/>
          <w:szCs w:val="24"/>
        </w:rPr>
      </w:pPr>
    </w:p>
    <w:p w:rsidR="00A92513" w:rsidRDefault="00A92513" w:rsidP="00B20FD2">
      <w:pPr>
        <w:pStyle w:val="Heading2"/>
        <w:spacing w:line="480" w:lineRule="auto"/>
        <w:ind w:firstLine="720"/>
        <w:rPr>
          <w:b w:val="0"/>
          <w:bCs w:val="0"/>
          <w:sz w:val="24"/>
          <w:szCs w:val="24"/>
        </w:rPr>
      </w:pPr>
    </w:p>
    <w:p w:rsidR="00A92513" w:rsidRDefault="00A92513" w:rsidP="00B20FD2">
      <w:pPr>
        <w:pStyle w:val="Heading2"/>
        <w:spacing w:line="480" w:lineRule="auto"/>
        <w:ind w:firstLine="720"/>
        <w:rPr>
          <w:b w:val="0"/>
          <w:bCs w:val="0"/>
          <w:sz w:val="24"/>
          <w:szCs w:val="24"/>
        </w:rPr>
      </w:pPr>
    </w:p>
    <w:p w:rsidR="003C6E31" w:rsidRPr="00B20FD2" w:rsidRDefault="003C6E31" w:rsidP="00B20FD2">
      <w:pPr>
        <w:pStyle w:val="Heading1"/>
        <w:jc w:val="center"/>
        <w:rPr>
          <w:rFonts w:ascii="Times New Roman" w:hAnsi="Times New Roman" w:cs="Times New Roman"/>
          <w:sz w:val="28"/>
        </w:rPr>
      </w:pPr>
      <w:bookmarkStart w:id="46" w:name="_Toc214890701"/>
      <w:r w:rsidRPr="00B20FD2">
        <w:rPr>
          <w:rStyle w:val="Strong"/>
          <w:rFonts w:ascii="Times New Roman" w:hAnsi="Times New Roman" w:cs="Times New Roman"/>
          <w:bCs w:val="0"/>
          <w:sz w:val="28"/>
        </w:rPr>
        <w:lastRenderedPageBreak/>
        <w:t>6. Conclusion</w:t>
      </w:r>
      <w:bookmarkEnd w:id="46"/>
    </w:p>
    <w:p w:rsidR="003C6E31" w:rsidRPr="003C6E31" w:rsidRDefault="003C6E31" w:rsidP="00B20FD2">
      <w:pPr>
        <w:pStyle w:val="Heading2"/>
      </w:pPr>
      <w:bookmarkStart w:id="47" w:name="_Toc214890702"/>
      <w:r w:rsidRPr="003C6E31">
        <w:rPr>
          <w:rStyle w:val="Strong"/>
          <w:b/>
          <w:bCs/>
          <w:sz w:val="24"/>
          <w:szCs w:val="24"/>
        </w:rPr>
        <w:t>6.1 Summary of Key Insights</w:t>
      </w:r>
      <w:bookmarkEnd w:id="47"/>
    </w:p>
    <w:p w:rsidR="00A92513" w:rsidRDefault="00A92513" w:rsidP="00A92513">
      <w:pPr>
        <w:pStyle w:val="Heading2"/>
        <w:spacing w:line="480" w:lineRule="auto"/>
        <w:ind w:firstLine="720"/>
        <w:rPr>
          <w:b w:val="0"/>
          <w:bCs w:val="0"/>
          <w:sz w:val="24"/>
          <w:szCs w:val="24"/>
        </w:rPr>
      </w:pPr>
      <w:bookmarkStart w:id="48" w:name="_Toc214890704"/>
      <w:r w:rsidRPr="00A92513">
        <w:rPr>
          <w:b w:val="0"/>
          <w:bCs w:val="0"/>
          <w:sz w:val="24"/>
          <w:szCs w:val="24"/>
        </w:rPr>
        <w:t>The findings suggest that establishing a balance between culinary authenticity and worldwide tourist demand is possible and healthy with the assistance of built-in sustainability models and efficient local partnership. The analysis shows that authenticity might not have to be traded off with being commercial, instead, it might be enabled by responsible sourcing, community engagement, and an open supply chain business. These lessons underscore the fact that sustainable food tourism is founded on a strategy that equally emphasizes on cultural identity, the consideration of the environment and the attributes of operation.</w:t>
      </w:r>
    </w:p>
    <w:p w:rsidR="003C6E31" w:rsidRPr="003C6E31" w:rsidRDefault="003C6E31" w:rsidP="00B20FD2">
      <w:pPr>
        <w:pStyle w:val="Heading2"/>
      </w:pPr>
      <w:r w:rsidRPr="003C6E31">
        <w:rPr>
          <w:rStyle w:val="Strong"/>
          <w:b/>
          <w:bCs/>
          <w:sz w:val="24"/>
          <w:szCs w:val="24"/>
        </w:rPr>
        <w:t>6.2 Contributions of the Study</w:t>
      </w:r>
      <w:bookmarkEnd w:id="48"/>
    </w:p>
    <w:p w:rsidR="00A92513" w:rsidRDefault="00A92513" w:rsidP="00A92513">
      <w:pPr>
        <w:pStyle w:val="Heading2"/>
        <w:spacing w:line="480" w:lineRule="auto"/>
        <w:ind w:firstLine="720"/>
        <w:rPr>
          <w:b w:val="0"/>
          <w:bCs w:val="0"/>
          <w:sz w:val="24"/>
          <w:szCs w:val="24"/>
        </w:rPr>
      </w:pPr>
      <w:bookmarkStart w:id="49" w:name="_Toc214890706"/>
      <w:r w:rsidRPr="00A92513">
        <w:rPr>
          <w:b w:val="0"/>
          <w:bCs w:val="0"/>
          <w:sz w:val="24"/>
          <w:szCs w:val="24"/>
        </w:rPr>
        <w:t>The research gives a detailed understanding of sustainable gastronomy</w:t>
      </w:r>
      <w:r>
        <w:rPr>
          <w:b w:val="0"/>
          <w:bCs w:val="0"/>
          <w:sz w:val="24"/>
          <w:szCs w:val="24"/>
        </w:rPr>
        <w:t>,</w:t>
      </w:r>
      <w:r w:rsidRPr="00A92513">
        <w:rPr>
          <w:b w:val="0"/>
          <w:bCs w:val="0"/>
          <w:sz w:val="24"/>
          <w:szCs w:val="24"/>
        </w:rPr>
        <w:t xml:space="preserve"> such as local food networks, circular waste management, and traceability tool technologies. It also provides significant information as to how quality assurance systems can be utilized to complement sustainability goals after the systems are provided with the cultural sensitivity component, which will lead to a better safety and visitor experience.</w:t>
      </w:r>
    </w:p>
    <w:p w:rsidR="00A92513" w:rsidRDefault="003C6E31" w:rsidP="00A92513">
      <w:pPr>
        <w:pStyle w:val="Heading2"/>
        <w:rPr>
          <w:rStyle w:val="Strong"/>
          <w:b/>
          <w:bCs/>
          <w:sz w:val="24"/>
          <w:szCs w:val="24"/>
        </w:rPr>
      </w:pPr>
      <w:r w:rsidRPr="003C6E31">
        <w:rPr>
          <w:rStyle w:val="Strong"/>
          <w:b/>
          <w:bCs/>
          <w:sz w:val="24"/>
          <w:szCs w:val="24"/>
        </w:rPr>
        <w:t>6.3 Future Research and Final Reflection</w:t>
      </w:r>
      <w:bookmarkStart w:id="50" w:name="_Toc214890707"/>
      <w:bookmarkEnd w:id="49"/>
    </w:p>
    <w:p w:rsidR="00A92513" w:rsidRPr="00A92513" w:rsidRDefault="00A92513" w:rsidP="00A92513">
      <w:pPr>
        <w:pStyle w:val="Heading2"/>
        <w:spacing w:line="480" w:lineRule="auto"/>
        <w:ind w:firstLine="720"/>
        <w:rPr>
          <w:b w:val="0"/>
        </w:rPr>
      </w:pPr>
      <w:r w:rsidRPr="00A92513">
        <w:rPr>
          <w:b w:val="0"/>
          <w:sz w:val="24"/>
          <w:szCs w:val="24"/>
        </w:rPr>
        <w:t>Investigations at the primary field would enhance further research and put the researcher in the midst of the chefs, producers, and tourists and examine recent technologies that would help in ethical sourcing and improve wastage. Lastly, the paper goes on to support the fact that sustainable culinary tourism must conserve culinary heritage, yet in a sustainable manner that will meet the global demands in the long run, with both cultural and ecological sustainability attained.</w:t>
      </w:r>
    </w:p>
    <w:p w:rsidR="003C6E31" w:rsidRDefault="00FC116A" w:rsidP="00B20FD2">
      <w:pPr>
        <w:pStyle w:val="Heading1"/>
        <w:jc w:val="center"/>
        <w:rPr>
          <w:rFonts w:ascii="Times New Roman" w:hAnsi="Times New Roman" w:cs="Times New Roman"/>
          <w:b/>
          <w:sz w:val="28"/>
        </w:rPr>
      </w:pPr>
      <w:r w:rsidRPr="00B20FD2">
        <w:rPr>
          <w:rFonts w:ascii="Times New Roman" w:hAnsi="Times New Roman" w:cs="Times New Roman"/>
          <w:b/>
          <w:sz w:val="28"/>
        </w:rPr>
        <w:lastRenderedPageBreak/>
        <w:t>References</w:t>
      </w:r>
      <w:bookmarkEnd w:id="50"/>
    </w:p>
    <w:p w:rsidR="00B20FD2" w:rsidRPr="00B20FD2" w:rsidRDefault="00B20FD2" w:rsidP="00B20FD2"/>
    <w:p w:rsidR="00B20FD2" w:rsidRDefault="00B20FD2" w:rsidP="00B20FD2">
      <w:pPr>
        <w:spacing w:line="480" w:lineRule="auto"/>
        <w:ind w:left="720" w:hanging="720"/>
        <w:rPr>
          <w:rFonts w:ascii="Times New Roman" w:hAnsi="Times New Roman" w:cs="Times New Roman"/>
          <w:sz w:val="24"/>
          <w:szCs w:val="24"/>
        </w:rPr>
      </w:pPr>
      <w:r w:rsidRPr="003B6F36">
        <w:rPr>
          <w:rFonts w:ascii="Times New Roman" w:hAnsi="Times New Roman" w:cs="Times New Roman"/>
          <w:sz w:val="24"/>
          <w:szCs w:val="24"/>
        </w:rPr>
        <w:t>Ab Karim, S. (2006). Culinary tourism as a destination attraction: An empirical examination of the destination's food image and information sources. Oklahoma State University.</w:t>
      </w:r>
    </w:p>
    <w:p w:rsidR="00B20FD2" w:rsidRDefault="00B20FD2" w:rsidP="00B20FD2">
      <w:pPr>
        <w:spacing w:line="480" w:lineRule="auto"/>
        <w:ind w:left="720" w:hanging="720"/>
        <w:rPr>
          <w:rFonts w:ascii="Times New Roman" w:hAnsi="Times New Roman" w:cs="Times New Roman"/>
          <w:sz w:val="24"/>
          <w:szCs w:val="24"/>
        </w:rPr>
      </w:pPr>
      <w:proofErr w:type="spellStart"/>
      <w:r w:rsidRPr="00354359">
        <w:rPr>
          <w:rFonts w:ascii="Times New Roman" w:hAnsi="Times New Roman" w:cs="Times New Roman"/>
          <w:sz w:val="24"/>
          <w:szCs w:val="24"/>
        </w:rPr>
        <w:t>Adekunle</w:t>
      </w:r>
      <w:proofErr w:type="spellEnd"/>
      <w:r w:rsidRPr="00354359">
        <w:rPr>
          <w:rFonts w:ascii="Times New Roman" w:hAnsi="Times New Roman" w:cs="Times New Roman"/>
          <w:sz w:val="24"/>
          <w:szCs w:val="24"/>
        </w:rPr>
        <w:t xml:space="preserve">, O., </w:t>
      </w:r>
      <w:proofErr w:type="spellStart"/>
      <w:r w:rsidRPr="00354359">
        <w:rPr>
          <w:rFonts w:ascii="Times New Roman" w:hAnsi="Times New Roman" w:cs="Times New Roman"/>
          <w:sz w:val="24"/>
          <w:szCs w:val="24"/>
        </w:rPr>
        <w:t>Akinremi</w:t>
      </w:r>
      <w:proofErr w:type="spellEnd"/>
      <w:r w:rsidRPr="00354359">
        <w:rPr>
          <w:rFonts w:ascii="Times New Roman" w:hAnsi="Times New Roman" w:cs="Times New Roman"/>
          <w:sz w:val="24"/>
          <w:szCs w:val="24"/>
        </w:rPr>
        <w:t xml:space="preserve">, T., </w:t>
      </w:r>
      <w:proofErr w:type="spellStart"/>
      <w:r w:rsidRPr="00354359">
        <w:rPr>
          <w:rFonts w:ascii="Times New Roman" w:hAnsi="Times New Roman" w:cs="Times New Roman"/>
          <w:sz w:val="24"/>
          <w:szCs w:val="24"/>
        </w:rPr>
        <w:t>Oluwafemi</w:t>
      </w:r>
      <w:proofErr w:type="spellEnd"/>
      <w:r w:rsidRPr="00354359">
        <w:rPr>
          <w:rFonts w:ascii="Times New Roman" w:hAnsi="Times New Roman" w:cs="Times New Roman"/>
          <w:sz w:val="24"/>
          <w:szCs w:val="24"/>
        </w:rPr>
        <w:t xml:space="preserve">, O., Caleb, A., </w:t>
      </w:r>
      <w:proofErr w:type="spellStart"/>
      <w:r w:rsidRPr="00354359">
        <w:rPr>
          <w:rFonts w:ascii="Times New Roman" w:hAnsi="Times New Roman" w:cs="Times New Roman"/>
          <w:sz w:val="24"/>
          <w:szCs w:val="24"/>
        </w:rPr>
        <w:t>Olarinde</w:t>
      </w:r>
      <w:proofErr w:type="spellEnd"/>
      <w:r w:rsidRPr="00354359">
        <w:rPr>
          <w:rFonts w:ascii="Times New Roman" w:hAnsi="Times New Roman" w:cs="Times New Roman"/>
          <w:sz w:val="24"/>
          <w:szCs w:val="24"/>
        </w:rPr>
        <w:t xml:space="preserve">, R. O., &amp; </w:t>
      </w:r>
      <w:proofErr w:type="spellStart"/>
      <w:r w:rsidRPr="00354359">
        <w:rPr>
          <w:rFonts w:ascii="Times New Roman" w:hAnsi="Times New Roman" w:cs="Times New Roman"/>
          <w:sz w:val="24"/>
          <w:szCs w:val="24"/>
        </w:rPr>
        <w:t>Idowu-Mogaji</w:t>
      </w:r>
      <w:proofErr w:type="spellEnd"/>
      <w:r w:rsidRPr="00354359">
        <w:rPr>
          <w:rFonts w:ascii="Times New Roman" w:hAnsi="Times New Roman" w:cs="Times New Roman"/>
          <w:sz w:val="24"/>
          <w:szCs w:val="24"/>
        </w:rPr>
        <w:t xml:space="preserve">, G. O. (2024). Sustainable culinary tourism in </w:t>
      </w:r>
      <w:proofErr w:type="spellStart"/>
      <w:r w:rsidRPr="00354359">
        <w:rPr>
          <w:rFonts w:ascii="Times New Roman" w:hAnsi="Times New Roman" w:cs="Times New Roman"/>
          <w:sz w:val="24"/>
          <w:szCs w:val="24"/>
        </w:rPr>
        <w:t>Osogbo</w:t>
      </w:r>
      <w:proofErr w:type="spellEnd"/>
      <w:r w:rsidRPr="00354359">
        <w:rPr>
          <w:rFonts w:ascii="Times New Roman" w:hAnsi="Times New Roman" w:cs="Times New Roman"/>
          <w:sz w:val="24"/>
          <w:szCs w:val="24"/>
        </w:rPr>
        <w:t xml:space="preserve"> integrating ecotourism, nutrition, and gastronomy for holistic destination experiences. </w:t>
      </w:r>
      <w:proofErr w:type="spellStart"/>
      <w:r w:rsidRPr="00354359">
        <w:rPr>
          <w:rFonts w:ascii="Times New Roman" w:hAnsi="Times New Roman" w:cs="Times New Roman"/>
          <w:sz w:val="24"/>
          <w:szCs w:val="24"/>
        </w:rPr>
        <w:t>Toros</w:t>
      </w:r>
      <w:proofErr w:type="spellEnd"/>
      <w:r w:rsidRPr="00354359">
        <w:rPr>
          <w:rFonts w:ascii="Times New Roman" w:hAnsi="Times New Roman" w:cs="Times New Roman"/>
          <w:sz w:val="24"/>
          <w:szCs w:val="24"/>
        </w:rPr>
        <w:t xml:space="preserve"> University Journal of Food Nutrition and Gastronomy, 3(2), 147-161.</w:t>
      </w:r>
    </w:p>
    <w:p w:rsidR="00B20FD2" w:rsidRDefault="00B20FD2" w:rsidP="00B20FD2">
      <w:pPr>
        <w:spacing w:line="480" w:lineRule="auto"/>
        <w:ind w:left="720" w:hanging="720"/>
        <w:rPr>
          <w:rFonts w:ascii="Times New Roman" w:hAnsi="Times New Roman" w:cs="Times New Roman"/>
          <w:sz w:val="24"/>
          <w:szCs w:val="24"/>
        </w:rPr>
      </w:pPr>
      <w:proofErr w:type="spellStart"/>
      <w:r w:rsidRPr="00E53C51">
        <w:rPr>
          <w:rFonts w:ascii="Times New Roman" w:hAnsi="Times New Roman" w:cs="Times New Roman"/>
          <w:sz w:val="24"/>
          <w:szCs w:val="24"/>
        </w:rPr>
        <w:t>Anis</w:t>
      </w:r>
      <w:proofErr w:type="spellEnd"/>
      <w:r w:rsidRPr="00E53C51">
        <w:rPr>
          <w:rFonts w:ascii="Times New Roman" w:hAnsi="Times New Roman" w:cs="Times New Roman"/>
          <w:sz w:val="24"/>
          <w:szCs w:val="24"/>
        </w:rPr>
        <w:t xml:space="preserve">, A., </w:t>
      </w:r>
      <w:proofErr w:type="spellStart"/>
      <w:r w:rsidRPr="00E53C51">
        <w:rPr>
          <w:rFonts w:ascii="Times New Roman" w:hAnsi="Times New Roman" w:cs="Times New Roman"/>
          <w:sz w:val="24"/>
          <w:szCs w:val="24"/>
        </w:rPr>
        <w:t>Azhar</w:t>
      </w:r>
      <w:proofErr w:type="spellEnd"/>
      <w:r w:rsidRPr="00E53C51">
        <w:rPr>
          <w:rFonts w:ascii="Times New Roman" w:hAnsi="Times New Roman" w:cs="Times New Roman"/>
          <w:sz w:val="24"/>
          <w:szCs w:val="24"/>
        </w:rPr>
        <w:t xml:space="preserve">, H. S. P. Z., &amp; </w:t>
      </w:r>
      <w:proofErr w:type="spellStart"/>
      <w:r w:rsidRPr="00E53C51">
        <w:rPr>
          <w:rFonts w:ascii="Times New Roman" w:hAnsi="Times New Roman" w:cs="Times New Roman"/>
          <w:sz w:val="24"/>
          <w:szCs w:val="24"/>
        </w:rPr>
        <w:t>Rahmadani</w:t>
      </w:r>
      <w:proofErr w:type="spellEnd"/>
      <w:r w:rsidRPr="00E53C51">
        <w:rPr>
          <w:rFonts w:ascii="Times New Roman" w:hAnsi="Times New Roman" w:cs="Times New Roman"/>
          <w:sz w:val="24"/>
          <w:szCs w:val="24"/>
        </w:rPr>
        <w:t>, T. (2023, June). Global Sustainable Tourism Council Criteria. In Proceedings of the Ninth Padang International Conference on Economics Education, Economics, Business and Management, Accounting and Entrepreneurship (PICEEBA 2022) (Vol. 672, p. 182). Springer Nature.</w:t>
      </w:r>
    </w:p>
    <w:p w:rsidR="00B20FD2" w:rsidRDefault="00B20FD2" w:rsidP="00B20FD2">
      <w:pPr>
        <w:spacing w:line="480" w:lineRule="auto"/>
        <w:ind w:left="720" w:hanging="720"/>
        <w:rPr>
          <w:rFonts w:ascii="Times New Roman" w:hAnsi="Times New Roman" w:cs="Times New Roman"/>
          <w:sz w:val="24"/>
          <w:szCs w:val="24"/>
        </w:rPr>
      </w:pPr>
      <w:proofErr w:type="spellStart"/>
      <w:r w:rsidRPr="0045082F">
        <w:rPr>
          <w:rFonts w:ascii="Times New Roman" w:hAnsi="Times New Roman" w:cs="Times New Roman"/>
          <w:sz w:val="24"/>
          <w:szCs w:val="24"/>
        </w:rPr>
        <w:t>Aschemann-Witzel</w:t>
      </w:r>
      <w:proofErr w:type="spellEnd"/>
      <w:r w:rsidRPr="0045082F">
        <w:rPr>
          <w:rFonts w:ascii="Times New Roman" w:hAnsi="Times New Roman" w:cs="Times New Roman"/>
          <w:sz w:val="24"/>
          <w:szCs w:val="24"/>
        </w:rPr>
        <w:t xml:space="preserve">, J., &amp; </w:t>
      </w:r>
      <w:proofErr w:type="spellStart"/>
      <w:r w:rsidRPr="0045082F">
        <w:rPr>
          <w:rFonts w:ascii="Times New Roman" w:hAnsi="Times New Roman" w:cs="Times New Roman"/>
          <w:sz w:val="24"/>
          <w:szCs w:val="24"/>
        </w:rPr>
        <w:t>Peschel</w:t>
      </w:r>
      <w:proofErr w:type="spellEnd"/>
      <w:r w:rsidRPr="0045082F">
        <w:rPr>
          <w:rFonts w:ascii="Times New Roman" w:hAnsi="Times New Roman" w:cs="Times New Roman"/>
          <w:sz w:val="24"/>
          <w:szCs w:val="24"/>
        </w:rPr>
        <w:t>, A. O. (2019). How circular will you eat? The sustainability challenge in food and consumer reaction to either waste-to-value or yet underused novel ingredients in food. Food Quality and Preference, 77, 15-20.</w:t>
      </w:r>
    </w:p>
    <w:p w:rsidR="00B20FD2" w:rsidRDefault="00B20FD2" w:rsidP="00B20FD2">
      <w:pPr>
        <w:spacing w:line="480" w:lineRule="auto"/>
        <w:ind w:left="720" w:hanging="720"/>
        <w:rPr>
          <w:rFonts w:ascii="Times New Roman" w:hAnsi="Times New Roman" w:cs="Times New Roman"/>
          <w:sz w:val="24"/>
          <w:szCs w:val="24"/>
        </w:rPr>
      </w:pPr>
      <w:proofErr w:type="spellStart"/>
      <w:r w:rsidRPr="006176B4">
        <w:rPr>
          <w:rFonts w:ascii="Times New Roman" w:hAnsi="Times New Roman" w:cs="Times New Roman"/>
          <w:sz w:val="24"/>
          <w:szCs w:val="24"/>
        </w:rPr>
        <w:t>Bano</w:t>
      </w:r>
      <w:proofErr w:type="spellEnd"/>
      <w:r w:rsidRPr="006176B4">
        <w:rPr>
          <w:rFonts w:ascii="Times New Roman" w:hAnsi="Times New Roman" w:cs="Times New Roman"/>
          <w:sz w:val="24"/>
          <w:szCs w:val="24"/>
        </w:rPr>
        <w:t>, M. (2024). Farm-to-Table: Exploring the Benefits and Challenges of Local Food Systems. Frontiers in Agriculture, 1(2), 390-415.</w:t>
      </w:r>
    </w:p>
    <w:p w:rsidR="00B20FD2" w:rsidRDefault="00B20FD2" w:rsidP="00B20FD2">
      <w:pPr>
        <w:spacing w:line="480" w:lineRule="auto"/>
        <w:ind w:left="720" w:hanging="720"/>
        <w:rPr>
          <w:rFonts w:ascii="Times New Roman" w:hAnsi="Times New Roman" w:cs="Times New Roman"/>
          <w:sz w:val="24"/>
          <w:szCs w:val="24"/>
        </w:rPr>
      </w:pPr>
      <w:r w:rsidRPr="009F6EBE">
        <w:rPr>
          <w:rFonts w:ascii="Times New Roman" w:hAnsi="Times New Roman" w:cs="Times New Roman"/>
          <w:sz w:val="24"/>
          <w:szCs w:val="24"/>
        </w:rPr>
        <w:t>Bowler, I. (2002). Sustainable farming systems. In The sustainability of rural systems: Geographical interpretations (pp. 169-187). Dordrecht: Springer Netherlands.</w:t>
      </w:r>
      <w:r>
        <w:rPr>
          <w:rFonts w:ascii="Times New Roman" w:hAnsi="Times New Roman" w:cs="Times New Roman"/>
          <w:sz w:val="24"/>
          <w:szCs w:val="24"/>
        </w:rPr>
        <w:t xml:space="preserve"> </w:t>
      </w:r>
      <w:hyperlink r:id="rId7" w:history="1">
        <w:r w:rsidRPr="00DD5C7F">
          <w:rPr>
            <w:rStyle w:val="Hyperlink"/>
            <w:rFonts w:ascii="Times New Roman" w:hAnsi="Times New Roman" w:cs="Times New Roman"/>
            <w:sz w:val="24"/>
            <w:szCs w:val="24"/>
          </w:rPr>
          <w:t>https://doi.org/10.1007/978-94-017-3471-4_9</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r w:rsidRPr="002463B0">
        <w:rPr>
          <w:rFonts w:ascii="Times New Roman" w:hAnsi="Times New Roman" w:cs="Times New Roman"/>
          <w:sz w:val="24"/>
          <w:szCs w:val="24"/>
        </w:rPr>
        <w:lastRenderedPageBreak/>
        <w:t>Cane, M., &amp; Parra, C. (2020). Digital platforms: mapping the territory of new technologies to fight food waste. British Food Journal, 122(5), 1647-1669.</w:t>
      </w:r>
      <w:r>
        <w:rPr>
          <w:rFonts w:ascii="Times New Roman" w:hAnsi="Times New Roman" w:cs="Times New Roman"/>
          <w:sz w:val="24"/>
          <w:szCs w:val="24"/>
        </w:rPr>
        <w:t xml:space="preserve"> </w:t>
      </w:r>
      <w:hyperlink r:id="rId8" w:history="1">
        <w:r w:rsidRPr="00DD5C7F">
          <w:rPr>
            <w:rStyle w:val="Hyperlink"/>
            <w:rFonts w:ascii="Times New Roman" w:hAnsi="Times New Roman" w:cs="Times New Roman"/>
            <w:sz w:val="24"/>
            <w:szCs w:val="24"/>
          </w:rPr>
          <w:t>https://doi.org/10.1108/BFJ-06-2019-0391</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146A91">
        <w:rPr>
          <w:rFonts w:ascii="Times New Roman" w:hAnsi="Times New Roman" w:cs="Times New Roman"/>
          <w:sz w:val="24"/>
          <w:szCs w:val="24"/>
        </w:rPr>
        <w:t>Cang</w:t>
      </w:r>
      <w:proofErr w:type="spellEnd"/>
      <w:r w:rsidRPr="00146A91">
        <w:rPr>
          <w:rFonts w:ascii="Times New Roman" w:hAnsi="Times New Roman" w:cs="Times New Roman"/>
          <w:sz w:val="24"/>
          <w:szCs w:val="24"/>
        </w:rPr>
        <w:t xml:space="preserve">, V. (2018). Japan’s </w:t>
      </w:r>
      <w:proofErr w:type="spellStart"/>
      <w:r w:rsidRPr="00146A91">
        <w:rPr>
          <w:rFonts w:ascii="Times New Roman" w:hAnsi="Times New Roman" w:cs="Times New Roman"/>
          <w:sz w:val="24"/>
          <w:szCs w:val="24"/>
        </w:rPr>
        <w:t>washoku</w:t>
      </w:r>
      <w:proofErr w:type="spellEnd"/>
      <w:r w:rsidRPr="00146A91">
        <w:rPr>
          <w:rFonts w:ascii="Times New Roman" w:hAnsi="Times New Roman" w:cs="Times New Roman"/>
          <w:sz w:val="24"/>
          <w:szCs w:val="24"/>
        </w:rPr>
        <w:t xml:space="preserve"> as intangible heritage: The role of national food traditions in UNESCO’s cultural heritage scheme. International Journal of Cultural Property, 25(4), 491-513.</w:t>
      </w:r>
    </w:p>
    <w:p w:rsidR="00B20FD2" w:rsidRDefault="00B20FD2" w:rsidP="00B20FD2">
      <w:pPr>
        <w:spacing w:line="480" w:lineRule="auto"/>
        <w:ind w:left="720" w:hanging="720"/>
        <w:rPr>
          <w:rFonts w:ascii="Times New Roman" w:hAnsi="Times New Roman" w:cs="Times New Roman"/>
          <w:sz w:val="24"/>
          <w:szCs w:val="24"/>
        </w:rPr>
      </w:pPr>
      <w:r w:rsidRPr="00DD1631">
        <w:rPr>
          <w:rFonts w:ascii="Times New Roman" w:hAnsi="Times New Roman" w:cs="Times New Roman"/>
          <w:sz w:val="24"/>
          <w:szCs w:val="24"/>
        </w:rPr>
        <w:t>Chen, H., Liu, S., Chen, Y., Chen, C., Yang, H., &amp; Chen, Y. (2020). Food safety management systems based on ISO 22000: 2018 methodology of hazard analysis compared to ISO 22000: 2005. Accreditation and Quality Assurance, 25(1), 23-37.</w:t>
      </w:r>
      <w:r>
        <w:rPr>
          <w:rFonts w:ascii="Times New Roman" w:hAnsi="Times New Roman" w:cs="Times New Roman"/>
          <w:sz w:val="24"/>
          <w:szCs w:val="24"/>
        </w:rPr>
        <w:t xml:space="preserve"> DOI </w:t>
      </w:r>
      <w:hyperlink r:id="rId9" w:history="1">
        <w:r w:rsidRPr="00DD5C7F">
          <w:rPr>
            <w:rStyle w:val="Hyperlink"/>
            <w:rFonts w:ascii="Times New Roman" w:hAnsi="Times New Roman" w:cs="Times New Roman"/>
            <w:sz w:val="24"/>
            <w:szCs w:val="24"/>
          </w:rPr>
          <w:t>https://doi.org/10.1007/s00769-019-01409-4</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r w:rsidRPr="009B1EE8">
        <w:rPr>
          <w:rFonts w:ascii="Times New Roman" w:hAnsi="Times New Roman" w:cs="Times New Roman"/>
          <w:sz w:val="24"/>
          <w:szCs w:val="24"/>
        </w:rPr>
        <w:t>Chhabra, D. (2010). Sustainable marketing of cultural and heritage tourism. Routledge.</w:t>
      </w:r>
      <w:r>
        <w:rPr>
          <w:rFonts w:ascii="Times New Roman" w:hAnsi="Times New Roman" w:cs="Times New Roman"/>
          <w:sz w:val="24"/>
          <w:szCs w:val="24"/>
        </w:rPr>
        <w:t xml:space="preserve"> </w:t>
      </w:r>
      <w:hyperlink r:id="rId10" w:history="1">
        <w:r w:rsidRPr="00DD5C7F">
          <w:rPr>
            <w:rStyle w:val="Hyperlink"/>
            <w:rFonts w:ascii="Times New Roman" w:hAnsi="Times New Roman" w:cs="Times New Roman"/>
            <w:sz w:val="24"/>
            <w:szCs w:val="24"/>
          </w:rPr>
          <w:t>https://doi.org/10.4324/9780203855416</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35480F">
        <w:rPr>
          <w:rFonts w:ascii="Times New Roman" w:hAnsi="Times New Roman" w:cs="Times New Roman"/>
          <w:sz w:val="24"/>
          <w:szCs w:val="24"/>
        </w:rPr>
        <w:t>Dey</w:t>
      </w:r>
      <w:proofErr w:type="spellEnd"/>
      <w:r w:rsidRPr="0035480F">
        <w:rPr>
          <w:rFonts w:ascii="Times New Roman" w:hAnsi="Times New Roman" w:cs="Times New Roman"/>
          <w:sz w:val="24"/>
          <w:szCs w:val="24"/>
        </w:rPr>
        <w:t xml:space="preserve">, S., </w:t>
      </w:r>
      <w:proofErr w:type="spellStart"/>
      <w:r w:rsidRPr="0035480F">
        <w:rPr>
          <w:rFonts w:ascii="Times New Roman" w:hAnsi="Times New Roman" w:cs="Times New Roman"/>
          <w:sz w:val="24"/>
          <w:szCs w:val="24"/>
        </w:rPr>
        <w:t>Saha</w:t>
      </w:r>
      <w:proofErr w:type="spellEnd"/>
      <w:r w:rsidRPr="0035480F">
        <w:rPr>
          <w:rFonts w:ascii="Times New Roman" w:hAnsi="Times New Roman" w:cs="Times New Roman"/>
          <w:sz w:val="24"/>
          <w:szCs w:val="24"/>
        </w:rPr>
        <w:t xml:space="preserve">, S., Singh, A. K., &amp; McDonald-Maier, K. (2021). </w:t>
      </w:r>
      <w:proofErr w:type="spellStart"/>
      <w:r w:rsidRPr="0035480F">
        <w:rPr>
          <w:rFonts w:ascii="Times New Roman" w:hAnsi="Times New Roman" w:cs="Times New Roman"/>
          <w:sz w:val="24"/>
          <w:szCs w:val="24"/>
        </w:rPr>
        <w:t>FoodSQRBlock</w:t>
      </w:r>
      <w:proofErr w:type="spellEnd"/>
      <w:r w:rsidRPr="0035480F">
        <w:rPr>
          <w:rFonts w:ascii="Times New Roman" w:hAnsi="Times New Roman" w:cs="Times New Roman"/>
          <w:sz w:val="24"/>
          <w:szCs w:val="24"/>
        </w:rPr>
        <w:t xml:space="preserve">: Digitizing food production and the supply chain with </w:t>
      </w:r>
      <w:proofErr w:type="spellStart"/>
      <w:r w:rsidRPr="0035480F">
        <w:rPr>
          <w:rFonts w:ascii="Times New Roman" w:hAnsi="Times New Roman" w:cs="Times New Roman"/>
          <w:sz w:val="24"/>
          <w:szCs w:val="24"/>
        </w:rPr>
        <w:t>blockchain</w:t>
      </w:r>
      <w:proofErr w:type="spellEnd"/>
      <w:r w:rsidRPr="0035480F">
        <w:rPr>
          <w:rFonts w:ascii="Times New Roman" w:hAnsi="Times New Roman" w:cs="Times New Roman"/>
          <w:sz w:val="24"/>
          <w:szCs w:val="24"/>
        </w:rPr>
        <w:t xml:space="preserve"> and QR code in the cloud. Sustainability, 13(6), 3486.</w:t>
      </w:r>
      <w:r>
        <w:rPr>
          <w:rFonts w:ascii="Times New Roman" w:hAnsi="Times New Roman" w:cs="Times New Roman"/>
          <w:sz w:val="24"/>
          <w:szCs w:val="24"/>
        </w:rPr>
        <w:t xml:space="preserve"> </w:t>
      </w:r>
      <w:hyperlink r:id="rId11" w:history="1">
        <w:r w:rsidRPr="00DD5C7F">
          <w:rPr>
            <w:rStyle w:val="Hyperlink"/>
            <w:rFonts w:ascii="Times New Roman" w:hAnsi="Times New Roman" w:cs="Times New Roman"/>
            <w:sz w:val="24"/>
            <w:szCs w:val="24"/>
          </w:rPr>
          <w:t>https://doi.org/10.3390/su13063486</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F31393">
        <w:rPr>
          <w:rFonts w:ascii="Times New Roman" w:hAnsi="Times New Roman" w:cs="Times New Roman"/>
          <w:sz w:val="24"/>
          <w:szCs w:val="24"/>
        </w:rPr>
        <w:t>Duralia</w:t>
      </w:r>
      <w:proofErr w:type="spellEnd"/>
      <w:r w:rsidRPr="00F31393">
        <w:rPr>
          <w:rFonts w:ascii="Times New Roman" w:hAnsi="Times New Roman" w:cs="Times New Roman"/>
          <w:sz w:val="24"/>
          <w:szCs w:val="24"/>
        </w:rPr>
        <w:t>, O. (2017). Culinary tourism: a new trend on the tourism market. Expert journal of marketing, 5(2), 66-71.</w:t>
      </w:r>
    </w:p>
    <w:p w:rsidR="00B20FD2" w:rsidRDefault="00B20FD2" w:rsidP="00B20FD2">
      <w:pPr>
        <w:spacing w:line="480" w:lineRule="auto"/>
        <w:ind w:left="720" w:hanging="720"/>
        <w:rPr>
          <w:rFonts w:ascii="Times New Roman" w:hAnsi="Times New Roman" w:cs="Times New Roman"/>
          <w:sz w:val="24"/>
          <w:szCs w:val="24"/>
        </w:rPr>
      </w:pPr>
      <w:proofErr w:type="spellStart"/>
      <w:r w:rsidRPr="00C33FDB">
        <w:rPr>
          <w:rFonts w:ascii="Times New Roman" w:hAnsi="Times New Roman" w:cs="Times New Roman"/>
          <w:sz w:val="24"/>
          <w:szCs w:val="24"/>
        </w:rPr>
        <w:t>Durband</w:t>
      </w:r>
      <w:proofErr w:type="spellEnd"/>
      <w:r w:rsidRPr="00C33FDB">
        <w:rPr>
          <w:rFonts w:ascii="Times New Roman" w:hAnsi="Times New Roman" w:cs="Times New Roman"/>
          <w:sz w:val="24"/>
          <w:szCs w:val="24"/>
        </w:rPr>
        <w:t>, R. (2021). Establishing sustainability standards in tourism. In Handbook for Sustainable Tourism Practitioners (pp. 233-248). Edward Elgar Publishing.</w:t>
      </w:r>
      <w:r>
        <w:rPr>
          <w:rFonts w:ascii="Times New Roman" w:hAnsi="Times New Roman" w:cs="Times New Roman"/>
          <w:sz w:val="24"/>
          <w:szCs w:val="24"/>
        </w:rPr>
        <w:t xml:space="preserve"> </w:t>
      </w:r>
      <w:hyperlink r:id="rId12" w:history="1">
        <w:r w:rsidRPr="00DD5C7F">
          <w:rPr>
            <w:rStyle w:val="Hyperlink"/>
            <w:rFonts w:ascii="Times New Roman" w:hAnsi="Times New Roman" w:cs="Times New Roman"/>
            <w:sz w:val="24"/>
            <w:szCs w:val="24"/>
          </w:rPr>
          <w:t>https://doi.org/10.4337/9781839100895.00021</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89671D">
        <w:rPr>
          <w:rFonts w:ascii="Times New Roman" w:hAnsi="Times New Roman" w:cs="Times New Roman"/>
          <w:sz w:val="24"/>
          <w:szCs w:val="24"/>
        </w:rPr>
        <w:lastRenderedPageBreak/>
        <w:t>Espitia</w:t>
      </w:r>
      <w:proofErr w:type="spellEnd"/>
      <w:r w:rsidRPr="0089671D">
        <w:rPr>
          <w:rFonts w:ascii="Times New Roman" w:hAnsi="Times New Roman" w:cs="Times New Roman"/>
          <w:sz w:val="24"/>
          <w:szCs w:val="24"/>
        </w:rPr>
        <w:t>, J. (2017). The Soul of the Festival: Order, Rituals, Street Food, and State Power (Master's thesis, The University of North Carolina at Chapel Hill).</w:t>
      </w:r>
    </w:p>
    <w:p w:rsidR="00B20FD2" w:rsidRDefault="00B20FD2" w:rsidP="00B20FD2">
      <w:pPr>
        <w:spacing w:line="480" w:lineRule="auto"/>
        <w:ind w:left="720" w:hanging="720"/>
        <w:rPr>
          <w:rFonts w:ascii="Times New Roman" w:hAnsi="Times New Roman" w:cs="Times New Roman"/>
          <w:sz w:val="24"/>
          <w:szCs w:val="24"/>
        </w:rPr>
      </w:pPr>
      <w:proofErr w:type="spellStart"/>
      <w:r w:rsidRPr="00F12A19">
        <w:rPr>
          <w:rFonts w:ascii="Times New Roman" w:hAnsi="Times New Roman" w:cs="Times New Roman"/>
          <w:sz w:val="24"/>
          <w:szCs w:val="24"/>
        </w:rPr>
        <w:t>Fossey</w:t>
      </w:r>
      <w:proofErr w:type="spellEnd"/>
      <w:r w:rsidRPr="00F12A19">
        <w:rPr>
          <w:rFonts w:ascii="Times New Roman" w:hAnsi="Times New Roman" w:cs="Times New Roman"/>
          <w:sz w:val="24"/>
          <w:szCs w:val="24"/>
        </w:rPr>
        <w:t>, E., Harvey, C., McDermott, F., &amp; Davidson, L. (2002). Understanding and evaluating qualitative research. Australian and New Zealand journal of psychiatry, 36(6), 717-732.</w:t>
      </w:r>
    </w:p>
    <w:p w:rsidR="00B20FD2" w:rsidRDefault="00B20FD2" w:rsidP="00B20FD2">
      <w:pPr>
        <w:spacing w:line="480" w:lineRule="auto"/>
        <w:ind w:left="720" w:hanging="720"/>
        <w:rPr>
          <w:rFonts w:ascii="Times New Roman" w:hAnsi="Times New Roman" w:cs="Times New Roman"/>
          <w:sz w:val="24"/>
          <w:szCs w:val="24"/>
        </w:rPr>
      </w:pPr>
      <w:r w:rsidRPr="00B17672">
        <w:rPr>
          <w:rFonts w:ascii="Times New Roman" w:hAnsi="Times New Roman" w:cs="Times New Roman"/>
          <w:sz w:val="24"/>
          <w:szCs w:val="24"/>
        </w:rPr>
        <w:t>Freeman, E. M. (2011). Restaurant industry sustainability: barriers and solutions to sustainable practice indicators. Arizona State University.</w:t>
      </w:r>
    </w:p>
    <w:p w:rsidR="00B20FD2" w:rsidRDefault="00B20FD2" w:rsidP="00B20FD2">
      <w:pPr>
        <w:spacing w:line="480" w:lineRule="auto"/>
        <w:ind w:left="720" w:hanging="720"/>
        <w:rPr>
          <w:rFonts w:ascii="Times New Roman" w:hAnsi="Times New Roman" w:cs="Times New Roman"/>
          <w:sz w:val="24"/>
          <w:szCs w:val="24"/>
        </w:rPr>
      </w:pPr>
      <w:proofErr w:type="spellStart"/>
      <w:r w:rsidRPr="00D6378F">
        <w:rPr>
          <w:rFonts w:ascii="Times New Roman" w:hAnsi="Times New Roman" w:cs="Times New Roman"/>
          <w:sz w:val="24"/>
          <w:szCs w:val="24"/>
        </w:rPr>
        <w:t>Gertner</w:t>
      </w:r>
      <w:proofErr w:type="spellEnd"/>
      <w:r w:rsidRPr="00D6378F">
        <w:rPr>
          <w:rFonts w:ascii="Times New Roman" w:hAnsi="Times New Roman" w:cs="Times New Roman"/>
          <w:sz w:val="24"/>
          <w:szCs w:val="24"/>
        </w:rPr>
        <w:t>, R. K. (2019). The impact of cultural appropriation on destination image, tourism, and hospitality. Thunderbird International Business Review, 61(6), 873-877.</w:t>
      </w:r>
      <w:r>
        <w:rPr>
          <w:rFonts w:ascii="Times New Roman" w:hAnsi="Times New Roman" w:cs="Times New Roman"/>
          <w:sz w:val="24"/>
          <w:szCs w:val="24"/>
        </w:rPr>
        <w:t xml:space="preserve"> </w:t>
      </w:r>
      <w:hyperlink r:id="rId13" w:history="1">
        <w:r w:rsidRPr="00DD5C7F">
          <w:rPr>
            <w:rStyle w:val="Hyperlink"/>
            <w:rFonts w:ascii="Times New Roman" w:hAnsi="Times New Roman" w:cs="Times New Roman"/>
            <w:sz w:val="24"/>
            <w:szCs w:val="24"/>
          </w:rPr>
          <w:t>https://doi.org/10.1002/tie.22068</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0B0CE6">
        <w:rPr>
          <w:rFonts w:ascii="Times New Roman" w:hAnsi="Times New Roman" w:cs="Times New Roman"/>
          <w:sz w:val="24"/>
          <w:szCs w:val="24"/>
        </w:rPr>
        <w:t>Hariram</w:t>
      </w:r>
      <w:proofErr w:type="spellEnd"/>
      <w:r w:rsidRPr="000B0CE6">
        <w:rPr>
          <w:rFonts w:ascii="Times New Roman" w:hAnsi="Times New Roman" w:cs="Times New Roman"/>
          <w:sz w:val="24"/>
          <w:szCs w:val="24"/>
        </w:rPr>
        <w:t xml:space="preserve">, N. P., </w:t>
      </w:r>
      <w:proofErr w:type="spellStart"/>
      <w:r w:rsidRPr="000B0CE6">
        <w:rPr>
          <w:rFonts w:ascii="Times New Roman" w:hAnsi="Times New Roman" w:cs="Times New Roman"/>
          <w:sz w:val="24"/>
          <w:szCs w:val="24"/>
        </w:rPr>
        <w:t>Mekha</w:t>
      </w:r>
      <w:proofErr w:type="spellEnd"/>
      <w:r w:rsidRPr="000B0CE6">
        <w:rPr>
          <w:rFonts w:ascii="Times New Roman" w:hAnsi="Times New Roman" w:cs="Times New Roman"/>
          <w:sz w:val="24"/>
          <w:szCs w:val="24"/>
        </w:rPr>
        <w:t xml:space="preserve">, K. B., </w:t>
      </w:r>
      <w:proofErr w:type="spellStart"/>
      <w:r w:rsidRPr="000B0CE6">
        <w:rPr>
          <w:rFonts w:ascii="Times New Roman" w:hAnsi="Times New Roman" w:cs="Times New Roman"/>
          <w:sz w:val="24"/>
          <w:szCs w:val="24"/>
        </w:rPr>
        <w:t>Suganthan</w:t>
      </w:r>
      <w:proofErr w:type="spellEnd"/>
      <w:r w:rsidRPr="000B0CE6">
        <w:rPr>
          <w:rFonts w:ascii="Times New Roman" w:hAnsi="Times New Roman" w:cs="Times New Roman"/>
          <w:sz w:val="24"/>
          <w:szCs w:val="24"/>
        </w:rPr>
        <w:t xml:space="preserve">, V., &amp; </w:t>
      </w:r>
      <w:proofErr w:type="spellStart"/>
      <w:r w:rsidRPr="000B0CE6">
        <w:rPr>
          <w:rFonts w:ascii="Times New Roman" w:hAnsi="Times New Roman" w:cs="Times New Roman"/>
          <w:sz w:val="24"/>
          <w:szCs w:val="24"/>
        </w:rPr>
        <w:t>Sudhakar</w:t>
      </w:r>
      <w:proofErr w:type="spellEnd"/>
      <w:r w:rsidRPr="000B0CE6">
        <w:rPr>
          <w:rFonts w:ascii="Times New Roman" w:hAnsi="Times New Roman" w:cs="Times New Roman"/>
          <w:sz w:val="24"/>
          <w:szCs w:val="24"/>
        </w:rPr>
        <w:t xml:space="preserve">, K. (2023). </w:t>
      </w:r>
      <w:proofErr w:type="spellStart"/>
      <w:r w:rsidRPr="000B0CE6">
        <w:rPr>
          <w:rFonts w:ascii="Times New Roman" w:hAnsi="Times New Roman" w:cs="Times New Roman"/>
          <w:sz w:val="24"/>
          <w:szCs w:val="24"/>
        </w:rPr>
        <w:t>Sustainalism</w:t>
      </w:r>
      <w:proofErr w:type="spellEnd"/>
      <w:r w:rsidRPr="000B0CE6">
        <w:rPr>
          <w:rFonts w:ascii="Times New Roman" w:hAnsi="Times New Roman" w:cs="Times New Roman"/>
          <w:sz w:val="24"/>
          <w:szCs w:val="24"/>
        </w:rPr>
        <w:t>: An integrated socio-economic-environmental model to address sustainable development and sustainability. Sustainability, 15(13), 10682.</w:t>
      </w:r>
      <w:r>
        <w:rPr>
          <w:rFonts w:ascii="Times New Roman" w:hAnsi="Times New Roman" w:cs="Times New Roman"/>
          <w:sz w:val="24"/>
          <w:szCs w:val="24"/>
        </w:rPr>
        <w:t xml:space="preserve"> </w:t>
      </w:r>
      <w:hyperlink r:id="rId14" w:history="1">
        <w:r w:rsidRPr="00DD5C7F">
          <w:rPr>
            <w:rStyle w:val="Hyperlink"/>
            <w:rFonts w:ascii="Times New Roman" w:hAnsi="Times New Roman" w:cs="Times New Roman"/>
            <w:sz w:val="24"/>
            <w:szCs w:val="24"/>
          </w:rPr>
          <w:t>https://doi.org/10.3390/su151310682</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C47517">
        <w:rPr>
          <w:rFonts w:ascii="Times New Roman" w:hAnsi="Times New Roman" w:cs="Times New Roman"/>
          <w:sz w:val="24"/>
          <w:szCs w:val="24"/>
        </w:rPr>
        <w:t>Hjalager</w:t>
      </w:r>
      <w:proofErr w:type="spellEnd"/>
      <w:r w:rsidRPr="00C47517">
        <w:rPr>
          <w:rFonts w:ascii="Times New Roman" w:hAnsi="Times New Roman" w:cs="Times New Roman"/>
          <w:sz w:val="24"/>
          <w:szCs w:val="24"/>
        </w:rPr>
        <w:t>, A. M., &amp; Johansen, P. H. (2013). Food tourism in protected areas–sustainability for producers, the environment and tourism</w:t>
      </w:r>
      <w:proofErr w:type="gramStart"/>
      <w:r w:rsidRPr="00C47517">
        <w:rPr>
          <w:rFonts w:ascii="Times New Roman" w:hAnsi="Times New Roman" w:cs="Times New Roman"/>
          <w:sz w:val="24"/>
          <w:szCs w:val="24"/>
        </w:rPr>
        <w:t>?.</w:t>
      </w:r>
      <w:proofErr w:type="gramEnd"/>
      <w:r w:rsidRPr="00C47517">
        <w:rPr>
          <w:rFonts w:ascii="Times New Roman" w:hAnsi="Times New Roman" w:cs="Times New Roman"/>
          <w:sz w:val="24"/>
          <w:szCs w:val="24"/>
        </w:rPr>
        <w:t xml:space="preserve"> Journal of Sustainable Tourism, 21(3), 417-433.</w:t>
      </w:r>
      <w:r>
        <w:rPr>
          <w:rFonts w:ascii="Times New Roman" w:hAnsi="Times New Roman" w:cs="Times New Roman"/>
          <w:sz w:val="24"/>
          <w:szCs w:val="24"/>
        </w:rPr>
        <w:t xml:space="preserve"> </w:t>
      </w:r>
      <w:hyperlink r:id="rId15" w:history="1">
        <w:r w:rsidRPr="00DD5C7F">
          <w:rPr>
            <w:rStyle w:val="Hyperlink"/>
            <w:rFonts w:ascii="Times New Roman" w:hAnsi="Times New Roman" w:cs="Times New Roman"/>
            <w:sz w:val="24"/>
            <w:szCs w:val="24"/>
          </w:rPr>
          <w:t>https://doi.org/10.1080/09669582.2012.708041</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B87D4A">
        <w:rPr>
          <w:rFonts w:ascii="Times New Roman" w:hAnsi="Times New Roman" w:cs="Times New Roman"/>
          <w:sz w:val="24"/>
          <w:szCs w:val="24"/>
        </w:rPr>
        <w:t>Jimoh</w:t>
      </w:r>
      <w:proofErr w:type="spellEnd"/>
      <w:r w:rsidRPr="00B87D4A">
        <w:rPr>
          <w:rFonts w:ascii="Times New Roman" w:hAnsi="Times New Roman" w:cs="Times New Roman"/>
          <w:sz w:val="24"/>
          <w:szCs w:val="24"/>
        </w:rPr>
        <w:t xml:space="preserve">, R., </w:t>
      </w:r>
      <w:proofErr w:type="spellStart"/>
      <w:r w:rsidRPr="00B87D4A">
        <w:rPr>
          <w:rFonts w:ascii="Times New Roman" w:hAnsi="Times New Roman" w:cs="Times New Roman"/>
          <w:sz w:val="24"/>
          <w:szCs w:val="24"/>
        </w:rPr>
        <w:t>Oyewobi</w:t>
      </w:r>
      <w:proofErr w:type="spellEnd"/>
      <w:r w:rsidRPr="00B87D4A">
        <w:rPr>
          <w:rFonts w:ascii="Times New Roman" w:hAnsi="Times New Roman" w:cs="Times New Roman"/>
          <w:sz w:val="24"/>
          <w:szCs w:val="24"/>
        </w:rPr>
        <w:t>, L., Isa, R., &amp; Waziri, I. (2019). Total quality management practices and organizational performance: the mediating roles of strategies for continuous improvement. International journal of construction management, 19(2), 162-177.</w:t>
      </w:r>
      <w:r>
        <w:rPr>
          <w:rFonts w:ascii="Times New Roman" w:hAnsi="Times New Roman" w:cs="Times New Roman"/>
          <w:sz w:val="24"/>
          <w:szCs w:val="24"/>
        </w:rPr>
        <w:t xml:space="preserve"> </w:t>
      </w:r>
      <w:hyperlink r:id="rId16" w:history="1">
        <w:r w:rsidRPr="00DD5C7F">
          <w:rPr>
            <w:rStyle w:val="Hyperlink"/>
            <w:rFonts w:ascii="Times New Roman" w:hAnsi="Times New Roman" w:cs="Times New Roman"/>
            <w:sz w:val="24"/>
            <w:szCs w:val="24"/>
          </w:rPr>
          <w:t>https://doi.org/10.1080/15623599.2017.1411456</w:t>
        </w:r>
      </w:hyperlink>
      <w:r>
        <w:rPr>
          <w:rFonts w:ascii="Times New Roman" w:hAnsi="Times New Roman" w:cs="Times New Roman"/>
          <w:sz w:val="24"/>
          <w:szCs w:val="24"/>
        </w:rPr>
        <w:t>.</w:t>
      </w:r>
    </w:p>
    <w:p w:rsidR="00B20FD2" w:rsidRDefault="00B20FD2" w:rsidP="00B20FD2">
      <w:pPr>
        <w:spacing w:line="480" w:lineRule="auto"/>
        <w:ind w:left="720" w:hanging="720"/>
        <w:rPr>
          <w:rFonts w:ascii="Times New Roman" w:hAnsi="Times New Roman" w:cs="Times New Roman"/>
          <w:sz w:val="24"/>
          <w:szCs w:val="24"/>
        </w:rPr>
      </w:pPr>
      <w:proofErr w:type="spellStart"/>
      <w:r w:rsidRPr="00F74E0A">
        <w:rPr>
          <w:rFonts w:ascii="Times New Roman" w:hAnsi="Times New Roman" w:cs="Times New Roman"/>
          <w:sz w:val="24"/>
          <w:szCs w:val="24"/>
        </w:rPr>
        <w:t>Kapiki</w:t>
      </w:r>
      <w:proofErr w:type="spellEnd"/>
      <w:r w:rsidRPr="00F74E0A">
        <w:rPr>
          <w:rFonts w:ascii="Times New Roman" w:hAnsi="Times New Roman" w:cs="Times New Roman"/>
          <w:sz w:val="24"/>
          <w:szCs w:val="24"/>
        </w:rPr>
        <w:t>, S. (2012). Quality management in tourism and hospitality: An exploratory study among tourism stakeholders. International Journal of Economic Practices and Theories, 2(2).</w:t>
      </w:r>
    </w:p>
    <w:p w:rsidR="00B20FD2" w:rsidRDefault="00B20FD2" w:rsidP="00B20FD2">
      <w:pPr>
        <w:spacing w:line="480" w:lineRule="auto"/>
        <w:ind w:left="720" w:hanging="720"/>
        <w:rPr>
          <w:rFonts w:ascii="Times New Roman" w:hAnsi="Times New Roman" w:cs="Times New Roman"/>
          <w:sz w:val="24"/>
          <w:szCs w:val="24"/>
        </w:rPr>
      </w:pPr>
      <w:proofErr w:type="spellStart"/>
      <w:r w:rsidRPr="009A1958">
        <w:rPr>
          <w:rFonts w:ascii="Times New Roman" w:hAnsi="Times New Roman" w:cs="Times New Roman"/>
          <w:sz w:val="24"/>
          <w:szCs w:val="24"/>
        </w:rPr>
        <w:lastRenderedPageBreak/>
        <w:t>Kelting</w:t>
      </w:r>
      <w:proofErr w:type="spellEnd"/>
      <w:r w:rsidRPr="009A1958">
        <w:rPr>
          <w:rFonts w:ascii="Times New Roman" w:hAnsi="Times New Roman" w:cs="Times New Roman"/>
          <w:sz w:val="24"/>
          <w:szCs w:val="24"/>
        </w:rPr>
        <w:t xml:space="preserve">, L. (2022). New Nordic Cuisine: Performing Primitive Origins of Nordic Food. Contesting </w:t>
      </w:r>
      <w:proofErr w:type="spellStart"/>
      <w:r w:rsidRPr="009A1958">
        <w:rPr>
          <w:rFonts w:ascii="Times New Roman" w:hAnsi="Times New Roman" w:cs="Times New Roman"/>
          <w:sz w:val="24"/>
          <w:szCs w:val="24"/>
        </w:rPr>
        <w:t>Nordicness</w:t>
      </w:r>
      <w:proofErr w:type="spellEnd"/>
      <w:r w:rsidRPr="009A1958">
        <w:rPr>
          <w:rFonts w:ascii="Times New Roman" w:hAnsi="Times New Roman" w:cs="Times New Roman"/>
          <w:sz w:val="24"/>
          <w:szCs w:val="24"/>
        </w:rPr>
        <w:t>, 175.</w:t>
      </w:r>
    </w:p>
    <w:p w:rsidR="00B20FD2" w:rsidRDefault="00B20FD2" w:rsidP="00B20FD2">
      <w:pPr>
        <w:spacing w:line="480" w:lineRule="auto"/>
        <w:ind w:left="720" w:hanging="720"/>
        <w:rPr>
          <w:rFonts w:ascii="Times New Roman" w:hAnsi="Times New Roman" w:cs="Times New Roman"/>
          <w:sz w:val="24"/>
          <w:szCs w:val="24"/>
        </w:rPr>
      </w:pPr>
      <w:proofErr w:type="spellStart"/>
      <w:r w:rsidRPr="00420728">
        <w:rPr>
          <w:rFonts w:ascii="Times New Roman" w:hAnsi="Times New Roman" w:cs="Times New Roman"/>
          <w:sz w:val="24"/>
          <w:szCs w:val="24"/>
        </w:rPr>
        <w:t>Kulshrestha</w:t>
      </w:r>
      <w:proofErr w:type="spellEnd"/>
      <w:r w:rsidRPr="00420728">
        <w:rPr>
          <w:rFonts w:ascii="Times New Roman" w:hAnsi="Times New Roman" w:cs="Times New Roman"/>
          <w:sz w:val="24"/>
          <w:szCs w:val="24"/>
        </w:rPr>
        <w:t>, R. (2025). Changing Tastes: How Globalization Is Shaping Regional Cuisines-Culinary Innovation and Fusion Cuisine, Variety, and Availability of Ingredients. In Global Sustainable Practices in Gastronomic Tourism (pp. 231-242). IGI Global Scientific Publishing.</w:t>
      </w:r>
      <w:r>
        <w:rPr>
          <w:rFonts w:ascii="Times New Roman" w:hAnsi="Times New Roman" w:cs="Times New Roman"/>
          <w:sz w:val="24"/>
          <w:szCs w:val="24"/>
        </w:rPr>
        <w:t xml:space="preserve"> </w:t>
      </w:r>
      <w:r w:rsidRPr="0096307B">
        <w:rPr>
          <w:rFonts w:ascii="Times New Roman" w:hAnsi="Times New Roman" w:cs="Times New Roman"/>
          <w:sz w:val="24"/>
          <w:szCs w:val="24"/>
        </w:rPr>
        <w:t>DOI: 10.4018/979-8-3693-7096-4.ch013</w:t>
      </w:r>
      <w:r>
        <w:rPr>
          <w:rFonts w:ascii="Times New Roman" w:hAnsi="Times New Roman" w:cs="Times New Roman"/>
          <w:sz w:val="24"/>
          <w:szCs w:val="24"/>
        </w:rPr>
        <w:t>.</w:t>
      </w:r>
    </w:p>
    <w:p w:rsidR="00B20FD2" w:rsidRDefault="00B20FD2" w:rsidP="00B20FD2">
      <w:pPr>
        <w:spacing w:line="480" w:lineRule="auto"/>
        <w:ind w:left="720" w:hanging="720"/>
        <w:rPr>
          <w:rFonts w:ascii="Times New Roman" w:hAnsi="Times New Roman" w:cs="Times New Roman"/>
          <w:sz w:val="24"/>
          <w:szCs w:val="24"/>
        </w:rPr>
      </w:pPr>
      <w:proofErr w:type="spellStart"/>
      <w:r w:rsidRPr="004711AC">
        <w:rPr>
          <w:rFonts w:ascii="Times New Roman" w:hAnsi="Times New Roman" w:cs="Times New Roman"/>
          <w:sz w:val="24"/>
          <w:szCs w:val="24"/>
        </w:rPr>
        <w:t>Lindholm</w:t>
      </w:r>
      <w:proofErr w:type="spellEnd"/>
      <w:r w:rsidRPr="004711AC">
        <w:rPr>
          <w:rFonts w:ascii="Times New Roman" w:hAnsi="Times New Roman" w:cs="Times New Roman"/>
          <w:sz w:val="24"/>
          <w:szCs w:val="24"/>
        </w:rPr>
        <w:t>, C. (2007). Culture and authenticity. John Wiley &amp; Sons.</w:t>
      </w:r>
    </w:p>
    <w:p w:rsidR="00B20FD2" w:rsidRDefault="00B20FD2" w:rsidP="00B20FD2">
      <w:pPr>
        <w:spacing w:line="480" w:lineRule="auto"/>
        <w:ind w:left="720" w:hanging="720"/>
        <w:rPr>
          <w:rFonts w:ascii="Times New Roman" w:hAnsi="Times New Roman" w:cs="Times New Roman"/>
          <w:sz w:val="24"/>
          <w:szCs w:val="24"/>
        </w:rPr>
      </w:pPr>
      <w:proofErr w:type="spellStart"/>
      <w:r w:rsidRPr="00241717">
        <w:rPr>
          <w:rFonts w:ascii="Times New Roman" w:hAnsi="Times New Roman" w:cs="Times New Roman"/>
          <w:sz w:val="24"/>
          <w:szCs w:val="24"/>
        </w:rPr>
        <w:t>Muhanna</w:t>
      </w:r>
      <w:proofErr w:type="spellEnd"/>
      <w:r w:rsidRPr="00241717">
        <w:rPr>
          <w:rFonts w:ascii="Times New Roman" w:hAnsi="Times New Roman" w:cs="Times New Roman"/>
          <w:sz w:val="24"/>
          <w:szCs w:val="24"/>
        </w:rPr>
        <w:t>, E. (2006). Sustainable tourism development and environmental management for developing countries. Problems and Perspectives in Management, 4(2), 14-30.</w:t>
      </w:r>
    </w:p>
    <w:p w:rsidR="00B20FD2" w:rsidRDefault="00B20FD2" w:rsidP="00B20FD2">
      <w:pPr>
        <w:spacing w:line="480" w:lineRule="auto"/>
        <w:ind w:left="720" w:hanging="720"/>
        <w:rPr>
          <w:rFonts w:ascii="Times New Roman" w:hAnsi="Times New Roman" w:cs="Times New Roman"/>
          <w:sz w:val="24"/>
          <w:szCs w:val="24"/>
        </w:rPr>
      </w:pPr>
      <w:r w:rsidRPr="00BA0196">
        <w:rPr>
          <w:rFonts w:ascii="Times New Roman" w:hAnsi="Times New Roman" w:cs="Times New Roman"/>
          <w:sz w:val="24"/>
          <w:szCs w:val="24"/>
        </w:rPr>
        <w:t xml:space="preserve">Pérez-Rodrigo, C., &amp; </w:t>
      </w:r>
      <w:proofErr w:type="spellStart"/>
      <w:r w:rsidRPr="00BA0196">
        <w:rPr>
          <w:rFonts w:ascii="Times New Roman" w:hAnsi="Times New Roman" w:cs="Times New Roman"/>
          <w:sz w:val="24"/>
          <w:szCs w:val="24"/>
        </w:rPr>
        <w:t>Aranceta-Bartrina</w:t>
      </w:r>
      <w:proofErr w:type="spellEnd"/>
      <w:r w:rsidRPr="00BA0196">
        <w:rPr>
          <w:rFonts w:ascii="Times New Roman" w:hAnsi="Times New Roman" w:cs="Times New Roman"/>
          <w:sz w:val="24"/>
          <w:szCs w:val="24"/>
        </w:rPr>
        <w:t>, J. (2021). Role of gastronomy and new technologies in shaping healthy diets. In Gastronomy and food science (pp. 19-34). Academic Press.</w:t>
      </w:r>
      <w:r>
        <w:rPr>
          <w:rFonts w:ascii="Times New Roman" w:hAnsi="Times New Roman" w:cs="Times New Roman"/>
          <w:sz w:val="24"/>
          <w:szCs w:val="24"/>
        </w:rPr>
        <w:t xml:space="preserve"> </w:t>
      </w:r>
      <w:hyperlink r:id="rId17" w:history="1">
        <w:r w:rsidRPr="00DD5C7F">
          <w:rPr>
            <w:rStyle w:val="Hyperlink"/>
            <w:rFonts w:ascii="Times New Roman" w:hAnsi="Times New Roman" w:cs="Times New Roman"/>
            <w:sz w:val="24"/>
            <w:szCs w:val="24"/>
          </w:rPr>
          <w:t>https://doi.org/10.1016/B978-0-12-820057-5.00002-9</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r w:rsidRPr="00453FBA">
        <w:rPr>
          <w:rFonts w:ascii="Times New Roman" w:hAnsi="Times New Roman" w:cs="Times New Roman"/>
          <w:sz w:val="24"/>
          <w:szCs w:val="24"/>
        </w:rPr>
        <w:t>Posey, D. A. (2004). Indigenous knowledge and ethics: A Darrell Posey reader (Vol. 10). Psychology Press.</w:t>
      </w:r>
    </w:p>
    <w:p w:rsidR="00B20FD2" w:rsidRDefault="00B20FD2" w:rsidP="00B20FD2">
      <w:pPr>
        <w:spacing w:line="480" w:lineRule="auto"/>
        <w:ind w:left="720" w:hanging="720"/>
        <w:rPr>
          <w:rFonts w:ascii="Times New Roman" w:hAnsi="Times New Roman" w:cs="Times New Roman"/>
          <w:sz w:val="24"/>
          <w:szCs w:val="24"/>
        </w:rPr>
      </w:pPr>
      <w:proofErr w:type="spellStart"/>
      <w:r w:rsidRPr="00364134">
        <w:rPr>
          <w:rFonts w:ascii="Times New Roman" w:hAnsi="Times New Roman" w:cs="Times New Roman"/>
          <w:sz w:val="24"/>
          <w:szCs w:val="24"/>
        </w:rPr>
        <w:t>Psomas</w:t>
      </w:r>
      <w:proofErr w:type="spellEnd"/>
      <w:r w:rsidRPr="00364134">
        <w:rPr>
          <w:rFonts w:ascii="Times New Roman" w:hAnsi="Times New Roman" w:cs="Times New Roman"/>
          <w:sz w:val="24"/>
          <w:szCs w:val="24"/>
        </w:rPr>
        <w:t xml:space="preserve">, E. L., &amp; </w:t>
      </w:r>
      <w:proofErr w:type="spellStart"/>
      <w:r w:rsidRPr="00364134">
        <w:rPr>
          <w:rFonts w:ascii="Times New Roman" w:hAnsi="Times New Roman" w:cs="Times New Roman"/>
          <w:sz w:val="24"/>
          <w:szCs w:val="24"/>
        </w:rPr>
        <w:t>Kafetzopoulos</w:t>
      </w:r>
      <w:proofErr w:type="spellEnd"/>
      <w:r w:rsidRPr="00364134">
        <w:rPr>
          <w:rFonts w:ascii="Times New Roman" w:hAnsi="Times New Roman" w:cs="Times New Roman"/>
          <w:sz w:val="24"/>
          <w:szCs w:val="24"/>
        </w:rPr>
        <w:t>, D. P. (2015). HACCP effectiveness between ISO 22000 certified and non-certified dairy companies. Food Control, 53, 134-139.</w:t>
      </w:r>
      <w:r>
        <w:rPr>
          <w:rFonts w:ascii="Times New Roman" w:hAnsi="Times New Roman" w:cs="Times New Roman"/>
          <w:sz w:val="24"/>
          <w:szCs w:val="24"/>
        </w:rPr>
        <w:t xml:space="preserve"> </w:t>
      </w:r>
      <w:hyperlink r:id="rId18" w:history="1">
        <w:r w:rsidRPr="00DD5C7F">
          <w:rPr>
            <w:rStyle w:val="Hyperlink"/>
            <w:rFonts w:ascii="Times New Roman" w:hAnsi="Times New Roman" w:cs="Times New Roman"/>
            <w:sz w:val="24"/>
            <w:szCs w:val="24"/>
          </w:rPr>
          <w:t>https://doi.org/10.1016/j.foodcont.2015.01.023</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2B0F3E">
        <w:rPr>
          <w:rFonts w:ascii="Times New Roman" w:hAnsi="Times New Roman" w:cs="Times New Roman"/>
          <w:sz w:val="24"/>
          <w:szCs w:val="24"/>
        </w:rPr>
        <w:t>Satarat</w:t>
      </w:r>
      <w:proofErr w:type="spellEnd"/>
      <w:r w:rsidRPr="002B0F3E">
        <w:rPr>
          <w:rFonts w:ascii="Times New Roman" w:hAnsi="Times New Roman" w:cs="Times New Roman"/>
          <w:sz w:val="24"/>
          <w:szCs w:val="24"/>
        </w:rPr>
        <w:t>, N. (2010). Sustainable management of community-based tourism in Thailand. Bangkok: School of Public Administration, National Institute of Development Administration.</w:t>
      </w:r>
    </w:p>
    <w:p w:rsidR="00B20FD2" w:rsidRDefault="00B20FD2" w:rsidP="00B20FD2">
      <w:pPr>
        <w:spacing w:line="480" w:lineRule="auto"/>
        <w:ind w:left="720" w:hanging="720"/>
        <w:rPr>
          <w:rFonts w:ascii="Times New Roman" w:hAnsi="Times New Roman" w:cs="Times New Roman"/>
          <w:sz w:val="24"/>
          <w:szCs w:val="24"/>
        </w:rPr>
      </w:pPr>
      <w:r w:rsidRPr="00A650B2">
        <w:rPr>
          <w:rFonts w:ascii="Times New Roman" w:hAnsi="Times New Roman" w:cs="Times New Roman"/>
          <w:sz w:val="24"/>
          <w:szCs w:val="24"/>
        </w:rPr>
        <w:t xml:space="preserve">Sim, S., Barry, M., Clift, R., &amp; Cowell, S. J. (2007). The relative importance of transport in determining an appropriate sustainability strategy for food sourcing: A case study of fresh </w:t>
      </w:r>
      <w:r w:rsidRPr="00A650B2">
        <w:rPr>
          <w:rFonts w:ascii="Times New Roman" w:hAnsi="Times New Roman" w:cs="Times New Roman"/>
          <w:sz w:val="24"/>
          <w:szCs w:val="24"/>
        </w:rPr>
        <w:lastRenderedPageBreak/>
        <w:t>produce supply chains. The International Journal of Life Cycle Assessment, 12(6), 422-431.</w:t>
      </w:r>
      <w:r>
        <w:rPr>
          <w:rFonts w:ascii="Times New Roman" w:hAnsi="Times New Roman" w:cs="Times New Roman"/>
          <w:sz w:val="24"/>
          <w:szCs w:val="24"/>
        </w:rPr>
        <w:t xml:space="preserve"> DOI </w:t>
      </w:r>
      <w:hyperlink r:id="rId19" w:history="1">
        <w:r w:rsidRPr="00DD5C7F">
          <w:rPr>
            <w:rStyle w:val="Hyperlink"/>
            <w:rFonts w:ascii="Times New Roman" w:hAnsi="Times New Roman" w:cs="Times New Roman"/>
            <w:sz w:val="24"/>
            <w:szCs w:val="24"/>
          </w:rPr>
          <w:t>https://doi.org/10.1065/lca2006.07.259</w:t>
        </w:r>
      </w:hyperlink>
      <w:r>
        <w:rPr>
          <w:rFonts w:ascii="Times New Roman" w:hAnsi="Times New Roman" w:cs="Times New Roman"/>
          <w:sz w:val="24"/>
          <w:szCs w:val="24"/>
        </w:rPr>
        <w:t xml:space="preserve">. </w:t>
      </w:r>
    </w:p>
    <w:p w:rsidR="00B20FD2" w:rsidRPr="00F279EB" w:rsidRDefault="00B20FD2" w:rsidP="00B20FD2">
      <w:pPr>
        <w:spacing w:line="480" w:lineRule="auto"/>
        <w:ind w:left="720" w:hanging="720"/>
        <w:rPr>
          <w:rFonts w:ascii="Times New Roman" w:hAnsi="Times New Roman" w:cs="Times New Roman"/>
          <w:sz w:val="24"/>
          <w:szCs w:val="24"/>
          <w:lang w:val="es-ES"/>
        </w:rPr>
      </w:pPr>
      <w:proofErr w:type="spellStart"/>
      <w:r w:rsidRPr="00483F4D">
        <w:rPr>
          <w:rFonts w:ascii="Times New Roman" w:hAnsi="Times New Roman" w:cs="Times New Roman"/>
          <w:sz w:val="24"/>
          <w:szCs w:val="24"/>
        </w:rPr>
        <w:t>Stoica</w:t>
      </w:r>
      <w:proofErr w:type="spellEnd"/>
      <w:r w:rsidRPr="00483F4D">
        <w:rPr>
          <w:rFonts w:ascii="Times New Roman" w:hAnsi="Times New Roman" w:cs="Times New Roman"/>
          <w:sz w:val="24"/>
          <w:szCs w:val="24"/>
        </w:rPr>
        <w:t>, M. (2024). Culinary tourism-innovations in farm-to-table practices for sustainable experiences. In Modern paradigms in the development of the national and world economy (pp. 431-437).</w:t>
      </w:r>
      <w:r>
        <w:rPr>
          <w:rFonts w:ascii="Times New Roman" w:hAnsi="Times New Roman" w:cs="Times New Roman"/>
          <w:sz w:val="24"/>
          <w:szCs w:val="24"/>
        </w:rPr>
        <w:t xml:space="preserve"> </w:t>
      </w:r>
      <w:r w:rsidRPr="00F279EB">
        <w:rPr>
          <w:rFonts w:ascii="Times New Roman" w:hAnsi="Times New Roman" w:cs="Times New Roman"/>
          <w:sz w:val="24"/>
          <w:szCs w:val="24"/>
          <w:lang w:val="es-ES"/>
        </w:rPr>
        <w:t xml:space="preserve">DOI: </w:t>
      </w:r>
      <w:hyperlink r:id="rId20" w:history="1">
        <w:r w:rsidRPr="00F279EB">
          <w:rPr>
            <w:rStyle w:val="Hyperlink"/>
            <w:rFonts w:ascii="Times New Roman" w:hAnsi="Times New Roman" w:cs="Times New Roman"/>
            <w:sz w:val="24"/>
            <w:szCs w:val="24"/>
            <w:lang w:val="es-ES"/>
          </w:rPr>
          <w:t>https://doi.org/10.59295/mpdnwe2024.58</w:t>
        </w:r>
      </w:hyperlink>
      <w:r w:rsidRPr="00F279EB">
        <w:rPr>
          <w:rFonts w:ascii="Times New Roman" w:hAnsi="Times New Roman" w:cs="Times New Roman"/>
          <w:sz w:val="24"/>
          <w:szCs w:val="24"/>
          <w:lang w:val="es-ES"/>
        </w:rPr>
        <w:t xml:space="preserve">. </w:t>
      </w:r>
    </w:p>
    <w:p w:rsidR="00B20FD2" w:rsidRDefault="00B20FD2" w:rsidP="00B20FD2">
      <w:pPr>
        <w:spacing w:line="480" w:lineRule="auto"/>
        <w:ind w:left="720" w:hanging="720"/>
        <w:rPr>
          <w:rFonts w:ascii="Times New Roman" w:hAnsi="Times New Roman" w:cs="Times New Roman"/>
          <w:sz w:val="24"/>
          <w:szCs w:val="24"/>
        </w:rPr>
      </w:pPr>
      <w:proofErr w:type="spellStart"/>
      <w:r w:rsidRPr="00F279EB">
        <w:rPr>
          <w:rFonts w:ascii="Times New Roman" w:hAnsi="Times New Roman" w:cs="Times New Roman"/>
          <w:sz w:val="24"/>
          <w:szCs w:val="24"/>
          <w:lang w:val="es-ES"/>
        </w:rPr>
        <w:t>Sulaiman</w:t>
      </w:r>
      <w:proofErr w:type="spellEnd"/>
      <w:r w:rsidRPr="00F279EB">
        <w:rPr>
          <w:rFonts w:ascii="Times New Roman" w:hAnsi="Times New Roman" w:cs="Times New Roman"/>
          <w:sz w:val="24"/>
          <w:szCs w:val="24"/>
          <w:lang w:val="es-ES"/>
        </w:rPr>
        <w:t xml:space="preserve">, A. I., </w:t>
      </w:r>
      <w:proofErr w:type="spellStart"/>
      <w:r w:rsidRPr="00F279EB">
        <w:rPr>
          <w:rFonts w:ascii="Times New Roman" w:hAnsi="Times New Roman" w:cs="Times New Roman"/>
          <w:sz w:val="24"/>
          <w:szCs w:val="24"/>
          <w:lang w:val="es-ES"/>
        </w:rPr>
        <w:t>Pangestuti</w:t>
      </w:r>
      <w:proofErr w:type="spellEnd"/>
      <w:r w:rsidRPr="00F279EB">
        <w:rPr>
          <w:rFonts w:ascii="Times New Roman" w:hAnsi="Times New Roman" w:cs="Times New Roman"/>
          <w:sz w:val="24"/>
          <w:szCs w:val="24"/>
          <w:lang w:val="es-ES"/>
        </w:rPr>
        <w:t xml:space="preserve">, S., </w:t>
      </w:r>
      <w:proofErr w:type="spellStart"/>
      <w:r w:rsidRPr="00F279EB">
        <w:rPr>
          <w:rFonts w:ascii="Times New Roman" w:hAnsi="Times New Roman" w:cs="Times New Roman"/>
          <w:sz w:val="24"/>
          <w:szCs w:val="24"/>
          <w:lang w:val="es-ES"/>
        </w:rPr>
        <w:t>Sugito</w:t>
      </w:r>
      <w:proofErr w:type="spellEnd"/>
      <w:r w:rsidRPr="00F279EB">
        <w:rPr>
          <w:rFonts w:ascii="Times New Roman" w:hAnsi="Times New Roman" w:cs="Times New Roman"/>
          <w:sz w:val="24"/>
          <w:szCs w:val="24"/>
          <w:lang w:val="es-ES"/>
        </w:rPr>
        <w:t xml:space="preserve">, T., &amp; </w:t>
      </w:r>
      <w:proofErr w:type="spellStart"/>
      <w:r w:rsidRPr="00F279EB">
        <w:rPr>
          <w:rFonts w:ascii="Times New Roman" w:hAnsi="Times New Roman" w:cs="Times New Roman"/>
          <w:sz w:val="24"/>
          <w:szCs w:val="24"/>
          <w:lang w:val="es-ES"/>
        </w:rPr>
        <w:t>Sabiq</w:t>
      </w:r>
      <w:proofErr w:type="spellEnd"/>
      <w:r w:rsidRPr="00F279EB">
        <w:rPr>
          <w:rFonts w:ascii="Times New Roman" w:hAnsi="Times New Roman" w:cs="Times New Roman"/>
          <w:sz w:val="24"/>
          <w:szCs w:val="24"/>
          <w:lang w:val="es-ES"/>
        </w:rPr>
        <w:t xml:space="preserve">, A. (2022). </w:t>
      </w:r>
      <w:r w:rsidRPr="00387516">
        <w:rPr>
          <w:rFonts w:ascii="Times New Roman" w:hAnsi="Times New Roman" w:cs="Times New Roman"/>
          <w:sz w:val="24"/>
          <w:szCs w:val="24"/>
        </w:rPr>
        <w:t>Community empowerment in culinary tourism as sustainable rural development. Sustainable Development Research, 4(1), p1-p1.</w:t>
      </w:r>
    </w:p>
    <w:p w:rsidR="00B20FD2" w:rsidRPr="003C6E31" w:rsidRDefault="00B20FD2" w:rsidP="00B20FD2">
      <w:pPr>
        <w:spacing w:line="480" w:lineRule="auto"/>
        <w:ind w:left="720" w:hanging="720"/>
        <w:rPr>
          <w:rFonts w:ascii="Times New Roman" w:hAnsi="Times New Roman" w:cs="Times New Roman"/>
          <w:sz w:val="24"/>
          <w:szCs w:val="24"/>
        </w:rPr>
      </w:pPr>
      <w:r w:rsidRPr="00EC2E15">
        <w:rPr>
          <w:rFonts w:ascii="Times New Roman" w:hAnsi="Times New Roman" w:cs="Times New Roman"/>
          <w:sz w:val="24"/>
          <w:szCs w:val="24"/>
        </w:rPr>
        <w:t xml:space="preserve">Thiele, L. P. (2024). Sustainability. John Wiley &amp; </w:t>
      </w:r>
      <w:proofErr w:type="spellStart"/>
      <w:r w:rsidRPr="00EC2E15">
        <w:rPr>
          <w:rFonts w:ascii="Times New Roman" w:hAnsi="Times New Roman" w:cs="Times New Roman"/>
          <w:sz w:val="24"/>
          <w:szCs w:val="24"/>
        </w:rPr>
        <w:t>Sons.</w:t>
      </w:r>
      <w:r>
        <w:rPr>
          <w:rFonts w:ascii="Arial" w:hAnsi="Arial" w:cs="Arial"/>
          <w:color w:val="222222"/>
          <w:sz w:val="20"/>
          <w:szCs w:val="20"/>
          <w:shd w:val="clear" w:color="auto" w:fill="FFFFFF"/>
        </w:rPr>
        <w:t>Thiele</w:t>
      </w:r>
      <w:proofErr w:type="spellEnd"/>
      <w:r>
        <w:rPr>
          <w:rFonts w:ascii="Arial" w:hAnsi="Arial" w:cs="Arial"/>
          <w:color w:val="222222"/>
          <w:sz w:val="20"/>
          <w:szCs w:val="20"/>
          <w:shd w:val="clear" w:color="auto" w:fill="FFFFFF"/>
        </w:rPr>
        <w:t>, L. P. (2024).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John Wiley &amp; Sons.</w:t>
      </w:r>
    </w:p>
    <w:p w:rsidR="00B20FD2" w:rsidRDefault="00B20FD2" w:rsidP="00B20FD2">
      <w:pPr>
        <w:spacing w:line="480" w:lineRule="auto"/>
        <w:ind w:left="720" w:hanging="720"/>
        <w:rPr>
          <w:rFonts w:ascii="Times New Roman" w:hAnsi="Times New Roman" w:cs="Times New Roman"/>
          <w:sz w:val="24"/>
          <w:szCs w:val="24"/>
        </w:rPr>
      </w:pPr>
      <w:r w:rsidRPr="00A37C03">
        <w:rPr>
          <w:rFonts w:ascii="Times New Roman" w:hAnsi="Times New Roman" w:cs="Times New Roman"/>
          <w:sz w:val="24"/>
          <w:szCs w:val="24"/>
        </w:rPr>
        <w:t xml:space="preserve">Tran, D., De </w:t>
      </w:r>
      <w:proofErr w:type="spellStart"/>
      <w:r w:rsidRPr="00A37C03">
        <w:rPr>
          <w:rFonts w:ascii="Times New Roman" w:hAnsi="Times New Roman" w:cs="Times New Roman"/>
          <w:sz w:val="24"/>
          <w:szCs w:val="24"/>
        </w:rPr>
        <w:t>Steur</w:t>
      </w:r>
      <w:proofErr w:type="spellEnd"/>
      <w:r w:rsidRPr="00A37C03">
        <w:rPr>
          <w:rFonts w:ascii="Times New Roman" w:hAnsi="Times New Roman" w:cs="Times New Roman"/>
          <w:sz w:val="24"/>
          <w:szCs w:val="24"/>
        </w:rPr>
        <w:t xml:space="preserve">, H., </w:t>
      </w:r>
      <w:proofErr w:type="spellStart"/>
      <w:r w:rsidRPr="00A37C03">
        <w:rPr>
          <w:rFonts w:ascii="Times New Roman" w:hAnsi="Times New Roman" w:cs="Times New Roman"/>
          <w:sz w:val="24"/>
          <w:szCs w:val="24"/>
        </w:rPr>
        <w:t>Gellynck</w:t>
      </w:r>
      <w:proofErr w:type="spellEnd"/>
      <w:r w:rsidRPr="00A37C03">
        <w:rPr>
          <w:rFonts w:ascii="Times New Roman" w:hAnsi="Times New Roman" w:cs="Times New Roman"/>
          <w:sz w:val="24"/>
          <w:szCs w:val="24"/>
        </w:rPr>
        <w:t xml:space="preserve">, X., </w:t>
      </w:r>
      <w:proofErr w:type="spellStart"/>
      <w:r w:rsidRPr="00A37C03">
        <w:rPr>
          <w:rFonts w:ascii="Times New Roman" w:hAnsi="Times New Roman" w:cs="Times New Roman"/>
          <w:sz w:val="24"/>
          <w:szCs w:val="24"/>
        </w:rPr>
        <w:t>Papadakis</w:t>
      </w:r>
      <w:proofErr w:type="spellEnd"/>
      <w:r w:rsidRPr="00A37C03">
        <w:rPr>
          <w:rFonts w:ascii="Times New Roman" w:hAnsi="Times New Roman" w:cs="Times New Roman"/>
          <w:sz w:val="24"/>
          <w:szCs w:val="24"/>
        </w:rPr>
        <w:t xml:space="preserve">, A., &amp; </w:t>
      </w:r>
      <w:proofErr w:type="spellStart"/>
      <w:r w:rsidRPr="00A37C03">
        <w:rPr>
          <w:rFonts w:ascii="Times New Roman" w:hAnsi="Times New Roman" w:cs="Times New Roman"/>
          <w:sz w:val="24"/>
          <w:szCs w:val="24"/>
        </w:rPr>
        <w:t>Schouteten</w:t>
      </w:r>
      <w:proofErr w:type="spellEnd"/>
      <w:r w:rsidRPr="00A37C03">
        <w:rPr>
          <w:rFonts w:ascii="Times New Roman" w:hAnsi="Times New Roman" w:cs="Times New Roman"/>
          <w:sz w:val="24"/>
          <w:szCs w:val="24"/>
        </w:rPr>
        <w:t xml:space="preserve">, J. J. (2024). Consumers’ valuation of </w:t>
      </w:r>
      <w:proofErr w:type="spellStart"/>
      <w:r w:rsidRPr="00A37C03">
        <w:rPr>
          <w:rFonts w:ascii="Times New Roman" w:hAnsi="Times New Roman" w:cs="Times New Roman"/>
          <w:sz w:val="24"/>
          <w:szCs w:val="24"/>
        </w:rPr>
        <w:t>blockchain</w:t>
      </w:r>
      <w:proofErr w:type="spellEnd"/>
      <w:r w:rsidRPr="00A37C03">
        <w:rPr>
          <w:rFonts w:ascii="Times New Roman" w:hAnsi="Times New Roman" w:cs="Times New Roman"/>
          <w:sz w:val="24"/>
          <w:szCs w:val="24"/>
        </w:rPr>
        <w:t>-based food traceability: role of consumer ethnocentrism and communication via QR codes. British Food Journal, 126(13), 72-93.</w:t>
      </w:r>
      <w:r>
        <w:rPr>
          <w:rFonts w:ascii="Times New Roman" w:hAnsi="Times New Roman" w:cs="Times New Roman"/>
          <w:sz w:val="24"/>
          <w:szCs w:val="24"/>
        </w:rPr>
        <w:t xml:space="preserve"> </w:t>
      </w:r>
      <w:hyperlink r:id="rId21" w:history="1">
        <w:r w:rsidRPr="00DD5C7F">
          <w:rPr>
            <w:rStyle w:val="Hyperlink"/>
            <w:rFonts w:ascii="Times New Roman" w:hAnsi="Times New Roman" w:cs="Times New Roman"/>
            <w:sz w:val="24"/>
            <w:szCs w:val="24"/>
          </w:rPr>
          <w:t>https://doi.org/10.1108/BFJ-09-2023-0812</w:t>
        </w:r>
      </w:hyperlink>
      <w:r>
        <w:rPr>
          <w:rFonts w:ascii="Times New Roman" w:hAnsi="Times New Roman" w:cs="Times New Roman"/>
          <w:sz w:val="24"/>
          <w:szCs w:val="24"/>
        </w:rPr>
        <w:t xml:space="preserve">. </w:t>
      </w:r>
    </w:p>
    <w:p w:rsidR="00B20FD2" w:rsidRDefault="00B20FD2" w:rsidP="00B20FD2">
      <w:pPr>
        <w:spacing w:line="480" w:lineRule="auto"/>
        <w:ind w:left="720" w:hanging="720"/>
        <w:rPr>
          <w:rFonts w:ascii="Times New Roman" w:hAnsi="Times New Roman" w:cs="Times New Roman"/>
          <w:sz w:val="24"/>
          <w:szCs w:val="24"/>
        </w:rPr>
      </w:pPr>
      <w:r w:rsidRPr="0011318D">
        <w:rPr>
          <w:rFonts w:ascii="Times New Roman" w:hAnsi="Times New Roman" w:cs="Times New Roman"/>
          <w:sz w:val="24"/>
          <w:szCs w:val="24"/>
        </w:rPr>
        <w:t>Walter, P. (2017). Culinary tourism as living history: Staging, tourist performance and perceptions of authenticity in a Thai cooking school. Journal of Heritage Tourism, 12(4), 365-379</w:t>
      </w:r>
      <w:r>
        <w:rPr>
          <w:rFonts w:ascii="Times New Roman" w:hAnsi="Times New Roman" w:cs="Times New Roman"/>
          <w:sz w:val="24"/>
          <w:szCs w:val="24"/>
        </w:rPr>
        <w:t xml:space="preserve">. </w:t>
      </w:r>
      <w:hyperlink r:id="rId22" w:history="1">
        <w:r w:rsidRPr="00DD5C7F">
          <w:rPr>
            <w:rStyle w:val="Hyperlink"/>
            <w:rFonts w:ascii="Times New Roman" w:hAnsi="Times New Roman" w:cs="Times New Roman"/>
            <w:sz w:val="24"/>
            <w:szCs w:val="24"/>
          </w:rPr>
          <w:t>https://doi.org/10.1080/1743873X.2016.1207651</w:t>
        </w:r>
      </w:hyperlink>
      <w:r>
        <w:rPr>
          <w:rFonts w:ascii="Times New Roman" w:hAnsi="Times New Roman" w:cs="Times New Roman"/>
          <w:sz w:val="24"/>
          <w:szCs w:val="24"/>
        </w:rPr>
        <w:t>.</w:t>
      </w:r>
    </w:p>
    <w:p w:rsidR="00B20FD2" w:rsidRDefault="00B20FD2" w:rsidP="00B20FD2">
      <w:pPr>
        <w:spacing w:line="480" w:lineRule="auto"/>
        <w:ind w:left="720" w:hanging="720"/>
        <w:rPr>
          <w:rFonts w:ascii="Times New Roman" w:hAnsi="Times New Roman" w:cs="Times New Roman"/>
          <w:sz w:val="24"/>
          <w:szCs w:val="24"/>
        </w:rPr>
      </w:pPr>
      <w:proofErr w:type="spellStart"/>
      <w:r w:rsidRPr="00C60A3F">
        <w:rPr>
          <w:rFonts w:ascii="Times New Roman" w:hAnsi="Times New Roman" w:cs="Times New Roman"/>
          <w:sz w:val="24"/>
          <w:szCs w:val="24"/>
        </w:rPr>
        <w:t>Yarimoglu</w:t>
      </w:r>
      <w:proofErr w:type="spellEnd"/>
      <w:r w:rsidRPr="00C60A3F">
        <w:rPr>
          <w:rFonts w:ascii="Times New Roman" w:hAnsi="Times New Roman" w:cs="Times New Roman"/>
          <w:sz w:val="24"/>
          <w:szCs w:val="24"/>
        </w:rPr>
        <w:t>, E. K. (2014). A review on dimensions of service quality models. Journal of marketing management, 2(2), 79-93.</w:t>
      </w:r>
    </w:p>
    <w:p w:rsidR="00B20FD2" w:rsidRDefault="00B20FD2" w:rsidP="00B20FD2">
      <w:pPr>
        <w:spacing w:line="480" w:lineRule="auto"/>
        <w:ind w:left="720" w:hanging="720"/>
        <w:rPr>
          <w:rFonts w:ascii="Times New Roman" w:hAnsi="Times New Roman" w:cs="Times New Roman"/>
          <w:sz w:val="24"/>
          <w:szCs w:val="24"/>
        </w:rPr>
      </w:pPr>
      <w:r w:rsidRPr="00BC3BAF">
        <w:rPr>
          <w:rFonts w:ascii="Times New Roman" w:hAnsi="Times New Roman" w:cs="Times New Roman"/>
          <w:sz w:val="24"/>
          <w:szCs w:val="24"/>
        </w:rPr>
        <w:t>Zhang, T., Chen, J., &amp; Hu, B. (2019). Authenticity, quality, and loyalty: Local food and sustainable tourism experience. Sustainability, 11(12), 3437.</w:t>
      </w:r>
      <w:r>
        <w:rPr>
          <w:rFonts w:ascii="Times New Roman" w:hAnsi="Times New Roman" w:cs="Times New Roman"/>
          <w:sz w:val="24"/>
          <w:szCs w:val="24"/>
        </w:rPr>
        <w:t xml:space="preserve"> </w:t>
      </w:r>
      <w:hyperlink r:id="rId23" w:history="1">
        <w:r w:rsidRPr="00DD5C7F">
          <w:rPr>
            <w:rStyle w:val="Hyperlink"/>
            <w:rFonts w:ascii="Times New Roman" w:hAnsi="Times New Roman" w:cs="Times New Roman"/>
            <w:sz w:val="24"/>
            <w:szCs w:val="24"/>
          </w:rPr>
          <w:t>https://doi.org/10.3390/su11123437</w:t>
        </w:r>
      </w:hyperlink>
      <w:r>
        <w:rPr>
          <w:rFonts w:ascii="Times New Roman" w:hAnsi="Times New Roman" w:cs="Times New Roman"/>
          <w:sz w:val="24"/>
          <w:szCs w:val="24"/>
        </w:rPr>
        <w:t xml:space="preserve">. </w:t>
      </w:r>
    </w:p>
    <w:sectPr w:rsidR="00B20FD2">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2CB" w:rsidRDefault="006812CB" w:rsidP="00FC116A">
      <w:pPr>
        <w:spacing w:after="0" w:line="240" w:lineRule="auto"/>
      </w:pPr>
      <w:r>
        <w:separator/>
      </w:r>
    </w:p>
  </w:endnote>
  <w:endnote w:type="continuationSeparator" w:id="0">
    <w:p w:rsidR="006812CB" w:rsidRDefault="006812CB" w:rsidP="00FC1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2CB" w:rsidRDefault="006812CB" w:rsidP="00FC116A">
      <w:pPr>
        <w:spacing w:after="0" w:line="240" w:lineRule="auto"/>
      </w:pPr>
      <w:r>
        <w:separator/>
      </w:r>
    </w:p>
  </w:footnote>
  <w:footnote w:type="continuationSeparator" w:id="0">
    <w:p w:rsidR="006812CB" w:rsidRDefault="006812CB" w:rsidP="00FC1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12045"/>
      <w:docPartObj>
        <w:docPartGallery w:val="Page Numbers (Top of Page)"/>
        <w:docPartUnique/>
      </w:docPartObj>
    </w:sdtPr>
    <w:sdtEndPr>
      <w:rPr>
        <w:noProof/>
      </w:rPr>
    </w:sdtEndPr>
    <w:sdtContent>
      <w:p w:rsidR="00D21B38" w:rsidRDefault="00D21B38">
        <w:pPr>
          <w:pStyle w:val="Header"/>
          <w:jc w:val="right"/>
        </w:pPr>
        <w:r>
          <w:fldChar w:fldCharType="begin"/>
        </w:r>
        <w:r>
          <w:instrText xml:space="preserve"> PAGE   \* MERGEFORMAT </w:instrText>
        </w:r>
        <w:r>
          <w:fldChar w:fldCharType="separate"/>
        </w:r>
        <w:r w:rsidR="00E71F4A">
          <w:rPr>
            <w:noProof/>
          </w:rPr>
          <w:t>5</w:t>
        </w:r>
        <w:r>
          <w:rPr>
            <w:noProof/>
          </w:rPr>
          <w:fldChar w:fldCharType="end"/>
        </w:r>
      </w:p>
    </w:sdtContent>
  </w:sdt>
  <w:p w:rsidR="00D21B38" w:rsidRDefault="00D21B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E31"/>
    <w:rsid w:val="000239F5"/>
    <w:rsid w:val="000517EE"/>
    <w:rsid w:val="00062033"/>
    <w:rsid w:val="000760B8"/>
    <w:rsid w:val="000A20AF"/>
    <w:rsid w:val="000B0CE6"/>
    <w:rsid w:val="000D3C0C"/>
    <w:rsid w:val="000E0210"/>
    <w:rsid w:val="000F1A0F"/>
    <w:rsid w:val="00113071"/>
    <w:rsid w:val="0011318D"/>
    <w:rsid w:val="00146A91"/>
    <w:rsid w:val="00151EEA"/>
    <w:rsid w:val="00170236"/>
    <w:rsid w:val="00172656"/>
    <w:rsid w:val="00181B73"/>
    <w:rsid w:val="00195C96"/>
    <w:rsid w:val="001A7A65"/>
    <w:rsid w:val="001D1F86"/>
    <w:rsid w:val="00202354"/>
    <w:rsid w:val="0020684A"/>
    <w:rsid w:val="00241717"/>
    <w:rsid w:val="00243D75"/>
    <w:rsid w:val="002463B0"/>
    <w:rsid w:val="002B0F3E"/>
    <w:rsid w:val="002B124E"/>
    <w:rsid w:val="00322F57"/>
    <w:rsid w:val="0032644B"/>
    <w:rsid w:val="00354359"/>
    <w:rsid w:val="0035480F"/>
    <w:rsid w:val="00364134"/>
    <w:rsid w:val="00380FFE"/>
    <w:rsid w:val="00386893"/>
    <w:rsid w:val="00387516"/>
    <w:rsid w:val="003B48AD"/>
    <w:rsid w:val="003B6F36"/>
    <w:rsid w:val="003B79D6"/>
    <w:rsid w:val="003C6E31"/>
    <w:rsid w:val="0040208D"/>
    <w:rsid w:val="00403C33"/>
    <w:rsid w:val="00407A3F"/>
    <w:rsid w:val="00413299"/>
    <w:rsid w:val="00420728"/>
    <w:rsid w:val="00427E32"/>
    <w:rsid w:val="0045082F"/>
    <w:rsid w:val="00453FBA"/>
    <w:rsid w:val="004711AC"/>
    <w:rsid w:val="00471D04"/>
    <w:rsid w:val="00483F4D"/>
    <w:rsid w:val="004C601C"/>
    <w:rsid w:val="004F065A"/>
    <w:rsid w:val="0053194C"/>
    <w:rsid w:val="00563736"/>
    <w:rsid w:val="00563DF8"/>
    <w:rsid w:val="005C60D8"/>
    <w:rsid w:val="005F755F"/>
    <w:rsid w:val="006176B4"/>
    <w:rsid w:val="006812CB"/>
    <w:rsid w:val="006960CB"/>
    <w:rsid w:val="006E6E5D"/>
    <w:rsid w:val="006E761F"/>
    <w:rsid w:val="00765081"/>
    <w:rsid w:val="00820FA9"/>
    <w:rsid w:val="00821A44"/>
    <w:rsid w:val="00831FED"/>
    <w:rsid w:val="0089671D"/>
    <w:rsid w:val="008D39A5"/>
    <w:rsid w:val="009235A2"/>
    <w:rsid w:val="00941A2C"/>
    <w:rsid w:val="0094670B"/>
    <w:rsid w:val="0096307B"/>
    <w:rsid w:val="009A1958"/>
    <w:rsid w:val="009B1EE8"/>
    <w:rsid w:val="009B32BB"/>
    <w:rsid w:val="009E07B9"/>
    <w:rsid w:val="009F4851"/>
    <w:rsid w:val="009F6EBE"/>
    <w:rsid w:val="00A329C8"/>
    <w:rsid w:val="00A37C03"/>
    <w:rsid w:val="00A650B2"/>
    <w:rsid w:val="00A74836"/>
    <w:rsid w:val="00A763A2"/>
    <w:rsid w:val="00A86EB1"/>
    <w:rsid w:val="00A92513"/>
    <w:rsid w:val="00A93B8C"/>
    <w:rsid w:val="00AA0998"/>
    <w:rsid w:val="00AA7EA3"/>
    <w:rsid w:val="00AB2241"/>
    <w:rsid w:val="00B17672"/>
    <w:rsid w:val="00B20FD2"/>
    <w:rsid w:val="00B41478"/>
    <w:rsid w:val="00B6380B"/>
    <w:rsid w:val="00B64E6F"/>
    <w:rsid w:val="00B676D1"/>
    <w:rsid w:val="00B87D4A"/>
    <w:rsid w:val="00BA0196"/>
    <w:rsid w:val="00BA54E0"/>
    <w:rsid w:val="00BC1AEA"/>
    <w:rsid w:val="00BC3BAF"/>
    <w:rsid w:val="00BE00A2"/>
    <w:rsid w:val="00BE59B0"/>
    <w:rsid w:val="00C33FDB"/>
    <w:rsid w:val="00C47517"/>
    <w:rsid w:val="00C60A3F"/>
    <w:rsid w:val="00CA1476"/>
    <w:rsid w:val="00CC688A"/>
    <w:rsid w:val="00D10F44"/>
    <w:rsid w:val="00D21B38"/>
    <w:rsid w:val="00D248EE"/>
    <w:rsid w:val="00D6378F"/>
    <w:rsid w:val="00D86905"/>
    <w:rsid w:val="00DA7053"/>
    <w:rsid w:val="00DD1631"/>
    <w:rsid w:val="00DE6600"/>
    <w:rsid w:val="00DF6935"/>
    <w:rsid w:val="00E042BA"/>
    <w:rsid w:val="00E275D2"/>
    <w:rsid w:val="00E53C51"/>
    <w:rsid w:val="00E55983"/>
    <w:rsid w:val="00E66C24"/>
    <w:rsid w:val="00E66E7A"/>
    <w:rsid w:val="00E71F4A"/>
    <w:rsid w:val="00E822F9"/>
    <w:rsid w:val="00E85EC6"/>
    <w:rsid w:val="00E932F1"/>
    <w:rsid w:val="00EC2E15"/>
    <w:rsid w:val="00F12A19"/>
    <w:rsid w:val="00F13F82"/>
    <w:rsid w:val="00F25B26"/>
    <w:rsid w:val="00F279EB"/>
    <w:rsid w:val="00F31393"/>
    <w:rsid w:val="00F32C33"/>
    <w:rsid w:val="00F4419B"/>
    <w:rsid w:val="00F5207E"/>
    <w:rsid w:val="00F74E0A"/>
    <w:rsid w:val="00F91AFC"/>
    <w:rsid w:val="00FA7BCE"/>
    <w:rsid w:val="00FB118E"/>
    <w:rsid w:val="00FC116A"/>
    <w:rsid w:val="00FC7B57"/>
    <w:rsid w:val="00FE6244"/>
    <w:rsid w:val="00FF1CAF"/>
    <w:rsid w:val="00FF5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DF25E"/>
  <w15:chartTrackingRefBased/>
  <w15:docId w15:val="{7F96CDE2-4949-4940-8819-07E3F578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C2E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C6E3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C6E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6E31"/>
    <w:rPr>
      <w:b/>
      <w:bCs/>
    </w:rPr>
  </w:style>
  <w:style w:type="character" w:customStyle="1" w:styleId="Heading2Char">
    <w:name w:val="Heading 2 Char"/>
    <w:basedOn w:val="DefaultParagraphFont"/>
    <w:link w:val="Heading2"/>
    <w:uiPriority w:val="9"/>
    <w:rsid w:val="003C6E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C6E31"/>
    <w:rPr>
      <w:rFonts w:ascii="Times New Roman" w:eastAsia="Times New Roman" w:hAnsi="Times New Roman" w:cs="Times New Roman"/>
      <w:b/>
      <w:bCs/>
      <w:sz w:val="27"/>
      <w:szCs w:val="27"/>
    </w:rPr>
  </w:style>
  <w:style w:type="paragraph" w:styleId="NormalWeb">
    <w:name w:val="Normal (Web)"/>
    <w:basedOn w:val="Normal"/>
    <w:uiPriority w:val="99"/>
    <w:unhideWhenUsed/>
    <w:rsid w:val="003C6E3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C11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16A"/>
  </w:style>
  <w:style w:type="paragraph" w:styleId="Footer">
    <w:name w:val="footer"/>
    <w:basedOn w:val="Normal"/>
    <w:link w:val="FooterChar"/>
    <w:uiPriority w:val="99"/>
    <w:unhideWhenUsed/>
    <w:rsid w:val="00FC11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16A"/>
  </w:style>
  <w:style w:type="character" w:styleId="Hyperlink">
    <w:name w:val="Hyperlink"/>
    <w:basedOn w:val="DefaultParagraphFont"/>
    <w:uiPriority w:val="99"/>
    <w:unhideWhenUsed/>
    <w:rsid w:val="0011318D"/>
    <w:rPr>
      <w:color w:val="0563C1" w:themeColor="hyperlink"/>
      <w:u w:val="single"/>
    </w:rPr>
  </w:style>
  <w:style w:type="character" w:customStyle="1" w:styleId="Heading1Char">
    <w:name w:val="Heading 1 Char"/>
    <w:basedOn w:val="DefaultParagraphFont"/>
    <w:link w:val="Heading1"/>
    <w:uiPriority w:val="9"/>
    <w:rsid w:val="00EC2E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F065A"/>
    <w:pPr>
      <w:outlineLvl w:val="9"/>
    </w:pPr>
  </w:style>
  <w:style w:type="paragraph" w:styleId="TOC1">
    <w:name w:val="toc 1"/>
    <w:basedOn w:val="Normal"/>
    <w:next w:val="Normal"/>
    <w:autoRedefine/>
    <w:uiPriority w:val="39"/>
    <w:unhideWhenUsed/>
    <w:rsid w:val="004F065A"/>
    <w:pPr>
      <w:spacing w:after="100"/>
    </w:pPr>
  </w:style>
  <w:style w:type="paragraph" w:styleId="TOC2">
    <w:name w:val="toc 2"/>
    <w:basedOn w:val="Normal"/>
    <w:next w:val="Normal"/>
    <w:autoRedefine/>
    <w:uiPriority w:val="39"/>
    <w:unhideWhenUsed/>
    <w:rsid w:val="004F065A"/>
    <w:pPr>
      <w:spacing w:after="100"/>
      <w:ind w:left="220"/>
    </w:pPr>
  </w:style>
  <w:style w:type="paragraph" w:styleId="TOC3">
    <w:name w:val="toc 3"/>
    <w:basedOn w:val="Normal"/>
    <w:next w:val="Normal"/>
    <w:autoRedefine/>
    <w:uiPriority w:val="39"/>
    <w:unhideWhenUsed/>
    <w:rsid w:val="004F065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607245">
      <w:bodyDiv w:val="1"/>
      <w:marLeft w:val="0"/>
      <w:marRight w:val="0"/>
      <w:marTop w:val="0"/>
      <w:marBottom w:val="0"/>
      <w:divBdr>
        <w:top w:val="none" w:sz="0" w:space="0" w:color="auto"/>
        <w:left w:val="none" w:sz="0" w:space="0" w:color="auto"/>
        <w:bottom w:val="none" w:sz="0" w:space="0" w:color="auto"/>
        <w:right w:val="none" w:sz="0" w:space="0" w:color="auto"/>
      </w:divBdr>
    </w:div>
    <w:div w:id="772088875">
      <w:bodyDiv w:val="1"/>
      <w:marLeft w:val="0"/>
      <w:marRight w:val="0"/>
      <w:marTop w:val="0"/>
      <w:marBottom w:val="0"/>
      <w:divBdr>
        <w:top w:val="none" w:sz="0" w:space="0" w:color="auto"/>
        <w:left w:val="none" w:sz="0" w:space="0" w:color="auto"/>
        <w:bottom w:val="none" w:sz="0" w:space="0" w:color="auto"/>
        <w:right w:val="none" w:sz="0" w:space="0" w:color="auto"/>
      </w:divBdr>
    </w:div>
    <w:div w:id="839277407">
      <w:bodyDiv w:val="1"/>
      <w:marLeft w:val="0"/>
      <w:marRight w:val="0"/>
      <w:marTop w:val="0"/>
      <w:marBottom w:val="0"/>
      <w:divBdr>
        <w:top w:val="none" w:sz="0" w:space="0" w:color="auto"/>
        <w:left w:val="none" w:sz="0" w:space="0" w:color="auto"/>
        <w:bottom w:val="none" w:sz="0" w:space="0" w:color="auto"/>
        <w:right w:val="none" w:sz="0" w:space="0" w:color="auto"/>
      </w:divBdr>
    </w:div>
    <w:div w:id="927228173">
      <w:bodyDiv w:val="1"/>
      <w:marLeft w:val="0"/>
      <w:marRight w:val="0"/>
      <w:marTop w:val="0"/>
      <w:marBottom w:val="0"/>
      <w:divBdr>
        <w:top w:val="none" w:sz="0" w:space="0" w:color="auto"/>
        <w:left w:val="none" w:sz="0" w:space="0" w:color="auto"/>
        <w:bottom w:val="none" w:sz="0" w:space="0" w:color="auto"/>
        <w:right w:val="none" w:sz="0" w:space="0" w:color="auto"/>
      </w:divBdr>
    </w:div>
    <w:div w:id="1065759148">
      <w:bodyDiv w:val="1"/>
      <w:marLeft w:val="0"/>
      <w:marRight w:val="0"/>
      <w:marTop w:val="0"/>
      <w:marBottom w:val="0"/>
      <w:divBdr>
        <w:top w:val="none" w:sz="0" w:space="0" w:color="auto"/>
        <w:left w:val="none" w:sz="0" w:space="0" w:color="auto"/>
        <w:bottom w:val="none" w:sz="0" w:space="0" w:color="auto"/>
        <w:right w:val="none" w:sz="0" w:space="0" w:color="auto"/>
      </w:divBdr>
    </w:div>
    <w:div w:id="1153179885">
      <w:bodyDiv w:val="1"/>
      <w:marLeft w:val="0"/>
      <w:marRight w:val="0"/>
      <w:marTop w:val="0"/>
      <w:marBottom w:val="0"/>
      <w:divBdr>
        <w:top w:val="none" w:sz="0" w:space="0" w:color="auto"/>
        <w:left w:val="none" w:sz="0" w:space="0" w:color="auto"/>
        <w:bottom w:val="none" w:sz="0" w:space="0" w:color="auto"/>
        <w:right w:val="none" w:sz="0" w:space="0" w:color="auto"/>
      </w:divBdr>
    </w:div>
    <w:div w:id="1232277569">
      <w:bodyDiv w:val="1"/>
      <w:marLeft w:val="0"/>
      <w:marRight w:val="0"/>
      <w:marTop w:val="0"/>
      <w:marBottom w:val="0"/>
      <w:divBdr>
        <w:top w:val="none" w:sz="0" w:space="0" w:color="auto"/>
        <w:left w:val="none" w:sz="0" w:space="0" w:color="auto"/>
        <w:bottom w:val="none" w:sz="0" w:space="0" w:color="auto"/>
        <w:right w:val="none" w:sz="0" w:space="0" w:color="auto"/>
      </w:divBdr>
    </w:div>
    <w:div w:id="1338382781">
      <w:bodyDiv w:val="1"/>
      <w:marLeft w:val="0"/>
      <w:marRight w:val="0"/>
      <w:marTop w:val="0"/>
      <w:marBottom w:val="0"/>
      <w:divBdr>
        <w:top w:val="none" w:sz="0" w:space="0" w:color="auto"/>
        <w:left w:val="none" w:sz="0" w:space="0" w:color="auto"/>
        <w:bottom w:val="none" w:sz="0" w:space="0" w:color="auto"/>
        <w:right w:val="none" w:sz="0" w:space="0" w:color="auto"/>
      </w:divBdr>
    </w:div>
    <w:div w:id="1347562476">
      <w:bodyDiv w:val="1"/>
      <w:marLeft w:val="0"/>
      <w:marRight w:val="0"/>
      <w:marTop w:val="0"/>
      <w:marBottom w:val="0"/>
      <w:divBdr>
        <w:top w:val="none" w:sz="0" w:space="0" w:color="auto"/>
        <w:left w:val="none" w:sz="0" w:space="0" w:color="auto"/>
        <w:bottom w:val="none" w:sz="0" w:space="0" w:color="auto"/>
        <w:right w:val="none" w:sz="0" w:space="0" w:color="auto"/>
      </w:divBdr>
    </w:div>
    <w:div w:id="1357536370">
      <w:bodyDiv w:val="1"/>
      <w:marLeft w:val="0"/>
      <w:marRight w:val="0"/>
      <w:marTop w:val="0"/>
      <w:marBottom w:val="0"/>
      <w:divBdr>
        <w:top w:val="none" w:sz="0" w:space="0" w:color="auto"/>
        <w:left w:val="none" w:sz="0" w:space="0" w:color="auto"/>
        <w:bottom w:val="none" w:sz="0" w:space="0" w:color="auto"/>
        <w:right w:val="none" w:sz="0" w:space="0" w:color="auto"/>
      </w:divBdr>
    </w:div>
    <w:div w:id="1376464626">
      <w:bodyDiv w:val="1"/>
      <w:marLeft w:val="0"/>
      <w:marRight w:val="0"/>
      <w:marTop w:val="0"/>
      <w:marBottom w:val="0"/>
      <w:divBdr>
        <w:top w:val="none" w:sz="0" w:space="0" w:color="auto"/>
        <w:left w:val="none" w:sz="0" w:space="0" w:color="auto"/>
        <w:bottom w:val="none" w:sz="0" w:space="0" w:color="auto"/>
        <w:right w:val="none" w:sz="0" w:space="0" w:color="auto"/>
      </w:divBdr>
    </w:div>
    <w:div w:id="169071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BFJ-06-2019-0391" TargetMode="External"/><Relationship Id="rId13" Type="http://schemas.openxmlformats.org/officeDocument/2006/relationships/hyperlink" Target="https://doi.org/10.1002/tie.22068" TargetMode="External"/><Relationship Id="rId18" Type="http://schemas.openxmlformats.org/officeDocument/2006/relationships/hyperlink" Target="https://doi.org/10.1016/j.foodcont.2015.01.02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08/BFJ-09-2023-0812" TargetMode="External"/><Relationship Id="rId7" Type="http://schemas.openxmlformats.org/officeDocument/2006/relationships/hyperlink" Target="https://doi.org/10.1007/978-94-017-3471-4_9" TargetMode="External"/><Relationship Id="rId12" Type="http://schemas.openxmlformats.org/officeDocument/2006/relationships/hyperlink" Target="https://doi.org/10.4337/9781839100895.00021" TargetMode="External"/><Relationship Id="rId17" Type="http://schemas.openxmlformats.org/officeDocument/2006/relationships/hyperlink" Target="https://doi.org/10.1016/B978-0-12-820057-5.00002-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15623599.2017.1411456" TargetMode="External"/><Relationship Id="rId20" Type="http://schemas.openxmlformats.org/officeDocument/2006/relationships/hyperlink" Target="https://doi.org/10.59295/mpdnwe2024.5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3063486"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80/09669582.2012.708041" TargetMode="External"/><Relationship Id="rId23" Type="http://schemas.openxmlformats.org/officeDocument/2006/relationships/hyperlink" Target="https://doi.org/10.3390/su11123437" TargetMode="External"/><Relationship Id="rId10" Type="http://schemas.openxmlformats.org/officeDocument/2006/relationships/hyperlink" Target="https://doi.org/10.4324/9780203855416" TargetMode="External"/><Relationship Id="rId19" Type="http://schemas.openxmlformats.org/officeDocument/2006/relationships/hyperlink" Target="https://doi.org/10.1065/lca2006.07.259" TargetMode="External"/><Relationship Id="rId4" Type="http://schemas.openxmlformats.org/officeDocument/2006/relationships/webSettings" Target="webSettings.xml"/><Relationship Id="rId9" Type="http://schemas.openxmlformats.org/officeDocument/2006/relationships/hyperlink" Target="https://doi.org/10.1007/s00769-019-01409-4" TargetMode="External"/><Relationship Id="rId14" Type="http://schemas.openxmlformats.org/officeDocument/2006/relationships/hyperlink" Target="https://doi.org/10.3390/su151310682" TargetMode="External"/><Relationship Id="rId22" Type="http://schemas.openxmlformats.org/officeDocument/2006/relationships/hyperlink" Target="https://doi.org/10.1080/1743873X.2016.1207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ED9F6-4131-443B-9140-88A17CD77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25</Pages>
  <Words>6107</Words>
  <Characters>34814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Technolgies</dc:creator>
  <cp:keywords/>
  <dc:description/>
  <cp:lastModifiedBy>Windows User</cp:lastModifiedBy>
  <cp:revision>139</cp:revision>
  <dcterms:created xsi:type="dcterms:W3CDTF">2025-11-24T07:14:00Z</dcterms:created>
  <dcterms:modified xsi:type="dcterms:W3CDTF">2025-11-28T16:12:00Z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593f62b9-e017-4876-aa5f-c7ab8585c3e8</vt:lpwstr>
  </property>
</Properties>
</file>