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40F509E9" w14:textId="77777777" w:rsidR="00F61E85" w:rsidRDefault="00F61E85" w:rsidP="00F61E85">
      <w:pPr>
        <w:pStyle w:val="ListParagraph"/>
        <w:spacing w:line="276" w:lineRule="auto"/>
        <w:ind w:left="0"/>
        <w:rPr>
          <w:lang w:val="en-US"/>
        </w:rPr>
      </w:pPr>
    </w:p>
    <w:p w14:paraId="0B72972A" w14:textId="77777777" w:rsidR="00F61E85" w:rsidRDefault="00F61E85" w:rsidP="00F61E85">
      <w:pPr>
        <w:pStyle w:val="ListParagraph"/>
        <w:spacing w:line="276" w:lineRule="auto"/>
        <w:rPr>
          <w:b/>
          <w:bCs/>
          <w:lang w:val="en-GB"/>
        </w:rPr>
      </w:pPr>
      <w:r w:rsidRPr="00F61E85">
        <w:rPr>
          <w:b/>
          <w:bCs/>
          <w:lang w:val="en-GB"/>
        </w:rPr>
        <w:lastRenderedPageBreak/>
        <w:t>Part 1: Definition of Key Terms</w:t>
      </w:r>
    </w:p>
    <w:p w14:paraId="66C356C9" w14:textId="77777777" w:rsidR="00F61E85" w:rsidRPr="00F61E85" w:rsidRDefault="00F61E85" w:rsidP="00F61E85">
      <w:pPr>
        <w:pStyle w:val="ListParagraph"/>
        <w:spacing w:line="276" w:lineRule="auto"/>
        <w:rPr>
          <w:b/>
          <w:bCs/>
          <w:lang w:val="en-GB"/>
        </w:rPr>
      </w:pPr>
    </w:p>
    <w:p w14:paraId="461DD636" w14:textId="77777777" w:rsidR="00F61E85" w:rsidRPr="00F61E85" w:rsidRDefault="00F61E85" w:rsidP="00F61E85">
      <w:pPr>
        <w:pStyle w:val="ListParagraph"/>
        <w:spacing w:line="276" w:lineRule="auto"/>
        <w:rPr>
          <w:b/>
          <w:bCs/>
          <w:lang w:val="en-GB"/>
        </w:rPr>
      </w:pPr>
      <w:r w:rsidRPr="00F61E85">
        <w:rPr>
          <w:b/>
          <w:bCs/>
          <w:lang w:val="en-GB"/>
        </w:rPr>
        <w:t>1. Stakeholder</w:t>
      </w:r>
    </w:p>
    <w:p w14:paraId="01AFB90D" w14:textId="77777777" w:rsidR="00F61E85" w:rsidRPr="00F61E85" w:rsidRDefault="00F61E85" w:rsidP="00F61E85">
      <w:pPr>
        <w:pStyle w:val="ListParagraph"/>
        <w:spacing w:line="276" w:lineRule="auto"/>
        <w:rPr>
          <w:lang w:val="en-GB"/>
        </w:rPr>
      </w:pPr>
      <w:r w:rsidRPr="00F61E85">
        <w:rPr>
          <w:lang w:val="en-GB"/>
        </w:rPr>
        <w:t xml:space="preserve">In heritage management, a </w:t>
      </w:r>
      <w:r w:rsidRPr="00F61E85">
        <w:rPr>
          <w:b/>
          <w:bCs/>
          <w:lang w:val="en-GB"/>
        </w:rPr>
        <w:t>stakeholder</w:t>
      </w:r>
      <w:r w:rsidRPr="00F61E85">
        <w:rPr>
          <w:lang w:val="en-GB"/>
        </w:rPr>
        <w:t xml:space="preserve"> is any individual, group, or organization that has a vested interest in, is affected by, or can influence the management and conservation of a heritage site. This includes local businesses, tourists, government agencies, and NGOs. Stakeholders possess economic, social, or political interests but do not necessarily hold legal or customary rights to the heritage resource itself (UNESCO, 2013).</w:t>
      </w:r>
    </w:p>
    <w:p w14:paraId="4D5ADC9F" w14:textId="77777777" w:rsidR="00F61E85" w:rsidRPr="00F61E85" w:rsidRDefault="00F61E85" w:rsidP="00F61E85">
      <w:pPr>
        <w:pStyle w:val="ListParagraph"/>
        <w:spacing w:line="276" w:lineRule="auto"/>
        <w:rPr>
          <w:b/>
          <w:bCs/>
          <w:lang w:val="en-GB"/>
        </w:rPr>
      </w:pPr>
      <w:r w:rsidRPr="00F61E85">
        <w:rPr>
          <w:b/>
          <w:bCs/>
          <w:lang w:val="en-GB"/>
        </w:rPr>
        <w:t>2. Rights Holder</w:t>
      </w:r>
    </w:p>
    <w:p w14:paraId="31CEA2BF" w14:textId="77777777" w:rsidR="00F61E85" w:rsidRPr="00F61E85" w:rsidRDefault="00F61E85" w:rsidP="00F61E85">
      <w:pPr>
        <w:pStyle w:val="ListParagraph"/>
        <w:spacing w:line="276" w:lineRule="auto"/>
        <w:rPr>
          <w:lang w:val="en-GB"/>
        </w:rPr>
      </w:pPr>
      <w:r w:rsidRPr="00F61E85">
        <w:rPr>
          <w:lang w:val="en-GB"/>
        </w:rPr>
        <w:t xml:space="preserve">Unlike a general stakeholder, a </w:t>
      </w:r>
      <w:r w:rsidRPr="00F61E85">
        <w:rPr>
          <w:b/>
          <w:bCs/>
          <w:lang w:val="en-GB"/>
        </w:rPr>
        <w:t>rights holder</w:t>
      </w:r>
      <w:r w:rsidRPr="00F61E85">
        <w:rPr>
          <w:lang w:val="en-GB"/>
        </w:rPr>
        <w:t xml:space="preserve"> possesses legitimate, legal, or customary entitlements over a heritage site and its resources. This typically includes Indigenous peoples, traditional owners, and local communities who hold ancestral ties, land deeds, or recognized cultural rights to the site. Their involvement is a matter of legal and ethical obligation, often tied to frameworks like the UN Declaration on the Rights of Indigenous Peoples (UNDRIP), rather than just optional consultation (Court &amp; Wijesuriya, 2015).</w:t>
      </w:r>
    </w:p>
    <w:p w14:paraId="5F4641D7" w14:textId="77777777" w:rsidR="00F61E85" w:rsidRPr="00F61E85" w:rsidRDefault="00F61E85" w:rsidP="00F61E85">
      <w:pPr>
        <w:pStyle w:val="ListParagraph"/>
        <w:spacing w:line="276" w:lineRule="auto"/>
        <w:rPr>
          <w:b/>
          <w:bCs/>
          <w:lang w:val="en-GB"/>
        </w:rPr>
      </w:pPr>
      <w:r w:rsidRPr="00F61E85">
        <w:rPr>
          <w:b/>
          <w:bCs/>
          <w:lang w:val="en-GB"/>
        </w:rPr>
        <w:t>3. People-</w:t>
      </w:r>
      <w:proofErr w:type="spellStart"/>
      <w:r w:rsidRPr="00F61E85">
        <w:rPr>
          <w:b/>
          <w:bCs/>
          <w:lang w:val="en-GB"/>
        </w:rPr>
        <w:t>Centered</w:t>
      </w:r>
      <w:proofErr w:type="spellEnd"/>
      <w:r w:rsidRPr="00F61E85">
        <w:rPr>
          <w:b/>
          <w:bCs/>
          <w:lang w:val="en-GB"/>
        </w:rPr>
        <w:t xml:space="preserve"> Heritage Management</w:t>
      </w:r>
    </w:p>
    <w:p w14:paraId="2558C7BF" w14:textId="77777777" w:rsidR="00F61E85" w:rsidRPr="00F61E85" w:rsidRDefault="00F61E85" w:rsidP="00F61E85">
      <w:pPr>
        <w:pStyle w:val="ListParagraph"/>
        <w:spacing w:line="276" w:lineRule="auto"/>
        <w:rPr>
          <w:lang w:val="en-GB"/>
        </w:rPr>
      </w:pPr>
      <w:r w:rsidRPr="00F61E85">
        <w:rPr>
          <w:lang w:val="en-GB"/>
        </w:rPr>
        <w:t xml:space="preserve">This approach shifts the focus of conservation from merely preserving physical material (the fabric of a site) to fostering the relationships between </w:t>
      </w:r>
      <w:r w:rsidRPr="00F61E85">
        <w:rPr>
          <w:b/>
          <w:bCs/>
          <w:lang w:val="en-GB"/>
        </w:rPr>
        <w:t>human communities and their heritage</w:t>
      </w:r>
      <w:r w:rsidRPr="00F61E85">
        <w:rPr>
          <w:lang w:val="en-GB"/>
        </w:rPr>
        <w:t>. It prioritizes the well-being of local communities, ensures their active participation in decision-making, and recognizes that heritage is dynamic and sustained by living culture. It aims to ensure that conservation delivers social and economic benefits to the people living in and around the site (Wijesuriya et al., 2013).</w:t>
      </w:r>
    </w:p>
    <w:p w14:paraId="59F3C0C7" w14:textId="77777777" w:rsidR="00F61E85" w:rsidRPr="00F61E85" w:rsidRDefault="00F61E85" w:rsidP="00F61E85">
      <w:pPr>
        <w:pStyle w:val="ListParagraph"/>
        <w:spacing w:line="276" w:lineRule="auto"/>
        <w:rPr>
          <w:b/>
          <w:bCs/>
          <w:lang w:val="en-GB"/>
        </w:rPr>
      </w:pPr>
      <w:r w:rsidRPr="00F61E85">
        <w:rPr>
          <w:b/>
          <w:bCs/>
          <w:lang w:val="en-GB"/>
        </w:rPr>
        <w:t>4. Capacity Building</w:t>
      </w:r>
    </w:p>
    <w:p w14:paraId="77377CB0" w14:textId="77777777" w:rsidR="00F61E85" w:rsidRPr="00F61E85" w:rsidRDefault="00F61E85" w:rsidP="00F61E85">
      <w:pPr>
        <w:pStyle w:val="ListParagraph"/>
        <w:spacing w:line="276" w:lineRule="auto"/>
        <w:rPr>
          <w:lang w:val="en-GB"/>
        </w:rPr>
      </w:pPr>
      <w:r w:rsidRPr="00F61E85">
        <w:rPr>
          <w:lang w:val="en-GB"/>
        </w:rPr>
        <w:t xml:space="preserve">In this context, </w:t>
      </w:r>
      <w:r w:rsidRPr="00F61E85">
        <w:rPr>
          <w:b/>
          <w:bCs/>
          <w:lang w:val="en-GB"/>
        </w:rPr>
        <w:t>capacity building</w:t>
      </w:r>
      <w:r w:rsidRPr="00F61E85">
        <w:rPr>
          <w:lang w:val="en-GB"/>
        </w:rPr>
        <w:t xml:space="preserve"> refers to the structured process of strengthening the knowledge, skills, resources, and institutional capabilities of all actors involved in heritage management—particularly local communities and practitioners. It is not just about training experts; it focuses on empowering rights holders and stakeholders to sustainably manage, govern, and benefit from their cultural and natural heritage over the long term (ICCROM, 2020).</w:t>
      </w:r>
    </w:p>
    <w:p w14:paraId="615336EA" w14:textId="77777777" w:rsidR="00F61E85" w:rsidRDefault="00F61E85" w:rsidP="00F61E85">
      <w:pPr>
        <w:pStyle w:val="ListParagraph"/>
        <w:spacing w:line="276" w:lineRule="auto"/>
        <w:rPr>
          <w:b/>
          <w:bCs/>
          <w:lang w:val="en-GB"/>
        </w:rPr>
      </w:pPr>
    </w:p>
    <w:p w14:paraId="3EC37921" w14:textId="77777777" w:rsidR="00F61E85" w:rsidRDefault="00F61E85" w:rsidP="00F61E85">
      <w:pPr>
        <w:pStyle w:val="ListParagraph"/>
        <w:spacing w:line="276" w:lineRule="auto"/>
        <w:rPr>
          <w:b/>
          <w:bCs/>
          <w:lang w:val="en-GB"/>
        </w:rPr>
      </w:pPr>
    </w:p>
    <w:p w14:paraId="7340FA6F" w14:textId="77777777" w:rsidR="00F61E85" w:rsidRDefault="00F61E85" w:rsidP="00F61E85">
      <w:pPr>
        <w:pStyle w:val="ListParagraph"/>
        <w:spacing w:line="276" w:lineRule="auto"/>
        <w:rPr>
          <w:b/>
          <w:bCs/>
          <w:lang w:val="en-GB"/>
        </w:rPr>
      </w:pPr>
    </w:p>
    <w:p w14:paraId="582269CE" w14:textId="77777777" w:rsidR="00F61E85" w:rsidRDefault="00F61E85" w:rsidP="00F61E85">
      <w:pPr>
        <w:pStyle w:val="ListParagraph"/>
        <w:spacing w:line="276" w:lineRule="auto"/>
        <w:rPr>
          <w:b/>
          <w:bCs/>
          <w:lang w:val="en-GB"/>
        </w:rPr>
      </w:pPr>
    </w:p>
    <w:p w14:paraId="6B014F13" w14:textId="77777777" w:rsidR="00F61E85" w:rsidRDefault="00F61E85" w:rsidP="00F61E85">
      <w:pPr>
        <w:pStyle w:val="ListParagraph"/>
        <w:spacing w:line="276" w:lineRule="auto"/>
        <w:rPr>
          <w:b/>
          <w:bCs/>
          <w:lang w:val="en-GB"/>
        </w:rPr>
      </w:pPr>
    </w:p>
    <w:p w14:paraId="3493EE74" w14:textId="77777777" w:rsidR="00F61E85" w:rsidRDefault="00F61E85" w:rsidP="00F61E85">
      <w:pPr>
        <w:pStyle w:val="ListParagraph"/>
        <w:spacing w:line="276" w:lineRule="auto"/>
        <w:rPr>
          <w:b/>
          <w:bCs/>
          <w:lang w:val="en-GB"/>
        </w:rPr>
      </w:pPr>
    </w:p>
    <w:p w14:paraId="00C37345" w14:textId="77777777" w:rsidR="00F61E85" w:rsidRDefault="00F61E85" w:rsidP="00F61E85">
      <w:pPr>
        <w:pStyle w:val="ListParagraph"/>
        <w:spacing w:line="276" w:lineRule="auto"/>
        <w:rPr>
          <w:b/>
          <w:bCs/>
          <w:lang w:val="en-GB"/>
        </w:rPr>
      </w:pPr>
    </w:p>
    <w:p w14:paraId="0D1418CE" w14:textId="77777777" w:rsidR="00F61E85" w:rsidRDefault="00F61E85" w:rsidP="00F61E85">
      <w:pPr>
        <w:pStyle w:val="ListParagraph"/>
        <w:spacing w:line="276" w:lineRule="auto"/>
        <w:rPr>
          <w:b/>
          <w:bCs/>
          <w:lang w:val="en-GB"/>
        </w:rPr>
      </w:pPr>
    </w:p>
    <w:p w14:paraId="773C8C85" w14:textId="77777777" w:rsidR="00F61E85" w:rsidRDefault="00F61E85" w:rsidP="00F61E85">
      <w:pPr>
        <w:pStyle w:val="ListParagraph"/>
        <w:spacing w:line="276" w:lineRule="auto"/>
        <w:rPr>
          <w:b/>
          <w:bCs/>
          <w:lang w:val="en-GB"/>
        </w:rPr>
      </w:pPr>
    </w:p>
    <w:p w14:paraId="1ECCE804" w14:textId="77777777" w:rsidR="00F61E85" w:rsidRDefault="00F61E85" w:rsidP="00F61E85">
      <w:pPr>
        <w:pStyle w:val="ListParagraph"/>
        <w:spacing w:line="276" w:lineRule="auto"/>
        <w:rPr>
          <w:b/>
          <w:bCs/>
          <w:lang w:val="en-GB"/>
        </w:rPr>
      </w:pPr>
    </w:p>
    <w:p w14:paraId="13C41B03" w14:textId="35ED9933" w:rsidR="00F61E85" w:rsidRDefault="00F61E85" w:rsidP="00F61E85">
      <w:pPr>
        <w:pStyle w:val="ListParagraph"/>
        <w:spacing w:line="276" w:lineRule="auto"/>
        <w:rPr>
          <w:b/>
          <w:bCs/>
          <w:lang w:val="en-GB"/>
        </w:rPr>
      </w:pPr>
      <w:r w:rsidRPr="00F61E85">
        <w:rPr>
          <w:b/>
          <w:bCs/>
          <w:lang w:val="en-GB"/>
        </w:rPr>
        <w:t>Part 2: Heritage Site Analysis – Angkor Archaeological Park</w:t>
      </w:r>
    </w:p>
    <w:p w14:paraId="2452EFF5" w14:textId="77777777" w:rsidR="00F61E85" w:rsidRPr="00F61E85" w:rsidRDefault="00F61E85" w:rsidP="00F61E85">
      <w:pPr>
        <w:pStyle w:val="ListParagraph"/>
        <w:spacing w:line="276" w:lineRule="auto"/>
        <w:rPr>
          <w:b/>
          <w:bCs/>
          <w:lang w:val="en-GB"/>
        </w:rPr>
      </w:pPr>
    </w:p>
    <w:p w14:paraId="654CF111" w14:textId="77777777" w:rsidR="00F61E85" w:rsidRPr="00F61E85" w:rsidRDefault="00F61E85" w:rsidP="00F61E85">
      <w:pPr>
        <w:pStyle w:val="ListParagraph"/>
        <w:spacing w:line="276" w:lineRule="auto"/>
        <w:rPr>
          <w:b/>
          <w:bCs/>
          <w:lang w:val="en-GB"/>
        </w:rPr>
      </w:pPr>
      <w:r w:rsidRPr="00F61E85">
        <w:rPr>
          <w:b/>
          <w:bCs/>
          <w:lang w:val="en-GB"/>
        </w:rPr>
        <w:t>Management Approach Analysis: Values-Based Moving Toward People-</w:t>
      </w:r>
      <w:proofErr w:type="spellStart"/>
      <w:r w:rsidRPr="00F61E85">
        <w:rPr>
          <w:b/>
          <w:bCs/>
          <w:lang w:val="en-GB"/>
        </w:rPr>
        <w:t>Centered</w:t>
      </w:r>
      <w:proofErr w:type="spellEnd"/>
    </w:p>
    <w:p w14:paraId="53C9151B" w14:textId="77777777" w:rsidR="00F61E85" w:rsidRPr="00F61E85" w:rsidRDefault="00F61E85" w:rsidP="00F61E85">
      <w:pPr>
        <w:pStyle w:val="ListParagraph"/>
        <w:spacing w:line="276" w:lineRule="auto"/>
        <w:rPr>
          <w:lang w:val="en-GB"/>
        </w:rPr>
      </w:pPr>
      <w:r w:rsidRPr="00F61E85">
        <w:rPr>
          <w:b/>
          <w:bCs/>
          <w:lang w:val="en-GB"/>
        </w:rPr>
        <w:t>Angkor Archaeological Park</w:t>
      </w:r>
      <w:r w:rsidRPr="00F61E85">
        <w:rPr>
          <w:lang w:val="en-GB"/>
        </w:rPr>
        <w:t xml:space="preserve"> in Cambodia, a massive UNESCO World Heritage site, provides an excellent case study for </w:t>
      </w:r>
      <w:proofErr w:type="spellStart"/>
      <w:r w:rsidRPr="00F61E85">
        <w:rPr>
          <w:lang w:val="en-GB"/>
        </w:rPr>
        <w:t>analyzing</w:t>
      </w:r>
      <w:proofErr w:type="spellEnd"/>
      <w:r w:rsidRPr="00F61E85">
        <w:rPr>
          <w:lang w:val="en-GB"/>
        </w:rPr>
        <w:t xml:space="preserve"> evolving management paradigms. Historically initiated under an </w:t>
      </w:r>
      <w:r w:rsidRPr="00F61E85">
        <w:rPr>
          <w:b/>
          <w:bCs/>
          <w:lang w:val="en-GB"/>
        </w:rPr>
        <w:t>expert-</w:t>
      </w:r>
      <w:proofErr w:type="spellStart"/>
      <w:r w:rsidRPr="00F61E85">
        <w:rPr>
          <w:b/>
          <w:bCs/>
          <w:lang w:val="en-GB"/>
        </w:rPr>
        <w:t>centered</w:t>
      </w:r>
      <w:proofErr w:type="spellEnd"/>
      <w:r w:rsidRPr="00F61E85">
        <w:rPr>
          <w:lang w:val="en-GB"/>
        </w:rPr>
        <w:t xml:space="preserve"> model during the colonial and early post-conflict eras, management was heavily dominated by international archaeologists, architects, and state elites (APSARA National Authority) focused strictly on the structural restoration of stone monuments (Sullivan, 2016).</w:t>
      </w:r>
    </w:p>
    <w:p w14:paraId="643B9748" w14:textId="77777777" w:rsidR="00F61E85" w:rsidRPr="00F61E85" w:rsidRDefault="00F61E85" w:rsidP="00F61E85">
      <w:pPr>
        <w:pStyle w:val="ListParagraph"/>
        <w:spacing w:line="276" w:lineRule="auto"/>
        <w:rPr>
          <w:lang w:val="en-GB"/>
        </w:rPr>
      </w:pPr>
      <w:r w:rsidRPr="00F61E85">
        <w:rPr>
          <w:lang w:val="en-GB"/>
        </w:rPr>
        <w:t xml:space="preserve">Over the last two decades, Angkor transitioned firmly into a </w:t>
      </w:r>
      <w:r w:rsidRPr="00F61E85">
        <w:rPr>
          <w:b/>
          <w:bCs/>
          <w:lang w:val="en-GB"/>
        </w:rPr>
        <w:t>values-based approach</w:t>
      </w:r>
      <w:r w:rsidRPr="00F61E85">
        <w:rPr>
          <w:lang w:val="en-GB"/>
        </w:rPr>
        <w:t>. This model acknowledges that the site holds diverse values beyond architectural aesthetics, including historical, religious, economic (tourism), and ecological importance. Management frameworks began balancing tourist infrastructure development with the preservation of Angkor as a sacred, living religious site for Cambodian Buddhists (Miura, 2013).</w:t>
      </w:r>
    </w:p>
    <w:p w14:paraId="5D278344" w14:textId="77777777" w:rsidR="00F61E85" w:rsidRPr="00F61E85" w:rsidRDefault="00F61E85" w:rsidP="00F61E85">
      <w:pPr>
        <w:pStyle w:val="ListParagraph"/>
        <w:spacing w:line="276" w:lineRule="auto"/>
        <w:rPr>
          <w:lang w:val="en-GB"/>
        </w:rPr>
      </w:pPr>
      <w:r w:rsidRPr="00F61E85">
        <w:rPr>
          <w:lang w:val="en-GB"/>
        </w:rPr>
        <w:t xml:space="preserve">Currently, Angkor is explicitly attempting to transition into a </w:t>
      </w:r>
      <w:r w:rsidRPr="00F61E85">
        <w:rPr>
          <w:b/>
          <w:bCs/>
          <w:lang w:val="en-GB"/>
        </w:rPr>
        <w:t>people-</w:t>
      </w:r>
      <w:proofErr w:type="spellStart"/>
      <w:r w:rsidRPr="00F61E85">
        <w:rPr>
          <w:b/>
          <w:bCs/>
          <w:lang w:val="en-GB"/>
        </w:rPr>
        <w:t>centered</w:t>
      </w:r>
      <w:proofErr w:type="spellEnd"/>
      <w:r w:rsidRPr="00F61E85">
        <w:rPr>
          <w:b/>
          <w:bCs/>
          <w:lang w:val="en-GB"/>
        </w:rPr>
        <w:t xml:space="preserve"> approach</w:t>
      </w:r>
      <w:r w:rsidRPr="00F61E85">
        <w:rPr>
          <w:lang w:val="en-GB"/>
        </w:rPr>
        <w:t>, though challenges remain.</w:t>
      </w:r>
    </w:p>
    <w:p w14:paraId="4FE3A6F0" w14:textId="77777777" w:rsidR="00F61E85" w:rsidRPr="00F61E85" w:rsidRDefault="00F61E85" w:rsidP="00F61E85">
      <w:pPr>
        <w:pStyle w:val="ListParagraph"/>
        <w:numPr>
          <w:ilvl w:val="0"/>
          <w:numId w:val="13"/>
        </w:numPr>
        <w:spacing w:line="276" w:lineRule="auto"/>
        <w:rPr>
          <w:lang w:val="en-GB"/>
        </w:rPr>
      </w:pPr>
      <w:r w:rsidRPr="00F61E85">
        <w:rPr>
          <w:b/>
          <w:bCs/>
          <w:lang w:val="en-GB"/>
        </w:rPr>
        <w:t>Community Integration:</w:t>
      </w:r>
      <w:r w:rsidRPr="00F61E85">
        <w:rPr>
          <w:lang w:val="en-GB"/>
        </w:rPr>
        <w:t xml:space="preserve"> Over 100,000 local villagers live within the protected park boundaries. Modern management frameworks by the APSARA Authority increasingly recognize these residents not as intruders, but as essential partners whose traditional agricultural practices and religious rituals constitute the living heritage of the landscape.</w:t>
      </w:r>
    </w:p>
    <w:p w14:paraId="6B8819DB" w14:textId="77777777" w:rsidR="00F61E85" w:rsidRPr="00F61E85" w:rsidRDefault="00F61E85" w:rsidP="00F61E85">
      <w:pPr>
        <w:pStyle w:val="ListParagraph"/>
        <w:numPr>
          <w:ilvl w:val="0"/>
          <w:numId w:val="13"/>
        </w:numPr>
        <w:spacing w:line="276" w:lineRule="auto"/>
        <w:rPr>
          <w:lang w:val="en-GB"/>
        </w:rPr>
      </w:pPr>
      <w:r w:rsidRPr="00F61E85">
        <w:rPr>
          <w:b/>
          <w:bCs/>
          <w:lang w:val="en-GB"/>
        </w:rPr>
        <w:t>The Conflict:</w:t>
      </w:r>
      <w:r w:rsidRPr="00F61E85">
        <w:rPr>
          <w:lang w:val="en-GB"/>
        </w:rPr>
        <w:t xml:space="preserve"> Despite policies aiming for community inclusion, remnants of top-down governance persist. Rapid tourism growth and strict conservation zoning have occasionally led to friction regarding land-use restrictions and resettlement policies, demonstrating that achieving a true, equitable people-</w:t>
      </w:r>
      <w:proofErr w:type="spellStart"/>
      <w:r w:rsidRPr="00F61E85">
        <w:rPr>
          <w:lang w:val="en-GB"/>
        </w:rPr>
        <w:t>centered</w:t>
      </w:r>
      <w:proofErr w:type="spellEnd"/>
      <w:r w:rsidRPr="00F61E85">
        <w:rPr>
          <w:lang w:val="en-GB"/>
        </w:rPr>
        <w:t xml:space="preserve"> model is an ongoing process of negotiation (Lloyd, 2019).</w:t>
      </w:r>
    </w:p>
    <w:p w14:paraId="5F54CA23" w14:textId="77777777" w:rsidR="00F61E85" w:rsidRPr="00F61E85" w:rsidRDefault="00F61E85" w:rsidP="00F61E85">
      <w:pPr>
        <w:pStyle w:val="ListParagraph"/>
        <w:spacing w:line="276" w:lineRule="auto"/>
        <w:rPr>
          <w:lang w:val="en-GB"/>
        </w:rPr>
      </w:pPr>
      <w:r w:rsidRPr="00F61E85">
        <w:rPr>
          <w:lang w:val="en-GB"/>
        </w:rPr>
        <w:t xml:space="preserve">In conclusion, while Angkor’s management is rooted in a </w:t>
      </w:r>
      <w:r w:rsidRPr="00F61E85">
        <w:rPr>
          <w:b/>
          <w:bCs/>
          <w:lang w:val="en-GB"/>
        </w:rPr>
        <w:t>values-based</w:t>
      </w:r>
      <w:r w:rsidRPr="00F61E85">
        <w:rPr>
          <w:lang w:val="en-GB"/>
        </w:rPr>
        <w:t xml:space="preserve"> framework that protects multi-faceted significance, its operational future relies heavily on fully realizing a </w:t>
      </w:r>
      <w:r w:rsidRPr="00F61E85">
        <w:rPr>
          <w:b/>
          <w:bCs/>
          <w:lang w:val="en-GB"/>
        </w:rPr>
        <w:t>people-</w:t>
      </w:r>
      <w:proofErr w:type="spellStart"/>
      <w:r w:rsidRPr="00F61E85">
        <w:rPr>
          <w:b/>
          <w:bCs/>
          <w:lang w:val="en-GB"/>
        </w:rPr>
        <w:t>centered</w:t>
      </w:r>
      <w:proofErr w:type="spellEnd"/>
      <w:r w:rsidRPr="00F61E85">
        <w:rPr>
          <w:lang w:val="en-GB"/>
        </w:rPr>
        <w:t xml:space="preserve"> approach that balances monument preservation with the rights and livelihoods of its resident communities.</w:t>
      </w:r>
    </w:p>
    <w:p w14:paraId="506235E6" w14:textId="77777777" w:rsidR="00F61E85" w:rsidRDefault="00F61E85" w:rsidP="00F61E85">
      <w:pPr>
        <w:pStyle w:val="ListParagraph"/>
        <w:spacing w:line="276" w:lineRule="auto"/>
        <w:ind w:left="0"/>
        <w:rPr>
          <w:lang w:val="en-US"/>
        </w:rPr>
      </w:pPr>
    </w:p>
    <w:p w14:paraId="70220648" w14:textId="77777777" w:rsidR="00F61E85" w:rsidRDefault="00F61E85" w:rsidP="00F61E85">
      <w:pPr>
        <w:pStyle w:val="ListParagraph"/>
        <w:spacing w:line="276" w:lineRule="auto"/>
        <w:ind w:left="0"/>
        <w:rPr>
          <w:lang w:val="en-US"/>
        </w:rPr>
      </w:pPr>
    </w:p>
    <w:p w14:paraId="1C64443E" w14:textId="77777777" w:rsidR="00F61E85" w:rsidRDefault="00F61E85" w:rsidP="00F61E85">
      <w:pPr>
        <w:pStyle w:val="ListParagraph"/>
        <w:spacing w:line="276" w:lineRule="auto"/>
        <w:ind w:left="0"/>
        <w:rPr>
          <w:lang w:val="en-US"/>
        </w:rPr>
      </w:pPr>
    </w:p>
    <w:p w14:paraId="44AE0486" w14:textId="77777777" w:rsidR="00F61E85" w:rsidRDefault="00F61E85" w:rsidP="00F61E85">
      <w:pPr>
        <w:pStyle w:val="ListParagraph"/>
        <w:spacing w:line="276" w:lineRule="auto"/>
        <w:ind w:left="0"/>
        <w:rPr>
          <w:lang w:val="en-US"/>
        </w:rPr>
      </w:pPr>
    </w:p>
    <w:p w14:paraId="399EC9E5" w14:textId="77777777" w:rsidR="00F61E85" w:rsidRDefault="00F61E85" w:rsidP="00F61E85">
      <w:pPr>
        <w:pStyle w:val="ListParagraph"/>
        <w:spacing w:line="276" w:lineRule="auto"/>
        <w:ind w:left="0"/>
        <w:rPr>
          <w:lang w:val="en-US"/>
        </w:rPr>
      </w:pPr>
    </w:p>
    <w:p w14:paraId="6BCB8741" w14:textId="77777777" w:rsidR="00F61E85" w:rsidRDefault="00F61E85" w:rsidP="00F61E85">
      <w:pPr>
        <w:pStyle w:val="ListParagraph"/>
        <w:spacing w:line="276" w:lineRule="auto"/>
        <w:ind w:left="0"/>
        <w:rPr>
          <w:lang w:val="en-US"/>
        </w:rPr>
      </w:pPr>
    </w:p>
    <w:p w14:paraId="7084B0A4" w14:textId="77777777" w:rsidR="00F61E85" w:rsidRDefault="00F61E85" w:rsidP="00F61E85">
      <w:pPr>
        <w:pStyle w:val="ListParagraph"/>
        <w:spacing w:line="276" w:lineRule="auto"/>
        <w:ind w:left="0"/>
        <w:rPr>
          <w:lang w:val="en-US"/>
        </w:rPr>
      </w:pPr>
    </w:p>
    <w:p w14:paraId="250A17B9" w14:textId="77777777" w:rsidR="00F61E85" w:rsidRDefault="00F61E85" w:rsidP="00F61E85">
      <w:pPr>
        <w:pStyle w:val="ListParagraph"/>
        <w:spacing w:line="276" w:lineRule="auto"/>
        <w:ind w:left="0"/>
        <w:rPr>
          <w:lang w:val="en-US"/>
        </w:rPr>
      </w:pPr>
    </w:p>
    <w:p w14:paraId="55A47958" w14:textId="77777777" w:rsidR="00F61E85" w:rsidRDefault="00F61E85" w:rsidP="00F61E85">
      <w:pPr>
        <w:pStyle w:val="ListParagraph"/>
        <w:spacing w:line="276" w:lineRule="auto"/>
        <w:ind w:left="0"/>
        <w:rPr>
          <w:lang w:val="en-US"/>
        </w:rPr>
      </w:pPr>
    </w:p>
    <w:p w14:paraId="7CDF236E" w14:textId="0E866A30" w:rsidR="00F61E85" w:rsidRPr="00F61E85" w:rsidRDefault="00F61E85" w:rsidP="00F61E85">
      <w:pPr>
        <w:pStyle w:val="ListParagraph"/>
        <w:spacing w:line="276" w:lineRule="auto"/>
        <w:ind w:left="0"/>
        <w:rPr>
          <w:b/>
          <w:bCs/>
          <w:lang w:val="en-GB"/>
        </w:rPr>
      </w:pPr>
      <w:r w:rsidRPr="00F61E85">
        <w:rPr>
          <w:b/>
          <w:bCs/>
          <w:lang w:val="en-GB"/>
        </w:rPr>
        <w:lastRenderedPageBreak/>
        <w:t>References &amp; DOIs</w:t>
      </w:r>
    </w:p>
    <w:p w14:paraId="175F321E" w14:textId="77777777" w:rsidR="00F61E85" w:rsidRPr="00F61E85" w:rsidRDefault="00F61E85" w:rsidP="00F61E85">
      <w:pPr>
        <w:pStyle w:val="ListParagraph"/>
        <w:numPr>
          <w:ilvl w:val="0"/>
          <w:numId w:val="12"/>
        </w:numPr>
        <w:spacing w:line="276" w:lineRule="auto"/>
        <w:rPr>
          <w:lang w:val="en-GB"/>
        </w:rPr>
      </w:pPr>
      <w:r w:rsidRPr="00F61E85">
        <w:rPr>
          <w:lang w:val="en-GB"/>
        </w:rPr>
        <w:t xml:space="preserve">Court, S., &amp; Wijesuriya, G. (2015). </w:t>
      </w:r>
      <w:r w:rsidRPr="00F61E85">
        <w:rPr>
          <w:i/>
          <w:iCs/>
          <w:lang w:val="en-GB"/>
        </w:rPr>
        <w:t>People-Centred Approaches to the Conservation of Cultural Heritage: Living Heritage</w:t>
      </w:r>
      <w:r w:rsidRPr="00F61E85">
        <w:rPr>
          <w:lang w:val="en-GB"/>
        </w:rPr>
        <w:t xml:space="preserve">. ICCROM. </w:t>
      </w:r>
      <w:hyperlink r:id="rId6" w:tgtFrame="_blank" w:history="1">
        <w:r w:rsidRPr="00F61E85">
          <w:rPr>
            <w:rStyle w:val="Hyperlink"/>
            <w:lang w:val="en-GB"/>
          </w:rPr>
          <w:t>https://www.iccrom.org/sites/default/files/2018-01/people-centred_approaches_to_the_conservation_of_cultural_heritage_en.pdf</w:t>
        </w:r>
      </w:hyperlink>
    </w:p>
    <w:p w14:paraId="3A1265D1" w14:textId="77777777" w:rsidR="00F61E85" w:rsidRPr="00F61E85" w:rsidRDefault="00F61E85" w:rsidP="00F61E85">
      <w:pPr>
        <w:pStyle w:val="ListParagraph"/>
        <w:numPr>
          <w:ilvl w:val="0"/>
          <w:numId w:val="12"/>
        </w:numPr>
        <w:spacing w:line="276" w:lineRule="auto"/>
        <w:rPr>
          <w:lang w:val="en-GB"/>
        </w:rPr>
      </w:pPr>
      <w:r w:rsidRPr="00F61E85">
        <w:rPr>
          <w:lang w:val="en-GB"/>
        </w:rPr>
        <w:t xml:space="preserve">ICCROM. (2020). </w:t>
      </w:r>
      <w:r w:rsidRPr="00F61E85">
        <w:rPr>
          <w:i/>
          <w:iCs/>
          <w:lang w:val="en-GB"/>
        </w:rPr>
        <w:t>World Heritage Capacity Building Strategy</w:t>
      </w:r>
      <w:r w:rsidRPr="00F61E85">
        <w:rPr>
          <w:lang w:val="en-GB"/>
        </w:rPr>
        <w:t xml:space="preserve">. UNESCO World Heritage Centre. </w:t>
      </w:r>
      <w:hyperlink r:id="rId7" w:tgtFrame="_blank" w:history="1">
        <w:r w:rsidRPr="00F61E85">
          <w:rPr>
            <w:rStyle w:val="Hyperlink"/>
            <w:lang w:val="en-GB"/>
          </w:rPr>
          <w:t>https://whc.unesco.org/en/capacity-building/</w:t>
        </w:r>
      </w:hyperlink>
    </w:p>
    <w:p w14:paraId="6ED8D040" w14:textId="77777777" w:rsidR="00F61E85" w:rsidRPr="00F61E85" w:rsidRDefault="00F61E85" w:rsidP="00F61E85">
      <w:pPr>
        <w:pStyle w:val="ListParagraph"/>
        <w:numPr>
          <w:ilvl w:val="0"/>
          <w:numId w:val="12"/>
        </w:numPr>
        <w:spacing w:line="276" w:lineRule="auto"/>
        <w:rPr>
          <w:lang w:val="en-GB"/>
        </w:rPr>
      </w:pPr>
      <w:r w:rsidRPr="00F61E85">
        <w:rPr>
          <w:lang w:val="en-GB"/>
        </w:rPr>
        <w:t xml:space="preserve">Wijesuriya, G., Thompson, J., &amp; Court, S. (2013). People-Centred Approaches: Sharing a World Heritage Perspective. </w:t>
      </w:r>
      <w:r w:rsidRPr="00F61E85">
        <w:rPr>
          <w:i/>
          <w:iCs/>
          <w:lang w:val="en-GB"/>
        </w:rPr>
        <w:t>Conservation and Management of Archaeological Sites</w:t>
      </w:r>
      <w:r w:rsidRPr="00F61E85">
        <w:rPr>
          <w:lang w:val="en-GB"/>
        </w:rPr>
        <w:t xml:space="preserve">, 15(1), 126-133. </w:t>
      </w:r>
      <w:hyperlink r:id="rId8" w:tgtFrame="_blank" w:history="1">
        <w:r w:rsidRPr="00F61E85">
          <w:rPr>
            <w:rStyle w:val="Hyperlink"/>
            <w:lang w:val="en-GB"/>
          </w:rPr>
          <w:t>https://doi.org/10.1179/1350503313Z.00000000049</w:t>
        </w:r>
      </w:hyperlink>
    </w:p>
    <w:p w14:paraId="7D7776FB" w14:textId="30923981" w:rsidR="00F61E85" w:rsidRDefault="00F61E85" w:rsidP="00F61E85">
      <w:pPr>
        <w:pStyle w:val="ListParagraph"/>
        <w:numPr>
          <w:ilvl w:val="0"/>
          <w:numId w:val="12"/>
        </w:numPr>
        <w:spacing w:line="276" w:lineRule="auto"/>
        <w:rPr>
          <w:lang w:val="en-GB"/>
        </w:rPr>
      </w:pPr>
      <w:r w:rsidRPr="00F61E85">
        <w:rPr>
          <w:lang w:val="en-GB"/>
        </w:rPr>
        <w:t xml:space="preserve">Lloyd, K. (2019). Safeguarding living heritage: Community participation and challenges in Angkor, Cambodia. International Journal of Heritage Studies, 25(8), 814-828. </w:t>
      </w:r>
      <w:hyperlink r:id="rId9" w:history="1">
        <w:r w:rsidRPr="002A275F">
          <w:rPr>
            <w:rStyle w:val="Hyperlink"/>
            <w:lang w:val="en-GB"/>
          </w:rPr>
          <w:t>https://doi.org/10.1080/13527258.2018.154423</w:t>
        </w:r>
        <w:r w:rsidRPr="002A275F">
          <w:rPr>
            <w:rStyle w:val="Hyperlink"/>
            <w:lang w:val="en-GB"/>
          </w:rPr>
          <w:t>4</w:t>
        </w:r>
      </w:hyperlink>
    </w:p>
    <w:p w14:paraId="6B1C8606" w14:textId="77777777" w:rsidR="00F61E85" w:rsidRPr="00F61E85" w:rsidRDefault="00F61E85" w:rsidP="00F61E85">
      <w:pPr>
        <w:pStyle w:val="ListParagraph"/>
        <w:spacing w:line="276" w:lineRule="auto"/>
        <w:ind w:left="0"/>
        <w:rPr>
          <w:lang w:val="en-GB"/>
        </w:rPr>
      </w:pPr>
    </w:p>
    <w:p w14:paraId="0179389E" w14:textId="730A18AA" w:rsidR="00F61E85" w:rsidRPr="00F61E85" w:rsidRDefault="00F61E85" w:rsidP="00F61E85">
      <w:pPr>
        <w:pStyle w:val="ListParagraph"/>
        <w:numPr>
          <w:ilvl w:val="0"/>
          <w:numId w:val="12"/>
        </w:numPr>
        <w:spacing w:line="276" w:lineRule="auto"/>
        <w:rPr>
          <w:lang w:val="en-GB"/>
        </w:rPr>
      </w:pPr>
      <w:r w:rsidRPr="00F61E85">
        <w:rPr>
          <w:lang w:val="en-GB"/>
        </w:rPr>
        <w:t xml:space="preserve">Miura, K. (2013). Angkor: A living heritage site—The social and political dynamics of its conservation and management. Journal of Humanities and Social Sciences, 4(2), 21-41. </w:t>
      </w:r>
      <w:hyperlink r:id="rId10" w:history="1">
        <w:r w:rsidRPr="002A275F">
          <w:rPr>
            <w:rStyle w:val="Hyperlink"/>
            <w:lang w:val="en-GB"/>
          </w:rPr>
          <w:t>https://doi.org/10.1163/22134379-90003686</w:t>
        </w:r>
      </w:hyperlink>
    </w:p>
    <w:p w14:paraId="1F382107" w14:textId="77777777" w:rsidR="00F61E85" w:rsidRPr="00F61E85" w:rsidRDefault="00F61E85" w:rsidP="00F61E85">
      <w:pPr>
        <w:pStyle w:val="ListParagraph"/>
        <w:spacing w:line="276" w:lineRule="auto"/>
        <w:rPr>
          <w:lang w:val="en-GB"/>
        </w:rPr>
      </w:pPr>
    </w:p>
    <w:p w14:paraId="4623DDB4" w14:textId="3411F843" w:rsidR="00F61E85" w:rsidRDefault="00F61E85" w:rsidP="00F61E85">
      <w:pPr>
        <w:pStyle w:val="ListParagraph"/>
        <w:numPr>
          <w:ilvl w:val="0"/>
          <w:numId w:val="12"/>
        </w:numPr>
        <w:spacing w:line="276" w:lineRule="auto"/>
        <w:rPr>
          <w:lang w:val="en-GB"/>
        </w:rPr>
      </w:pPr>
      <w:r w:rsidRPr="00F61E85">
        <w:rPr>
          <w:lang w:val="en-GB"/>
        </w:rPr>
        <w:t xml:space="preserve">Sullivan, T. (2016). Community-based cultural heritage management in Southeast Asia: Angkor as a lens. Journal of Cultural Heritage Management and Sustainable Development, 6(1), 45-59. </w:t>
      </w:r>
      <w:hyperlink r:id="rId11" w:history="1">
        <w:r w:rsidRPr="002A275F">
          <w:rPr>
            <w:rStyle w:val="Hyperlink"/>
            <w:lang w:val="en-GB"/>
          </w:rPr>
          <w:t>https://doi.org/10.1108/JCHMSD-10-2015-0038</w:t>
        </w:r>
      </w:hyperlink>
    </w:p>
    <w:p w14:paraId="306E00D3" w14:textId="77777777" w:rsidR="00F61E85" w:rsidRDefault="00F61E85" w:rsidP="00F61E85">
      <w:pPr>
        <w:pStyle w:val="ListParagraph"/>
        <w:rPr>
          <w:lang w:val="en-GB"/>
        </w:rPr>
      </w:pPr>
    </w:p>
    <w:p w14:paraId="01718F8E" w14:textId="77777777" w:rsidR="00F61E85" w:rsidRPr="00F61E85" w:rsidRDefault="00F61E85" w:rsidP="00F61E85">
      <w:pPr>
        <w:pStyle w:val="ListParagraph"/>
        <w:spacing w:line="276" w:lineRule="auto"/>
        <w:ind w:left="0"/>
        <w:rPr>
          <w:lang w:val="en-GB"/>
        </w:rPr>
      </w:pPr>
    </w:p>
    <w:p w14:paraId="2AF10F27" w14:textId="77777777" w:rsidR="00F61E85" w:rsidRPr="00232559" w:rsidRDefault="00F61E85" w:rsidP="00F61E85">
      <w:pPr>
        <w:pStyle w:val="ListParagraph"/>
        <w:spacing w:line="276" w:lineRule="auto"/>
        <w:ind w:left="0"/>
        <w:rPr>
          <w:lang w:val="en-US"/>
        </w:rPr>
      </w:pPr>
    </w:p>
    <w:sectPr w:rsidR="00F61E85"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F8F9727-15CF-4E8E-8151-6D2E03C2020C}"/>
    <w:embedBold r:id="rId2" w:fontKey="{135B84D7-353A-452C-B897-3F75750734CB}"/>
    <w:embedItalic r:id="rId3" w:fontKey="{78673D00-2726-44AC-AB2C-D56A643B92F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2A34F87-5BCA-40CD-9060-CB5A5C3078E2}"/>
  </w:font>
  <w:font w:name="Calibri Light">
    <w:panose1 w:val="020F0302020204030204"/>
    <w:charset w:val="00"/>
    <w:family w:val="swiss"/>
    <w:pitch w:val="variable"/>
    <w:sig w:usb0="E4002EFF" w:usb1="C000247B" w:usb2="00000009" w:usb3="00000000" w:csb0="000001FF" w:csb1="00000000"/>
    <w:embedRegular r:id="rId5" w:fontKey="{33053111-844C-4C51-B43C-8BC23B663F8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2"/>
  </w:num>
  <w:num w:numId="3" w16cid:durableId="1544052912">
    <w:abstractNumId w:val="0"/>
  </w:num>
  <w:num w:numId="4" w16cid:durableId="746540664">
    <w:abstractNumId w:val="1"/>
  </w:num>
  <w:num w:numId="5" w16cid:durableId="1108088842">
    <w:abstractNumId w:val="3"/>
  </w:num>
  <w:num w:numId="6" w16cid:durableId="1713579031">
    <w:abstractNumId w:val="11"/>
  </w:num>
  <w:num w:numId="7" w16cid:durableId="612253008">
    <w:abstractNumId w:val="10"/>
  </w:num>
  <w:num w:numId="8" w16cid:durableId="314267375">
    <w:abstractNumId w:val="8"/>
  </w:num>
  <w:num w:numId="9" w16cid:durableId="327443921">
    <w:abstractNumId w:val="9"/>
  </w:num>
  <w:num w:numId="10" w16cid:durableId="1481845840">
    <w:abstractNumId w:val="6"/>
  </w:num>
  <w:num w:numId="11" w16cid:durableId="1209099905">
    <w:abstractNumId w:val="5"/>
  </w:num>
  <w:num w:numId="12" w16cid:durableId="350495173">
    <w:abstractNumId w:val="4"/>
  </w:num>
  <w:num w:numId="13" w16cid:durableId="1330649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FD9"/>
    <w:rsid w:val="00232559"/>
    <w:rsid w:val="002F4AE0"/>
    <w:rsid w:val="00384E8A"/>
    <w:rsid w:val="003D1074"/>
    <w:rsid w:val="00426865"/>
    <w:rsid w:val="00477CAA"/>
    <w:rsid w:val="00502E29"/>
    <w:rsid w:val="005E1FD5"/>
    <w:rsid w:val="005E458B"/>
    <w:rsid w:val="00672345"/>
    <w:rsid w:val="00705037"/>
    <w:rsid w:val="00786BC0"/>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179/1350503313Z.0000000004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hc.unesco.org/en/capacity-build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www.iccrom.org/sites/default/files/2018-01/people-centred_approaches_to_the_conservation_of_cultural_heritage_en.pdf" TargetMode="External"/><Relationship Id="rId11" Type="http://schemas.openxmlformats.org/officeDocument/2006/relationships/hyperlink" Target="https://doi.org/10.1108/JCHMSD-10-2015-0038" TargetMode="External"/><Relationship Id="rId5" Type="http://schemas.openxmlformats.org/officeDocument/2006/relationships/image" Target="media/image1.png"/><Relationship Id="rId10" Type="http://schemas.openxmlformats.org/officeDocument/2006/relationships/hyperlink" Target="https://doi.org/10.1163/22134379-90003686" TargetMode="External"/><Relationship Id="rId4" Type="http://schemas.openxmlformats.org/officeDocument/2006/relationships/webSettings" Target="webSettings.xml"/><Relationship Id="rId9" Type="http://schemas.openxmlformats.org/officeDocument/2006/relationships/hyperlink" Target="https://doi.org/10.1080/13527258.2018.154423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2026-06-23T07:16:00Z</dcterms:created>
  <dcterms:modified xsi:type="dcterms:W3CDTF">2026-06-23T07:16:00Z</dcterms:modified>
</cp:coreProperties>
</file>