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color w:val="203864"/>
          <w:sz w:val="28"/>
        </w:rPr>
        <w:t>Business Administration Fundamentals</w:t>
      </w:r>
    </w:p>
    <w:p>
      <w:pPr>
        <w:spacing w:before="480" w:after="320"/>
        <w:jc w:val="center"/>
      </w:pPr>
      <w:r>
        <w:rPr>
          <w:rFonts w:ascii="Times New Roman" w:hAnsi="Times New Roman"/>
          <w:b/>
          <w:color w:val="1F1F1F"/>
          <w:sz w:val="40"/>
        </w:rPr>
        <w:t>Trust-Centred People Management: Leadership and HR Practice in an AI-Enabled Workplace</w:t>
      </w:r>
    </w:p>
    <w:p>
      <w:pPr>
        <w:jc w:val="center"/>
      </w:pPr>
      <w:r>
        <w:rPr>
          <w:rFonts w:ascii="Times New Roman" w:hAnsi="Times New Roman"/>
          <w:i/>
          <w:color w:val="203864"/>
          <w:sz w:val="24"/>
        </w:rPr>
        <w:t>Option 3: Leadership, People Management and AI in the Workplace</w:t>
      </w:r>
    </w:p>
    <w:p/>
    <w:p/>
    <w:p/>
    <w:p>
      <w:pPr>
        <w:spacing w:after="180"/>
        <w:jc w:val="center"/>
      </w:pPr>
      <w:r>
        <w:rPr>
          <w:rFonts w:ascii="Times New Roman" w:hAnsi="Times New Roman"/>
          <w:b w:val="0"/>
          <w:sz w:val="24"/>
        </w:rPr>
        <w:t>Student Name: ______________________________</w:t>
      </w:r>
    </w:p>
    <w:p>
      <w:pPr>
        <w:spacing w:after="180"/>
        <w:jc w:val="center"/>
      </w:pPr>
      <w:r>
        <w:rPr>
          <w:rFonts w:ascii="Times New Roman" w:hAnsi="Times New Roman"/>
          <w:b w:val="0"/>
          <w:sz w:val="24"/>
        </w:rPr>
        <w:t>Student ID: ________________________________</w:t>
      </w:r>
    </w:p>
    <w:p>
      <w:r>
        <w:br w:type="page"/>
      </w:r>
    </w:p>
    <w:p>
      <w:pPr>
        <w:pStyle w:val="TOCHeading"/>
        <w:spacing w:after="240"/>
        <w:jc w:val="center"/>
      </w:pPr>
      <w:r>
        <w:rPr>
          <w:rFonts w:ascii="Times New Roman" w:hAnsi="Times New Roman" w:eastAsia="Times New Roman"/>
          <w:b/>
          <w:color w:val="203864"/>
          <w:sz w:val="28"/>
        </w:rPr>
        <w:t>Table of Contents</w:t>
      </w:r>
    </w:p>
    <w:p>
      <w:pPr>
        <w:pStyle w:val="TOC1"/>
      </w:pPr>
      <w:r>
        <w:rPr>
          <w:rFonts w:ascii="Times New Roman" w:hAnsi="Times New Roman" w:eastAsia="Times New Roman"/>
          <w:b w:val="0"/>
          <w:sz w:val="24"/>
        </w:rPr>
        <w:fldChar w:fldCharType="begin" w:dirty="true"/>
        <w:instrText xml:space="preserve"> TOC \o "1-1" \h \z \u </w:instrText>
      </w:r>
      <w:r>
        <w:rPr>
          <w:rFonts w:ascii="Times New Roman" w:hAnsi="Times New Roman" w:eastAsia="Times New Roman"/>
          <w:b w:val="0"/>
          <w:sz w:val="24"/>
        </w:rPr>
        <w:fldChar w:fldCharType="separate"/>
      </w:r>
      <w:r>
        <w:rPr>
          <w:rFonts w:ascii="Times New Roman" w:hAnsi="Times New Roman" w:eastAsia="Times New Roman"/>
          <w:b w:val="0"/>
          <w:sz w:val="24"/>
        </w:rPr>
        <w:t>Abstract</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Introduction</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Literature Review</w:t>
      </w:r>
      <w:r>
        <w:rPr>
          <w:rFonts w:ascii="Times New Roman" w:hAnsi="Times New Roman" w:eastAsia="Times New Roman"/>
          <w:b w:val="0"/>
          <w:sz w:val="24"/>
        </w:rPr>
        <w:tab/>
      </w:r>
      <w:r>
        <w:rPr>
          <w:rFonts w:ascii="Times New Roman" w:hAnsi="Times New Roman" w:eastAsia="Times New Roman"/>
          <w:b w:val="0"/>
          <w:sz w:val="24"/>
        </w:rPr>
        <w:t>4</w:t>
      </w:r>
    </w:p>
    <w:p>
      <w:pPr>
        <w:pStyle w:val="TOC1"/>
      </w:pPr>
      <w:r>
        <w:rPr>
          <w:rFonts w:ascii="Times New Roman" w:hAnsi="Times New Roman" w:eastAsia="Times New Roman"/>
          <w:b w:val="0"/>
          <w:sz w:val="24"/>
        </w:rPr>
        <w:t>Methodology / Approach</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Findings / Analysis</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Discussion</w:t>
      </w:r>
      <w:r>
        <w:rPr>
          <w:rFonts w:ascii="Times New Roman" w:hAnsi="Times New Roman" w:eastAsia="Times New Roman"/>
          <w:b w:val="0"/>
          <w:sz w:val="24"/>
        </w:rPr>
        <w:tab/>
      </w:r>
      <w:r>
        <w:rPr>
          <w:rFonts w:ascii="Times New Roman" w:hAnsi="Times New Roman" w:eastAsia="Times New Roman"/>
          <w:b w:val="0"/>
          <w:sz w:val="24"/>
        </w:rPr>
        <w:t>13</w:t>
      </w:r>
    </w:p>
    <w:p>
      <w:pPr>
        <w:pStyle w:val="TOC1"/>
      </w:pPr>
      <w:r>
        <w:rPr>
          <w:rFonts w:ascii="Times New Roman" w:hAnsi="Times New Roman" w:eastAsia="Times New Roman"/>
          <w:b w:val="0"/>
          <w:sz w:val="24"/>
        </w:rPr>
        <w:t>Conclusion and Recommendations</w:t>
      </w:r>
      <w:r>
        <w:rPr>
          <w:rFonts w:ascii="Times New Roman" w:hAnsi="Times New Roman" w:eastAsia="Times New Roman"/>
          <w:b w:val="0"/>
          <w:sz w:val="24"/>
        </w:rPr>
        <w:tab/>
      </w:r>
      <w:r>
        <w:rPr>
          <w:rFonts w:ascii="Times New Roman" w:hAnsi="Times New Roman" w:eastAsia="Times New Roman"/>
          <w:b w:val="0"/>
          <w:sz w:val="24"/>
        </w:rPr>
        <w:t>14</w:t>
      </w:r>
    </w:p>
    <w:p>
      <w:pPr>
        <w:pStyle w:val="TOC1"/>
      </w:pPr>
      <w:r>
        <w:rPr>
          <w:rFonts w:ascii="Times New Roman" w:hAnsi="Times New Roman" w:eastAsia="Times New Roman"/>
          <w:b w:val="0"/>
          <w:sz w:val="24"/>
        </w:rPr>
        <w:t>References</w:t>
      </w:r>
      <w:r>
        <w:rPr>
          <w:rFonts w:ascii="Times New Roman" w:hAnsi="Times New Roman" w:eastAsia="Times New Roman"/>
          <w:b w:val="0"/>
          <w:sz w:val="24"/>
        </w:rPr>
        <w:tab/>
      </w:r>
      <w:r>
        <w:rPr>
          <w:rFonts w:ascii="Times New Roman" w:hAnsi="Times New Roman" w:eastAsia="Times New Roman"/>
          <w:b w:val="0"/>
          <w:sz w:val="24"/>
        </w:rPr>
        <w:t>15</w:t>
      </w:r>
    </w:p>
    <w:p>
      <w:pPr>
        <w:pStyle w:val="TOC1"/>
      </w:pPr>
      <w:r>
        <w:rPr>
          <w:rFonts w:ascii="Times New Roman" w:hAnsi="Times New Roman" w:eastAsia="Times New Roman"/>
          <w:b w:val="0"/>
          <w:sz w:val="24"/>
        </w:rPr>
        <w:t>Appendix A: Managerial Implementation Checklist</w:t>
      </w:r>
      <w:r>
        <w:rPr>
          <w:rFonts w:ascii="Times New Roman" w:hAnsi="Times New Roman" w:eastAsia="Times New Roman"/>
          <w:b w:val="0"/>
          <w:sz w:val="24"/>
        </w:rPr>
        <w:tab/>
      </w:r>
      <w:r>
        <w:rPr>
          <w:rFonts w:ascii="Times New Roman" w:hAnsi="Times New Roman" w:eastAsia="Times New Roman"/>
          <w:b w:val="0"/>
          <w:sz w:val="24"/>
        </w:rPr>
        <w:t>16</w:t>
      </w:r>
      <w:r>
        <w:rPr>
          <w:rFonts w:ascii="Times New Roman" w:hAnsi="Times New Roman" w:eastAsia="Times New Roman"/>
          <w:b w:val="0"/>
          <w:sz w:val="24"/>
        </w:rPr>
        <w:fldChar w:fldCharType="end"/>
      </w:r>
    </w:p>
    <w:p>
      <w:pPr>
        <w:spacing w:after="0"/>
      </w:pPr>
    </w:p>
    <w:p>
      <w:r>
        <w:br w:type="page"/>
      </w:r>
    </w:p>
    <w:p>
      <w:pPr>
        <w:pStyle w:val="Heading1"/>
        <w:keepNext/>
      </w:pPr>
      <w:r>
        <w:rPr>
          <w:rFonts w:ascii="Times New Roman" w:hAnsi="Times New Roman"/>
          <w:b/>
          <w:color w:val="203864"/>
          <w:sz w:val="28"/>
        </w:rPr>
        <w:t>Abstract</w:t>
      </w:r>
    </w:p>
    <w:p>
      <w:pPr>
        <w:keepLines w:val="0"/>
        <w:spacing w:line="480" w:lineRule="auto" w:after="0"/>
        <w:ind w:firstLine="432"/>
      </w:pPr>
      <w:r>
        <w:rPr>
          <w:rFonts w:ascii="Times New Roman" w:hAnsi="Times New Roman"/>
          <w:sz w:val="24"/>
        </w:rPr>
        <w:t>AI is increasingly used in recruitment, performance analytics, scheduling, talent matching and employee support. These applications can improve consistency and reduce administrative effort, but they also affect autonomy, fairness, privacy and trust. This report analyses AI in people management through foundational leadership and HR principles: employees need meaningful work, fair treatment, credible communication, appropriate autonomy and opportunities to develop capability. Research on algorithmic HRM shows that statistical accuracy does not guarantee fairness or legitimacy, particularly when training data are unbalanced or decision logic is opaque. Studies of digital selection also indicate that applicants may react negatively when AI reduces interpersonal interaction or procedural voice. The report argues for a trust-centred adoption model in which AI supports rather than silently replaces human responsibility. Recommended practices include job-impact assessment, participatory design, fairness testing, data minimisation, human review for consequential decisions, explanation and appeal rights, and deliberate reskilling. The conclusion is that responsible AI in HR is not only an ethics requirement; it is a condition for sustained employee engagement and organisational capability.</w:t>
      </w:r>
    </w:p>
    <w:p>
      <w:pPr>
        <w:pStyle w:val="Heading1"/>
        <w:keepNext/>
      </w:pPr>
      <w:r>
        <w:rPr>
          <w:rFonts w:ascii="Times New Roman" w:hAnsi="Times New Roman"/>
          <w:b/>
          <w:color w:val="203864"/>
          <w:sz w:val="28"/>
        </w:rPr>
        <w:t>Introduction</w:t>
      </w:r>
    </w:p>
    <w:p>
      <w:pPr>
        <w:keepLines w:val="0"/>
        <w:spacing w:line="480" w:lineRule="auto" w:after="0"/>
        <w:ind w:firstLine="432"/>
      </w:pPr>
      <w:r>
        <w:rPr>
          <w:rFonts w:ascii="Times New Roman" w:hAnsi="Times New Roman"/>
          <w:sz w:val="24"/>
        </w:rPr>
        <w:t>People management is a distinctive area for AI because the objects of analysis are also organisational members whose motivation, dignity and trust affect performance. A forecasting error in inventory may be corrected through operational adjustment; an opaque hiring rejection or performance flag can alter a person's career and relationship with the organisation. The standard for responsible adoption should therefore be higher when AI influences employment opportunities, evaluation, scheduling or development.</w:t>
      </w:r>
    </w:p>
    <w:p>
      <w:pPr>
        <w:keepLines w:val="0"/>
        <w:spacing w:line="480" w:lineRule="auto" w:after="0"/>
        <w:ind w:firstLine="432"/>
      </w:pPr>
      <w:r>
        <w:rPr>
          <w:rFonts w:ascii="Times New Roman" w:hAnsi="Times New Roman"/>
          <w:sz w:val="24"/>
        </w:rPr>
        <w:t>AI offers genuine advantages in HR. It can screen large applicant pools, match skills to roles, identify learning needs, automate scheduling and provide employees with rapid access to information. Tambe et al. (2019) note, however, that HR data create specific challenges: outcomes are complex, datasets are often small, fairness constraints are significant and employees may react negatively to algorithmic decisions. These features make people management a poor domain for uncritical automation.</w:t>
      </w:r>
    </w:p>
    <w:p>
      <w:pPr>
        <w:keepLines w:val="0"/>
        <w:spacing w:line="480" w:lineRule="auto" w:after="0"/>
        <w:ind w:firstLine="432"/>
      </w:pPr>
      <w:r>
        <w:rPr>
          <w:rFonts w:ascii="Times New Roman" w:hAnsi="Times New Roman"/>
          <w:sz w:val="24"/>
        </w:rPr>
        <w:t>This report examines how leadership, motivation, communication and HRM fundamentals should shape AI adoption. The central argument is that trust must be treated as a design objective. A system that saves time but reduces perceived fairness, autonomy or psychological safety may destroy more value than it creates. Responsible leaders should therefore evaluate people analytics not only by predictive performance but also by employee experience, contestability and long-term capability.</w:t>
      </w:r>
    </w:p>
    <w:p>
      <w:pPr>
        <w:pStyle w:val="Heading1"/>
        <w:keepNext/>
      </w:pPr>
      <w:r>
        <w:rPr>
          <w:rFonts w:ascii="Times New Roman" w:hAnsi="Times New Roman"/>
          <w:b/>
          <w:color w:val="203864"/>
          <w:sz w:val="28"/>
        </w:rPr>
        <w:t>Literature Review</w:t>
      </w:r>
    </w:p>
    <w:p>
      <w:pPr>
        <w:pStyle w:val="Heading2"/>
        <w:keepNext/>
      </w:pPr>
      <w:r>
        <w:rPr>
          <w:rFonts w:ascii="Times New Roman" w:hAnsi="Times New Roman"/>
          <w:b/>
          <w:color w:val="203864"/>
          <w:sz w:val="25"/>
        </w:rPr>
        <w:t>AI in HRM: opportunity with distinctive constraints</w:t>
      </w:r>
    </w:p>
    <w:p>
      <w:pPr>
        <w:keepLines w:val="0"/>
        <w:spacing w:line="480" w:lineRule="auto" w:after="0"/>
        <w:ind w:firstLine="432"/>
      </w:pPr>
      <w:r>
        <w:rPr>
          <w:rFonts w:ascii="Times New Roman" w:hAnsi="Times New Roman"/>
          <w:sz w:val="24"/>
        </w:rPr>
        <w:t>Tambe et al. (2019) identify a gap between the promise and reality of AI in HRM. They emphasise causal complexity, limited data, legal and ethical constraints and employee reactions. These issues are important because HR decisions are not merely technical classifications. Hiring, promotion and performance management involve social expectations about procedural justice and the right to be treated as an individual rather than as a statistical profile.</w:t>
      </w:r>
    </w:p>
    <w:p>
      <w:pPr>
        <w:keepLines w:val="0"/>
        <w:spacing w:line="480" w:lineRule="auto" w:after="0"/>
        <w:ind w:firstLine="432"/>
      </w:pPr>
      <w:r>
        <w:rPr>
          <w:rFonts w:ascii="Times New Roman" w:hAnsi="Times New Roman"/>
          <w:sz w:val="24"/>
        </w:rPr>
        <w:t>Köchling and Wehner's (2020) systematic review shows that algorithmic decision making in recruitment and development can create discrimination and perceived unfairness even when organisations adopt it for efficiency or objectivity. Köchling et al. (2021) further demonstrate that highly accurate algorithmic video analysis can still be discriminatory when training data are unbalanced. Accuracy and fairness are therefore separate evaluation dimensions.</w:t>
      </w:r>
    </w:p>
    <w:p>
      <w:pPr>
        <w:keepLines w:val="0"/>
        <w:spacing w:line="480" w:lineRule="auto" w:after="0"/>
        <w:ind w:firstLine="432"/>
      </w:pPr>
      <w:r>
        <w:rPr>
          <w:rFonts w:ascii="Times New Roman" w:hAnsi="Times New Roman"/>
          <w:sz w:val="24"/>
        </w:rPr>
        <w:t>Research on algorithm-based HR decisions also raises questions about personal integrity. Leicht-Deobald et al. (2019) argue that efficiency-driven algorithmic systems can shift the balance from employee integrity toward compliance, particularly when monitoring and behavioural data become pervasive. This reinforces the need to examine power and autonomy alongside model performance.</w:t>
      </w:r>
    </w:p>
    <w:p>
      <w:pPr>
        <w:pStyle w:val="Heading2"/>
        <w:keepNext/>
      </w:pPr>
      <w:r>
        <w:rPr>
          <w:rFonts w:ascii="Times New Roman" w:hAnsi="Times New Roman"/>
          <w:b/>
          <w:color w:val="203864"/>
          <w:sz w:val="25"/>
        </w:rPr>
        <w:t>Work design, motivation and employee reactions</w:t>
      </w:r>
    </w:p>
    <w:p>
      <w:pPr>
        <w:keepLines w:val="0"/>
        <w:spacing w:line="480" w:lineRule="auto" w:after="0"/>
        <w:ind w:firstLine="432"/>
      </w:pPr>
      <w:r>
        <w:rPr>
          <w:rFonts w:ascii="Times New Roman" w:hAnsi="Times New Roman"/>
          <w:sz w:val="24"/>
        </w:rPr>
        <w:t>AI changes jobs by altering how goals are set, work is monitored and decisions are made. Parent-Rocheleau and Parker (2022) identify six algorithmic-management functions including monitoring, goal setting, performance management, scheduling, compensation and termination. Each can affect job resources such as autonomy and feedback as well as demands such as workload. Parker and Grote (2022) argue more broadly that work design becomes more important, not less, in a digital environment because technology can either enrich or degrade jobs depending on implementation.</w:t>
      </w:r>
    </w:p>
    <w:p>
      <w:pPr>
        <w:keepLines w:val="0"/>
        <w:spacing w:line="480" w:lineRule="auto" w:after="0"/>
        <w:ind w:firstLine="432"/>
      </w:pPr>
      <w:r>
        <w:rPr>
          <w:rFonts w:ascii="Times New Roman" w:hAnsi="Times New Roman"/>
          <w:sz w:val="24"/>
        </w:rPr>
        <w:t>Employee perceptions also shape adoption outcomes. Brougham and Haar (2018) found that awareness of smart technology, AI, robotics and algorithms was associated with lower organisational commitment and career satisfaction and higher turnover intentions and cynicism. These findings do not mean AI necessarily harms employees; they show that perceived threat and uncertainty matter. Leadership communication and reskilling opportunities can therefore influence whether employees experience AI as support or displacement.</w:t>
      </w:r>
    </w:p>
    <w:p>
      <w:pPr>
        <w:keepLines w:val="0"/>
        <w:spacing w:line="480" w:lineRule="auto" w:after="0"/>
        <w:ind w:firstLine="432"/>
      </w:pPr>
      <w:r>
        <w:rPr>
          <w:rFonts w:ascii="Times New Roman" w:hAnsi="Times New Roman"/>
          <w:sz w:val="24"/>
        </w:rPr>
        <w:t>Selection research provides similar evidence. Woods et al. (2020) review digital selection procedures and highlight the importance of both validity and applicant reactions. Acikgoz et al. (2020) found that AI-based interviewing was generally perceived as less procedurally and interactionally just than human interviewing, partly because of reduced two-way communication. These studies make clear that people systems must be judged by legitimacy as well as efficiency.</w:t>
      </w:r>
    </w:p>
    <w:p>
      <w:pPr>
        <w:pStyle w:val="Heading1"/>
        <w:keepNext/>
      </w:pPr>
      <w:r>
        <w:rPr>
          <w:rFonts w:ascii="Times New Roman" w:hAnsi="Times New Roman"/>
          <w:b/>
          <w:color w:val="203864"/>
          <w:sz w:val="28"/>
        </w:rPr>
        <w:t>Methodology / Approach</w:t>
      </w:r>
    </w:p>
    <w:p>
      <w:pPr>
        <w:keepLines w:val="0"/>
        <w:spacing w:line="480" w:lineRule="auto" w:after="0"/>
        <w:ind w:firstLine="432"/>
      </w:pPr>
      <w:r>
        <w:rPr>
          <w:rFonts w:ascii="Times New Roman" w:hAnsi="Times New Roman"/>
          <w:sz w:val="24"/>
        </w:rPr>
        <w:t>The report uses a critical literature synthesis focused on employee-facing AI applications. Peer-reviewed research is organised around four people-management outcomes: decision quality, fairness and dignity, work design and capability development. The analysis covers recruitment, performance management, scheduling and development because these areas involve different combinations of prediction, monitoring and employee interaction.</w:t>
      </w:r>
    </w:p>
    <w:p>
      <w:pPr>
        <w:keepLines w:val="0"/>
        <w:spacing w:line="480" w:lineRule="auto" w:after="0"/>
        <w:ind w:firstLine="432"/>
      </w:pPr>
      <w:r>
        <w:rPr>
          <w:rFonts w:ascii="Times New Roman" w:hAnsi="Times New Roman"/>
          <w:sz w:val="24"/>
        </w:rPr>
        <w:t>For each application, the report asks five questions: What benefit is being sought? What data are used? How might the system affect autonomy or fairness? Where is human review required? What explanation or appeal mechanism is available? This framework keeps ethical and people implications inside the operational analysis rather than treating them as a separate compliance exercise. It also supports balanced evaluation of both constructive and problematic AI uses.</w:t>
      </w:r>
    </w:p>
    <w:p>
      <w:pPr>
        <w:pStyle w:val="Heading1"/>
        <w:keepNext/>
      </w:pPr>
      <w:r>
        <w:rPr>
          <w:rFonts w:ascii="Times New Roman" w:hAnsi="Times New Roman"/>
          <w:b/>
          <w:color w:val="203864"/>
          <w:sz w:val="28"/>
        </w:rPr>
        <w:t>Findings / Analysis</w:t>
      </w:r>
    </w:p>
    <w:p>
      <w:pPr>
        <w:pStyle w:val="Heading2"/>
        <w:keepNext/>
      </w:pPr>
      <w:r>
        <w:rPr>
          <w:rFonts w:ascii="Times New Roman" w:hAnsi="Times New Roman"/>
          <w:b/>
          <w:color w:val="203864"/>
          <w:sz w:val="25"/>
        </w:rPr>
        <w:t>Recruitment and selection</w:t>
      </w:r>
    </w:p>
    <w:p>
      <w:pPr>
        <w:keepLines w:val="0"/>
        <w:spacing w:line="480" w:lineRule="auto" w:after="0"/>
        <w:ind w:firstLine="432"/>
      </w:pPr>
      <w:r>
        <w:rPr>
          <w:rFonts w:ascii="Times New Roman" w:hAnsi="Times New Roman"/>
          <w:sz w:val="24"/>
        </w:rPr>
        <w:t>AI can make recruitment faster by parsing applications, identifying skills and scheduling candidates. It may also reduce some forms of inconsistent human screening. However, automated selection can reproduce historical patterns when training data reflect past inequalities. Raghavan et al. (2020) show that claims about bias mitigation in algorithmic hiring require careful scrutiny of what is measured, how models are validated and whether vendors' fairness assertions are meaningful.</w:t>
      </w:r>
    </w:p>
    <w:p>
      <w:pPr>
        <w:keepLines w:val="0"/>
        <w:spacing w:line="480" w:lineRule="auto" w:after="0"/>
        <w:ind w:firstLine="432"/>
      </w:pPr>
      <w:r>
        <w:rPr>
          <w:rFonts w:ascii="Times New Roman" w:hAnsi="Times New Roman"/>
          <w:sz w:val="24"/>
        </w:rPr>
        <w:t>Köchling and Wehner (2020) demonstrate that discrimination and perceived unfairness are central concerns in algorithmic recruitment. These risks increase when applicants cannot understand how they were assessed. A responsible selection process should therefore use AI primarily to support clearly defined job-relevant criteria, test outcomes across relevant groups, and preserve human review for consequential screening decisions.</w:t>
      </w:r>
    </w:p>
    <w:p>
      <w:pPr>
        <w:keepLines w:val="0"/>
        <w:spacing w:line="480" w:lineRule="auto" w:after="0"/>
        <w:ind w:firstLine="432"/>
      </w:pPr>
      <w:r>
        <w:rPr>
          <w:rFonts w:ascii="Times New Roman" w:hAnsi="Times New Roman"/>
          <w:sz w:val="24"/>
        </w:rPr>
        <w:t>Candidate experience also matters. Acikgoz et al. (2020) found lower justice perceptions for AI-based interviewing, especially where two-way communication was reduced. Organisations should not treat the absence of a human interviewer as a simple cost saving. Selection is also an interaction through which applicants judge organisational values. Hybrid processes can use automation for administration or structured scoring while preserving human contact for explanation, context and relationship building.</w:t>
      </w:r>
    </w:p>
    <w:p>
      <w:pPr>
        <w:pStyle w:val="Heading2"/>
        <w:keepNext/>
      </w:pPr>
      <w:r>
        <w:rPr>
          <w:rFonts w:ascii="Times New Roman" w:hAnsi="Times New Roman"/>
          <w:b/>
          <w:color w:val="203864"/>
          <w:sz w:val="25"/>
        </w:rPr>
        <w:t>Performance analytics and monitoring</w:t>
      </w:r>
    </w:p>
    <w:p>
      <w:pPr>
        <w:keepLines w:val="0"/>
        <w:spacing w:line="480" w:lineRule="auto" w:after="0"/>
        <w:ind w:firstLine="432"/>
      </w:pPr>
      <w:r>
        <w:rPr>
          <w:rFonts w:ascii="Times New Roman" w:hAnsi="Times New Roman"/>
          <w:sz w:val="24"/>
        </w:rPr>
        <w:t>Performance analytics can help managers identify patterns, provide timely feedback and allocate support. Yet monitoring is one of the most sensitive AI applications because it can convert everyday behaviour into continuous evaluation. Parent-Rocheleau and Parker (2022) show that algorithmic management affects autonomy, workload and job complexity depending on how functions are designed.</w:t>
      </w:r>
    </w:p>
    <w:p>
      <w:pPr>
        <w:keepLines w:val="0"/>
        <w:spacing w:line="480" w:lineRule="auto" w:after="0"/>
        <w:ind w:firstLine="432"/>
      </w:pPr>
      <w:r>
        <w:rPr>
          <w:rFonts w:ascii="Times New Roman" w:hAnsi="Times New Roman"/>
          <w:sz w:val="24"/>
        </w:rPr>
        <w:t>The key distinction is between developmental and disciplinary analytics. A tool that helps an employee identify skill gaps can enhance feedback and self-management. The same data used for opaque ranking or automatic sanctions can create anxiety and gaming. Leicht-Deobald et al. (2019) warn that algorithm-based HR decisions can threaten personal integrity when employees are pushed toward compliance with quantified expectations. Managers should therefore separate coaching data from punitive metrics where possible and clearly define who can see which information.</w:t>
      </w:r>
    </w:p>
    <w:p>
      <w:pPr>
        <w:keepLines w:val="0"/>
        <w:spacing w:line="480" w:lineRule="auto" w:after="0"/>
        <w:ind w:firstLine="432"/>
      </w:pPr>
      <w:r>
        <w:rPr>
          <w:rFonts w:ascii="Times New Roman" w:hAnsi="Times New Roman"/>
          <w:sz w:val="24"/>
        </w:rPr>
        <w:t>Data minimisation is a practical trust principle. Just because software can collect activity data does not mean every data point should be stored or used. Managers should articulate a job-relevant purpose for each data category, set retention limits and prohibit secondary uses that employees were not told about. This protects privacy and reduces the risk that noisy behavioural traces become proxies for performance.</w:t>
      </w:r>
    </w:p>
    <w:p>
      <w:pPr>
        <w:pStyle w:val="Heading2"/>
        <w:keepNext/>
      </w:pPr>
      <w:r>
        <w:rPr>
          <w:rFonts w:ascii="Times New Roman" w:hAnsi="Times New Roman"/>
          <w:b/>
          <w:color w:val="203864"/>
          <w:sz w:val="25"/>
        </w:rPr>
        <w:t>Scheduling, workload and autonomy</w:t>
      </w:r>
    </w:p>
    <w:p>
      <w:pPr>
        <w:keepLines w:val="0"/>
        <w:spacing w:line="480" w:lineRule="auto" w:after="0"/>
        <w:ind w:firstLine="432"/>
      </w:pPr>
      <w:r>
        <w:rPr>
          <w:rFonts w:ascii="Times New Roman" w:hAnsi="Times New Roman"/>
          <w:sz w:val="24"/>
        </w:rPr>
        <w:t>Automated scheduling can improve efficiency by matching demand, skills and availability. In complex operations this can reduce administrative burden and improve coverage. But optimisation objectives matter. A schedule optimised solely for labour cost may create unstable hours, insufficient recovery time or perceived unfairness. Work design research suggests that autonomy and control are important job resources (Parker &amp; Grote, 2022).</w:t>
      </w:r>
    </w:p>
    <w:p>
      <w:pPr>
        <w:keepLines w:val="0"/>
        <w:spacing w:line="480" w:lineRule="auto" w:after="0"/>
        <w:ind w:firstLine="432"/>
      </w:pPr>
      <w:r>
        <w:rPr>
          <w:rFonts w:ascii="Times New Roman" w:hAnsi="Times New Roman"/>
          <w:sz w:val="24"/>
        </w:rPr>
        <w:t>Responsible scheduling should therefore use multi-objective criteria that include employee constraints, predictability and fairness alongside operational efficiency. Employees should be able to state availability, challenge errors and access human assistance when circumstances cannot be represented in the system. Parent-Rocheleau and Parker (2022) show why this matters: algorithmic scheduling is not just logistics; it is a mechanism that shapes job demands and resources.</w:t>
      </w:r>
    </w:p>
    <w:p>
      <w:pPr>
        <w:keepLines w:val="0"/>
        <w:spacing w:line="480" w:lineRule="auto" w:after="0"/>
        <w:ind w:firstLine="432"/>
      </w:pPr>
      <w:r>
        <w:rPr>
          <w:rFonts w:ascii="Times New Roman" w:hAnsi="Times New Roman"/>
          <w:sz w:val="24"/>
        </w:rPr>
        <w:t>Leaders should also monitor distributional effects. An optimisation system may look efficient on average while repeatedly assigning undesirable shifts to the same group. Fairness dashboards should therefore examine who receives favourable and unfavourable outcomes over time, not only whether the total schedule meets demand.</w:t>
      </w:r>
    </w:p>
    <w:p>
      <w:pPr>
        <w:pStyle w:val="Heading2"/>
        <w:keepNext/>
      </w:pPr>
      <w:r>
        <w:rPr>
          <w:rFonts w:ascii="Times New Roman" w:hAnsi="Times New Roman"/>
          <w:b/>
          <w:color w:val="203864"/>
          <w:sz w:val="25"/>
        </w:rPr>
        <w:t>Talent development and skills matching</w:t>
      </w:r>
    </w:p>
    <w:p>
      <w:pPr>
        <w:keepLines w:val="0"/>
        <w:spacing w:line="480" w:lineRule="auto" w:after="0"/>
        <w:ind w:firstLine="432"/>
      </w:pPr>
      <w:r>
        <w:rPr>
          <w:rFonts w:ascii="Times New Roman" w:hAnsi="Times New Roman"/>
          <w:sz w:val="24"/>
        </w:rPr>
        <w:t>AI can support development by identifying skill adjacencies, recommending learning and matching employees to internal opportunities. This is one of the most constructive uses because it can broaden visibility of talent beyond informal networks. However, development models can become self-reinforcing if they recommend opportunities based mainly on past roles. Employees may be channelled toward what they have already done rather than what they could learn.</w:t>
      </w:r>
    </w:p>
    <w:p>
      <w:pPr>
        <w:keepLines w:val="0"/>
        <w:spacing w:line="480" w:lineRule="auto" w:after="0"/>
        <w:ind w:firstLine="432"/>
      </w:pPr>
      <w:r>
        <w:rPr>
          <w:rFonts w:ascii="Times New Roman" w:hAnsi="Times New Roman"/>
          <w:sz w:val="24"/>
        </w:rPr>
        <w:t>Leaders should combine model recommendations with employee aspiration. A development system should ask what an employee wants to do, not only infer what seems statistically likely. This protects autonomy and can increase engagement. Brougham and Haar (2018) show why future-oriented perceptions matter: employees who see technology as a threat may disengage. Visible investment in reskilling can change the meaning of AI adoption from substitution to capability building.</w:t>
      </w:r>
    </w:p>
    <w:p>
      <w:pPr>
        <w:keepLines w:val="0"/>
        <w:spacing w:line="480" w:lineRule="auto" w:after="0"/>
        <w:ind w:firstLine="432"/>
      </w:pPr>
      <w:r>
        <w:rPr>
          <w:rFonts w:ascii="Times New Roman" w:hAnsi="Times New Roman"/>
          <w:sz w:val="24"/>
        </w:rPr>
        <w:t>Internal talent marketplaces should also be audited for exposure. If some groups receive fewer high-value recommendations because historical data contain narrower career paths, the system may reproduce those constraints. Fairness therefore includes access to developmental opportunities, not only hiring outcomes.</w:t>
      </w:r>
    </w:p>
    <w:p>
      <w:pPr>
        <w:pStyle w:val="Heading2"/>
        <w:keepNext/>
      </w:pPr>
      <w:r>
        <w:rPr>
          <w:rFonts w:ascii="Times New Roman" w:hAnsi="Times New Roman"/>
          <w:b/>
          <w:color w:val="203864"/>
          <w:sz w:val="25"/>
        </w:rPr>
        <w:t>Leadership, communication and trust</w:t>
      </w:r>
    </w:p>
    <w:p>
      <w:pPr>
        <w:keepLines w:val="0"/>
        <w:spacing w:line="480" w:lineRule="auto" w:after="0"/>
        <w:ind w:firstLine="432"/>
      </w:pPr>
      <w:r>
        <w:rPr>
          <w:rFonts w:ascii="Times New Roman" w:hAnsi="Times New Roman"/>
          <w:sz w:val="24"/>
        </w:rPr>
        <w:t>Leadership determines how employees interpret AI. A technically careful implementation can still fail if employees believe the real purpose is hidden surveillance or headcount reduction. Leaders should explain why a system is being introduced, what decisions it will influence, what data it uses and where human judgement remains. Vague assurances that 'the AI is only a tool' are insufficient if employees observe that managers rarely override it.</w:t>
      </w:r>
    </w:p>
    <w:p>
      <w:pPr>
        <w:keepLines w:val="0"/>
        <w:spacing w:line="480" w:lineRule="auto" w:after="0"/>
        <w:ind w:firstLine="432"/>
      </w:pPr>
      <w:r>
        <w:rPr>
          <w:rFonts w:ascii="Times New Roman" w:hAnsi="Times New Roman"/>
          <w:sz w:val="24"/>
        </w:rPr>
        <w:t>Trust also depends on procedural voice. Woods et al. (2020) and Acikgoz et al. (2020) show that applicant reactions are influenced by perceptions of fairness and interaction. Similar logic applies to employees. People are more likely to accept adverse decisions when they understand the process and have a meaningful opportunity to correct errors. An appeal process is therefore part of system design, not an afterthought.</w:t>
      </w:r>
    </w:p>
    <w:p>
      <w:pPr>
        <w:keepLines w:val="0"/>
        <w:spacing w:line="480" w:lineRule="auto" w:after="0"/>
        <w:ind w:firstLine="432"/>
      </w:pPr>
      <w:r>
        <w:rPr>
          <w:rFonts w:ascii="Times New Roman" w:hAnsi="Times New Roman"/>
          <w:sz w:val="24"/>
        </w:rPr>
        <w:t>Managers must model appropriate reliance. If leaders treat algorithmic outputs as unquestionable, employees learn that contextual knowledge is unwelcome. If leaders dismiss data whenever it is inconvenient, the system becomes symbolic. Trust-centred leadership uses AI evidence seriously while preserving a norm of reasoned challenge.</w:t>
      </w:r>
    </w:p>
    <w:p>
      <w:pPr>
        <w:pStyle w:val="Heading2"/>
        <w:keepNext/>
      </w:pPr>
      <w:r>
        <w:rPr>
          <w:rFonts w:ascii="Times New Roman" w:hAnsi="Times New Roman"/>
          <w:b/>
          <w:color w:val="203864"/>
          <w:sz w:val="25"/>
        </w:rPr>
        <w:t>Bias, fairness and accountability</w:t>
      </w:r>
    </w:p>
    <w:p>
      <w:pPr>
        <w:keepLines w:val="0"/>
        <w:spacing w:line="480" w:lineRule="auto" w:after="0"/>
        <w:ind w:firstLine="432"/>
      </w:pPr>
      <w:r>
        <w:rPr>
          <w:rFonts w:ascii="Times New Roman" w:hAnsi="Times New Roman"/>
          <w:sz w:val="24"/>
        </w:rPr>
        <w:t>Bias cannot be solved by a single fairness metric. Köchling et al. (2021) show that high predictive accuracy can coexist with discriminatory outcomes. Different fairness definitions can also conflict, so organisations need governance that links technical testing to legal, ethical and organisational objectives. Before deployment, teams should identify protected or vulnerable groups, plausible harm pathways and the evidence required to justify use.</w:t>
      </w:r>
    </w:p>
    <w:p>
      <w:pPr>
        <w:keepLines w:val="0"/>
        <w:spacing w:line="480" w:lineRule="auto" w:after="0"/>
        <w:ind w:firstLine="432"/>
      </w:pPr>
      <w:r>
        <w:rPr>
          <w:rFonts w:ascii="Times New Roman" w:hAnsi="Times New Roman"/>
          <w:sz w:val="24"/>
        </w:rPr>
        <w:t>Human review is necessary but not automatically sufficient. Reviewers can defer to scores, lack time or share the same historical assumptions as the data. Effective review requires authority to overturn the system, access to relevant context and accountability for the final decision. Raghavan et al. (2020) caution against superficial claims of bias mitigation; organisations should demand documentation of validation data, error rates and limitations from vendors.</w:t>
      </w:r>
    </w:p>
    <w:p>
      <w:pPr>
        <w:keepLines w:val="0"/>
        <w:spacing w:line="480" w:lineRule="auto" w:after="0"/>
        <w:ind w:firstLine="432"/>
      </w:pPr>
      <w:r>
        <w:rPr>
          <w:rFonts w:ascii="Times New Roman" w:hAnsi="Times New Roman"/>
          <w:sz w:val="24"/>
        </w:rPr>
        <w:t>Accountability should be distributed but clear. HR owns the employment decision, technical teams own model quality and monitoring, legal or compliance teams advise on obligations, and senior leadership owns the organisational risk appetite. No participant should be able to say that the algorithm made the decision by itself.</w:t>
      </w:r>
    </w:p>
    <w:p>
      <w:pPr>
        <w:pStyle w:val="Heading2"/>
        <w:keepNext/>
      </w:pPr>
      <w:r>
        <w:rPr>
          <w:rFonts w:ascii="Times New Roman" w:hAnsi="Times New Roman"/>
          <w:b/>
          <w:color w:val="203864"/>
          <w:sz w:val="25"/>
        </w:rPr>
        <w:t>Employee voice, capability and sustainable adoption</w:t>
      </w:r>
    </w:p>
    <w:p>
      <w:pPr>
        <w:keepLines w:val="0"/>
        <w:spacing w:line="480" w:lineRule="auto" w:after="0"/>
        <w:ind w:firstLine="432"/>
      </w:pPr>
      <w:r>
        <w:rPr>
          <w:rFonts w:ascii="Times New Roman" w:hAnsi="Times New Roman"/>
          <w:sz w:val="24"/>
        </w:rPr>
        <w:t>Trust-centred AI requires employee voice before, during and after deployment. Consultation is not simply a communication exercise after a tool has been chosen. Employees often understand task variation, workarounds and customer needs that are invisible in formal process maps. Including them in job-impact assessment can reveal whether a proposed metric is meaningful, whether data capture changes behaviour and where automated recommendations may conflict with professional standards. Parker and Grote (2022) emphasise that work design remains central in digital environments; participation helps ensure that technology supports rather than erodes high-quality work.</w:t>
      </w:r>
    </w:p>
    <w:p>
      <w:pPr>
        <w:keepLines w:val="0"/>
        <w:spacing w:line="480" w:lineRule="auto" w:after="0"/>
        <w:ind w:firstLine="432"/>
      </w:pPr>
      <w:r>
        <w:rPr>
          <w:rFonts w:ascii="Times New Roman" w:hAnsi="Times New Roman"/>
          <w:sz w:val="24"/>
        </w:rPr>
        <w:t>Voice is especially important when systems affect evaluation. Algorithmic performance tools can create an impression of objectivity because they express results numerically. Yet Parent-Rocheleau and Parker (2022) show that algorithmic management influences core job-design characteristics such as autonomy, feedback and task significance. Managers should therefore ask whether a performance system changes how employees experience discretion and whether workers can correct inaccurate data or contextualise unusual results. A credible appeal route is part of the control system, not an exception to it.</w:t>
      </w:r>
    </w:p>
    <w:p>
      <w:pPr>
        <w:keepLines w:val="0"/>
        <w:spacing w:line="480" w:lineRule="auto" w:after="0"/>
        <w:ind w:firstLine="432"/>
      </w:pPr>
      <w:r>
        <w:rPr>
          <w:rFonts w:ascii="Times New Roman" w:hAnsi="Times New Roman"/>
          <w:sz w:val="24"/>
        </w:rPr>
        <w:t>Capability development should also be linked to adoption. Brougham and Haar (2018) show that employees can perceive smart technologies and automation as threats to their future careers. Leaders cannot address this concern solely by promising that AI will 'augment' work. They need visible development pathways. These can include training in AI literacy, data interpretation, verification, domain-specific judgement and the interpersonal capabilities that become more valuable as routine administration is automated. Internal mobility support should be provided before tasks disappear, not only after displacement has occurred.</w:t>
      </w:r>
    </w:p>
    <w:p>
      <w:pPr>
        <w:keepLines w:val="0"/>
        <w:spacing w:line="480" w:lineRule="auto" w:after="0"/>
        <w:ind w:firstLine="432"/>
      </w:pPr>
      <w:r>
        <w:rPr>
          <w:rFonts w:ascii="Times New Roman" w:hAnsi="Times New Roman"/>
          <w:sz w:val="24"/>
        </w:rPr>
        <w:t>Fairness should be monitored across the employee lifecycle. Köchling and Wehner (2020) demonstrate that algorithmic decision making can create or reproduce discrimination in recruitment and development. Raghavan et al. (2020) also caution that claims about bias mitigation in algorithmic hiring require careful scrutiny. A responsible organisation should therefore test not only overall model accuracy but also selection, recommendation and error patterns across relevant groups, while recognising that statistical measures do not by themselves settle broader questions of justice. Results should trigger investigation and process redesign rather than become a compliance checkbox.</w:t>
      </w:r>
    </w:p>
    <w:p>
      <w:pPr>
        <w:keepLines w:val="0"/>
        <w:spacing w:line="480" w:lineRule="auto" w:after="0"/>
        <w:ind w:firstLine="432"/>
      </w:pPr>
      <w:r>
        <w:rPr>
          <w:rFonts w:ascii="Times New Roman" w:hAnsi="Times New Roman"/>
          <w:sz w:val="24"/>
        </w:rPr>
        <w:t>Data governance is another condition of trust. People-management systems can combine scheduling records, productivity metrics, communications data and behavioural signals. Leicht-Deobald et al. (2019) warn that algorithm-based HR decisions may threaten personal integrity when efficiency objectives dominate. Data minimisation provides a practical response: collect only information that has a defensible job-related purpose, communicate how it will be used, set retention limits and restrict secondary use. Limiting data also improves analytical discipline by reducing the temptation to treat every observable behaviour as a valid performance indicator.</w:t>
      </w:r>
    </w:p>
    <w:p>
      <w:pPr>
        <w:keepLines w:val="0"/>
        <w:spacing w:line="480" w:lineRule="auto" w:after="0"/>
        <w:ind w:firstLine="432"/>
      </w:pPr>
      <w:r>
        <w:rPr>
          <w:rFonts w:ascii="Times New Roman" w:hAnsi="Times New Roman"/>
          <w:sz w:val="24"/>
        </w:rPr>
        <w:t>Leadership behaviour ultimately determines whether these formal protections are credible. Employees observe how managers respond when AI conflicts with local knowledge. If leaders always accept the system, an appeal policy becomes symbolic; if they ignore it whenever inconvenient, the technology loses legitimacy. Managers should explain consequential decisions, acknowledge model limitations and document why an override was or was not accepted. Tambe et al. (2019) argue that HR faces distinctive challenges in applying AI because people data and organisational contexts are complex. Transparent managerial reasoning helps bridge that complexity.</w:t>
      </w:r>
    </w:p>
    <w:p>
      <w:pPr>
        <w:keepLines w:val="0"/>
        <w:spacing w:line="480" w:lineRule="auto" w:after="0"/>
        <w:ind w:firstLine="432"/>
      </w:pPr>
      <w:r>
        <w:rPr>
          <w:rFonts w:ascii="Times New Roman" w:hAnsi="Times New Roman"/>
          <w:sz w:val="24"/>
        </w:rPr>
        <w:t>Sustainable adoption therefore combines efficiency with capability, fairness and voice. The organisation should review employee experience alongside technical outcomes, using survey feedback, complaint themes, appeal rates, turnover indicators and distributional outcomes as complementary evidence. These measures help identify harms that model accuracy cannot reveal. The long-term objective is not to make people management algorithmic; it is to use AI to improve information and administrative capacity while strengthening the human responsibilities that make employment relationships legitimate.</w:t>
      </w:r>
    </w:p>
    <w:p>
      <w:pPr>
        <w:keepNext/>
        <w:spacing w:before="120" w:after="100"/>
      </w:pPr>
      <w:r>
        <w:rPr>
          <w:rFonts w:ascii="Times New Roman" w:hAnsi="Times New Roman"/>
          <w:b/>
          <w:i/>
          <w:color w:val="203864"/>
          <w:sz w:val="21"/>
        </w:rPr>
        <w:t>Table 1. Trust-centred controls for employee-facing AI</w:t>
      </w:r>
    </w:p>
    <w:tbl>
      <w:tblPr>
        <w:tblW w:type="auto" w:w="0"/>
        <w:jc w:val="center"/>
        <w:tblLayout w:type="fixed"/>
        <w:tblLook w:firstColumn="1" w:firstRow="1" w:lastColumn="0" w:lastRow="0" w:noHBand="0" w:noVBand="1" w:val="04A0"/>
      </w:tblPr>
      <w:tblGrid>
        <w:gridCol w:w="1800"/>
        <w:gridCol w:w="3528"/>
        <w:gridCol w:w="4032"/>
      </w:tblGrid>
      <w:tr>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HR application</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Primary opportunity</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Minimum governance control</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Recruitment</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Faster search and skills matching</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Job-related validation, group fairness testing and human review</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Performance analytics</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Timely feedback and pattern detection</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Purpose limitation, context review and separation of coaching from discipline</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Scheduling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Better demand and availability matching</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Employee constraints, fairness monitoring and override route</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Talent development</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Personalised learning and internal mobility</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Employee aspiration input and equal-opportunity audit</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People decisions</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Consistent evidence for managers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Explanation, appeal rights and named accountable decision owner</w:t>
            </w:r>
          </w:p>
        </w:tc>
      </w:tr>
    </w:tbl>
    <w:p>
      <w:pPr>
        <w:spacing w:after="0"/>
      </w:pPr>
    </w:p>
    <w:p>
      <w:pPr>
        <w:pStyle w:val="Heading1"/>
        <w:keepNext/>
      </w:pPr>
      <w:r>
        <w:rPr>
          <w:rFonts w:ascii="Times New Roman" w:hAnsi="Times New Roman"/>
          <w:b/>
          <w:color w:val="203864"/>
          <w:sz w:val="28"/>
        </w:rPr>
        <w:t>Discussion</w:t>
      </w:r>
    </w:p>
    <w:p>
      <w:pPr>
        <w:keepLines w:val="0"/>
        <w:spacing w:line="480" w:lineRule="auto" w:after="0"/>
        <w:ind w:firstLine="432"/>
      </w:pPr>
      <w:r>
        <w:rPr>
          <w:rFonts w:ascii="Times New Roman" w:hAnsi="Times New Roman"/>
          <w:sz w:val="24"/>
        </w:rPr>
        <w:t>The analysis shows that people-management AI should be evaluated as part of the employment relationship. Efficiency gains are meaningful, but they occur within a context of power asymmetry: the organisation typically controls the data, system and consequences. Trust-centred design therefore requires more than user-friendly interfaces. It requires limits on data use, meaningful explanation, appeal and management accountability.</w:t>
      </w:r>
    </w:p>
    <w:p>
      <w:pPr>
        <w:keepLines w:val="0"/>
        <w:spacing w:line="480" w:lineRule="auto" w:after="0"/>
        <w:ind w:firstLine="432"/>
      </w:pPr>
      <w:r>
        <w:rPr>
          <w:rFonts w:ascii="Times New Roman" w:hAnsi="Times New Roman"/>
          <w:sz w:val="24"/>
        </w:rPr>
        <w:t>A second implication is that work design should be considered before deployment. Parker and Grote (2022) and Parent-Rocheleau and Parker (2022) show that digital technologies can alter autonomy, feedback and workload. Organisations should conduct a job-impact assessment that examines how tasks, discretion and skill use will change. This can identify opportunities to remove low-value administration while protecting elements of work that support learning and motivation.</w:t>
      </w:r>
    </w:p>
    <w:p>
      <w:pPr>
        <w:keepLines w:val="0"/>
        <w:spacing w:line="480" w:lineRule="auto" w:after="0"/>
        <w:ind w:firstLine="432"/>
      </w:pPr>
      <w:r>
        <w:rPr>
          <w:rFonts w:ascii="Times New Roman" w:hAnsi="Times New Roman"/>
          <w:sz w:val="24"/>
        </w:rPr>
        <w:t>A third implication is that fairness is ongoing. Data distributions, labour markets and job requirements change. A model that passed initial tests can become inappropriate. Organisations need periodic outcome audits, monitoring of complaints and review of whether the system still serves its stated purpose. Responsible HR AI is therefore a governance process rather than a one-time validation exercise.</w:t>
      </w:r>
    </w:p>
    <w:p>
      <w:pPr>
        <w:pStyle w:val="Heading2"/>
        <w:keepNext/>
      </w:pPr>
      <w:r>
        <w:rPr>
          <w:rFonts w:ascii="Times New Roman" w:hAnsi="Times New Roman"/>
          <w:b/>
          <w:color w:val="203864"/>
          <w:sz w:val="25"/>
        </w:rPr>
        <w:t>A practical trust scorecard</w:t>
      </w:r>
    </w:p>
    <w:p>
      <w:pPr>
        <w:keepLines w:val="0"/>
        <w:spacing w:line="480" w:lineRule="auto" w:after="0"/>
        <w:ind w:firstLine="432"/>
      </w:pPr>
      <w:r>
        <w:rPr>
          <w:rFonts w:ascii="Times New Roman" w:hAnsi="Times New Roman"/>
          <w:sz w:val="24"/>
        </w:rPr>
        <w:t>Trust should be monitored through multiple signals rather than a single engagement score. Useful indicators include whether employees understand when AI is being used, whether they believe explanations are adequate, whether appeal routes are accessible, and whether managers respond constructively to challenge. Operational data can complement these perceptions: the organisation can review appeal volumes, reversal rates, time to resolution and whether particular groups experience repeated adverse outcomes. These measures reveal whether formal safeguards work in practice.</w:t>
      </w:r>
    </w:p>
    <w:p>
      <w:pPr>
        <w:keepLines w:val="0"/>
        <w:spacing w:line="480" w:lineRule="auto" w:after="0"/>
        <w:ind w:firstLine="432"/>
      </w:pPr>
      <w:r>
        <w:rPr>
          <w:rFonts w:ascii="Times New Roman" w:hAnsi="Times New Roman"/>
          <w:sz w:val="24"/>
        </w:rPr>
        <w:t>Importantly, low appeal volume should not automatically be interpreted as success. Employees may stay silent because they do not know how to challenge a decision or fear negative consequences. Leaders should therefore combine quantitative indicators with periodic qualitative review and anonymous feedback. This approach aligns technical governance with the fundamentals of leadership and communication: trust grows when people can understand decisions, voice concerns and see that management remains accountable for consequential outcomes.</w:t>
      </w:r>
    </w:p>
    <w:p>
      <w:pPr>
        <w:pStyle w:val="Heading1"/>
        <w:keepNext/>
      </w:pPr>
      <w:r>
        <w:rPr>
          <w:rFonts w:ascii="Times New Roman" w:hAnsi="Times New Roman"/>
          <w:b/>
          <w:color w:val="203864"/>
          <w:sz w:val="28"/>
        </w:rPr>
        <w:t>Conclusion and Recommendations</w:t>
      </w:r>
    </w:p>
    <w:p>
      <w:pPr>
        <w:keepLines w:val="0"/>
        <w:spacing w:line="480" w:lineRule="auto" w:after="0"/>
        <w:ind w:firstLine="432"/>
      </w:pPr>
      <w:r>
        <w:rPr>
          <w:rFonts w:ascii="Times New Roman" w:hAnsi="Times New Roman"/>
          <w:sz w:val="24"/>
        </w:rPr>
        <w:t>AI can improve people management when it reduces administrative burden, broadens access to information and supports more timely decisions. It can also undermine fairness, autonomy and trust when organisations use it as an opaque substitute for managerial responsibility. The difference is largely determined by design and governance.</w:t>
      </w:r>
    </w:p>
    <w:p>
      <w:pPr>
        <w:keepLines w:val="0"/>
        <w:spacing w:line="480" w:lineRule="auto" w:after="0"/>
        <w:ind w:firstLine="432"/>
      </w:pPr>
      <w:r>
        <w:rPr>
          <w:rFonts w:ascii="Times New Roman" w:hAnsi="Times New Roman"/>
          <w:sz w:val="24"/>
        </w:rPr>
        <w:t>Seven practices are recommended. First, conduct a job-impact and stakeholder assessment before implementation. Second, use only job-relevant data and apply data-minimisation and retention rules. Third, test outcomes for fairness and error across relevant groups rather than relying on overall accuracy. Fourth, preserve human review for consequential employment decisions and ensure reviewers have authority to disagree. Fifth, provide understandable explanations and a real appeal route. Sixth, involve employees in design and review, especially for monitoring and scheduling systems. Seventh, pair automation with reskilling and career-development investment so employees can see a pathway to capability growth.</w:t>
      </w:r>
    </w:p>
    <w:p>
      <w:pPr>
        <w:keepLines w:val="0"/>
        <w:spacing w:line="480" w:lineRule="auto" w:after="0"/>
        <w:ind w:firstLine="432"/>
      </w:pPr>
      <w:r>
        <w:rPr>
          <w:rFonts w:ascii="Times New Roman" w:hAnsi="Times New Roman"/>
          <w:sz w:val="24"/>
        </w:rPr>
        <w:t>Trust should be treated as a management outcome that can be measured through employee feedback, appeal patterns, turnover indicators and perceived fairness. Organisations that use AI responsibly will not remove human judgement from people management. They will use technology to improve the quality of information while strengthening the human obligations of leadership: fairness, communication, development and accountability.</w:t>
      </w:r>
    </w:p>
    <w:p>
      <w:pPr>
        <w:pStyle w:val="Heading1"/>
        <w:keepNext/>
      </w:pPr>
      <w:r>
        <w:rPr>
          <w:rFonts w:ascii="Times New Roman" w:hAnsi="Times New Roman"/>
          <w:b/>
          <w:color w:val="203864"/>
          <w:sz w:val="28"/>
        </w:rPr>
        <w:t>References</w:t>
      </w:r>
    </w:p>
    <w:p>
      <w:pPr>
        <w:spacing w:line="480" w:lineRule="auto" w:after="0"/>
        <w:ind w:left="432" w:hanging="432"/>
      </w:pPr>
      <w:r>
        <w:rPr>
          <w:rFonts w:ascii="Times New Roman" w:hAnsi="Times New Roman"/>
          <w:sz w:val="23"/>
        </w:rPr>
        <w:t>Acikgoz, Y., Davison, K. H., Compagnone, M., &amp; Laske, M. (2020). Justice perceptions of artificial intelligence in selection. International Journal of Selection and Assessment, 28(4), 399-416. https://doi.org/10.1111/ijsa.12306</w:t>
      </w:r>
    </w:p>
    <w:p>
      <w:pPr>
        <w:spacing w:line="480" w:lineRule="auto" w:after="0"/>
        <w:ind w:left="432" w:hanging="432"/>
      </w:pPr>
      <w:r>
        <w:rPr>
          <w:rFonts w:ascii="Times New Roman" w:hAnsi="Times New Roman"/>
          <w:sz w:val="23"/>
        </w:rPr>
        <w:t>Brougham, D., &amp; Haar, J. (2018). Smart technology, artificial intelligence, robotics, and algorithms (STARA): Employees' perceptions of our future workplace. Journal of Management &amp; Organization, 24(2), 239-257. https://doi.org/10.1017/jmo.2016.55</w:t>
      </w:r>
    </w:p>
    <w:p>
      <w:pPr>
        <w:spacing w:line="480" w:lineRule="auto" w:after="0"/>
        <w:ind w:left="432" w:hanging="432"/>
      </w:pPr>
      <w:r>
        <w:rPr>
          <w:rFonts w:ascii="Times New Roman" w:hAnsi="Times New Roman"/>
          <w:sz w:val="23"/>
        </w:rPr>
        <w:t>Köchling, A., &amp; Wehner, M. C. (2020). Discriminated by an algorithm: A systematic review of discrimination and fairness by algorithmic decision-making in the context of HR recruitment and HR development. Business Research, 13, 795-848. https://doi.org/10.1007/s40685-020-00134-w</w:t>
      </w:r>
    </w:p>
    <w:p>
      <w:pPr>
        <w:spacing w:line="480" w:lineRule="auto" w:after="0"/>
        <w:ind w:left="432" w:hanging="432"/>
      </w:pPr>
      <w:r>
        <w:rPr>
          <w:rFonts w:ascii="Times New Roman" w:hAnsi="Times New Roman"/>
          <w:sz w:val="23"/>
        </w:rPr>
        <w:t>Köchling, A., Riazy, S., Wehner, M. C., &amp; Simbeck, K. (2021). Highly accurate, but still discriminatory: A fairness evaluation of algorithmic video analysis in the recruitment context. Business &amp; Information Systems Engineering, 63(1), 39-54. https://doi.org/10.1007/s12599-020-00673-w</w:t>
      </w:r>
    </w:p>
    <w:p>
      <w:pPr>
        <w:spacing w:line="480" w:lineRule="auto" w:after="0"/>
        <w:ind w:left="432" w:hanging="432"/>
      </w:pPr>
      <w:r>
        <w:rPr>
          <w:rFonts w:ascii="Times New Roman" w:hAnsi="Times New Roman"/>
          <w:sz w:val="23"/>
        </w:rPr>
        <w:t>Leicht-Deobald, U., Busch, T., Schank, C., Weibel, A., Schafheitle, S., Wildhaber, I., &amp; Kasper, G. (2019). The challenges of algorithm-based HR decision-making for personal integrity. Journal of Business Ethics, 160(2), 377-392. https://doi.org/10.1007/s10551-019-04204-w</w:t>
      </w:r>
    </w:p>
    <w:p>
      <w:pPr>
        <w:spacing w:line="480" w:lineRule="auto" w:after="0"/>
        <w:ind w:left="432" w:hanging="432"/>
      </w:pPr>
      <w:r>
        <w:rPr>
          <w:rFonts w:ascii="Times New Roman" w:hAnsi="Times New Roman"/>
          <w:sz w:val="23"/>
        </w:rPr>
        <w:t>Parent-Rocheleau, X., &amp; Parker, S. K. (2022). Algorithms as work designers: How algorithmic management influences the design of jobs. Human Resource Management Review, 32(3), 100838. https://doi.org/10.1016/j.hrmr.2021.100838</w:t>
      </w:r>
    </w:p>
    <w:p>
      <w:pPr>
        <w:spacing w:line="480" w:lineRule="auto" w:after="0"/>
        <w:ind w:left="432" w:hanging="432"/>
      </w:pPr>
      <w:r>
        <w:rPr>
          <w:rFonts w:ascii="Times New Roman" w:hAnsi="Times New Roman"/>
          <w:sz w:val="23"/>
        </w:rPr>
        <w:t>Parker, S. K., &amp; Grote, G. (2022). Automation, algorithms, and beyond: Why work design matters more than ever in a digital world. Applied Psychology, 71(4), 1171-1204. https://doi.org/10.1111/apps.12241</w:t>
      </w:r>
    </w:p>
    <w:p>
      <w:pPr>
        <w:spacing w:line="480" w:lineRule="auto" w:after="0"/>
        <w:ind w:left="432" w:hanging="432"/>
      </w:pPr>
      <w:r>
        <w:rPr>
          <w:rFonts w:ascii="Times New Roman" w:hAnsi="Times New Roman"/>
          <w:sz w:val="23"/>
        </w:rPr>
        <w:t>Raghavan, M., Barocas, S., Kleinberg, J., &amp; Levy, K. (2020). Mitigating bias in algorithmic hiring: Evaluating claims and practices. Proceedings of the 2020 Conference on Fairness, Accountability, and Transparency, 469-481. https://doi.org/10.1145/3351095.3372828</w:t>
      </w:r>
    </w:p>
    <w:p>
      <w:pPr>
        <w:spacing w:line="480" w:lineRule="auto" w:after="0"/>
        <w:ind w:left="432" w:hanging="432"/>
      </w:pPr>
      <w:r>
        <w:rPr>
          <w:rFonts w:ascii="Times New Roman" w:hAnsi="Times New Roman"/>
          <w:sz w:val="23"/>
        </w:rPr>
        <w:t>Tambe, P., Cappelli, P., &amp; Yakubovich, V. (2019). Artificial intelligence in human resources management: Challenges and a path forward. California Management Review, 61(4), 15-42. https://doi.org/10.1177/0008125619867910</w:t>
      </w:r>
    </w:p>
    <w:p>
      <w:pPr>
        <w:spacing w:line="480" w:lineRule="auto" w:after="0"/>
        <w:ind w:left="432" w:hanging="432"/>
      </w:pPr>
      <w:r>
        <w:rPr>
          <w:rFonts w:ascii="Times New Roman" w:hAnsi="Times New Roman"/>
          <w:sz w:val="23"/>
        </w:rPr>
        <w:t>Woods, S. A., Ahmed, S., Nikolaou, I., Costa, A. C., &amp; Anderson, N. R. (2020). Personnel selection in the digital age: A review of validity and applicant reactions, and future research challenges. European Journal of Work and Organizational Psychology, 29(1), 64-77. https://doi.org/10.1080/1359432X.2019.1681401</w:t>
      </w:r>
    </w:p>
    <w:p>
      <w:pPr>
        <w:pStyle w:val="Heading1"/>
        <w:keepNext/>
        <w:spacing w:after="120"/>
      </w:pPr>
      <w:r>
        <w:rPr>
          <w:rFonts w:ascii="Times New Roman" w:hAnsi="Times New Roman"/>
          <w:b/>
          <w:color w:val="203864"/>
          <w:sz w:val="28"/>
        </w:rPr>
        <w:t>Appendix A: Managerial Implementation Checklist</w:t>
      </w:r>
    </w:p>
    <w:p>
      <w:pPr>
        <w:pStyle w:val="ListBullet"/>
        <w:spacing w:line="276" w:lineRule="auto" w:after="0"/>
        <w:ind w:firstLine="0"/>
      </w:pPr>
      <w:r>
        <w:rPr>
          <w:rFonts w:ascii="Times New Roman" w:hAnsi="Times New Roman"/>
          <w:sz w:val="22"/>
        </w:rPr>
        <w:t>Define the decision or people/process outcome before choosing the AI tool.</w:t>
      </w:r>
    </w:p>
    <w:p>
      <w:pPr>
        <w:pStyle w:val="ListBullet"/>
        <w:spacing w:line="276" w:lineRule="auto" w:after="0"/>
        <w:ind w:firstLine="0"/>
      </w:pPr>
      <w:r>
        <w:rPr>
          <w:rFonts w:ascii="Times New Roman" w:hAnsi="Times New Roman"/>
          <w:sz w:val="22"/>
        </w:rPr>
        <w:t>Name the accountable business owner and the technical/model owner.</w:t>
      </w:r>
    </w:p>
    <w:p>
      <w:pPr>
        <w:pStyle w:val="ListBullet"/>
        <w:spacing w:line="276" w:lineRule="auto" w:after="0"/>
        <w:ind w:firstLine="0"/>
      </w:pPr>
      <w:r>
        <w:rPr>
          <w:rFonts w:ascii="Times New Roman" w:hAnsi="Times New Roman"/>
          <w:sz w:val="22"/>
        </w:rPr>
        <w:t>Document data sources, limitations, affected stakeholders and expected error modes.</w:t>
      </w:r>
    </w:p>
    <w:p>
      <w:pPr>
        <w:pStyle w:val="ListBullet"/>
        <w:spacing w:line="276" w:lineRule="auto" w:after="0"/>
        <w:ind w:firstLine="0"/>
      </w:pPr>
      <w:r>
        <w:rPr>
          <w:rFonts w:ascii="Times New Roman" w:hAnsi="Times New Roman"/>
          <w:sz w:val="22"/>
        </w:rPr>
        <w:t>Specify which outputs are advisory, which are automated and which require human approval.</w:t>
      </w:r>
    </w:p>
    <w:p>
      <w:pPr>
        <w:pStyle w:val="ListBullet"/>
        <w:spacing w:line="276" w:lineRule="auto" w:after="0"/>
        <w:ind w:firstLine="0"/>
      </w:pPr>
      <w:r>
        <w:rPr>
          <w:rFonts w:ascii="Times New Roman" w:hAnsi="Times New Roman"/>
          <w:sz w:val="22"/>
        </w:rPr>
        <w:t>Create an escalation and appeal route for unusual or consequential cases.</w:t>
      </w:r>
    </w:p>
    <w:p>
      <w:pPr>
        <w:pStyle w:val="ListBullet"/>
        <w:spacing w:line="276" w:lineRule="auto" w:after="0"/>
        <w:ind w:firstLine="0"/>
      </w:pPr>
      <w:r>
        <w:rPr>
          <w:rFonts w:ascii="Times New Roman" w:hAnsi="Times New Roman"/>
          <w:sz w:val="22"/>
        </w:rPr>
        <w:t>Monitor technical performance together with behavioural, fairness and trust indicators.</w:t>
      </w:r>
    </w:p>
    <w:p>
      <w:pPr>
        <w:pStyle w:val="ListBullet"/>
        <w:spacing w:line="276" w:lineRule="auto" w:after="0"/>
        <w:ind w:firstLine="0"/>
      </w:pPr>
      <w:r>
        <w:rPr>
          <w:rFonts w:ascii="Times New Roman" w:hAnsi="Times New Roman"/>
          <w:sz w:val="22"/>
        </w:rPr>
        <w:t>Review the system periodically and retire or redesign it when assumptions no longer hold.</w:t>
      </w:r>
    </w:p>
    <w:sectPr w:rsidR="00FC693F" w:rsidRPr="0006063C" w:rsidSect="00034616">
      <w:footerReference w:type="default" r:id="rId9"/>
      <w:pgSz w:w="12240" w:h="15840"/>
      <w:pgMar w:top="1224"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Times New Roman" w:hAnsi="Times New Roman"/>
      <w:b/>
      <w:bCs/>
      <w:color w:val="203864"/>
      <w:sz w:val="28"/>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Times New Roman" w:hAnsi="Times New Roman"/>
      <w:b/>
      <w:bCs/>
      <w:color w:val="203864"/>
      <w:sz w:val="25"/>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Times New Roman" w:hAnsi="Times New Roman"/>
      <w:b/>
      <w:bCs/>
      <w:color w:val="20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20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0" w:line="480" w:lineRule="auto"/>
      <w:ind w:firstLine="432"/>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9000" w:val="right" w:leader="dot"/>
      </w:tabs>
      <w:spacing w:before="0" w:after="40" w:line="240" w:lineRule="auto"/>
      <w:ind w:left="0" w:right="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Trust-Centred People Management: Leadership and HR Practice in an AI-Enabled Workplace</dc:title>
  <dc:subject>Business Administration Fundamentals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