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33349" w:rsidRPr="00F65B2C" w:rsidRDefault="00F65B2C" w:rsidP="00A33349">
      <w:pPr>
        <w:rPr>
          <w:rFonts w:ascii="Times New Roman" w:hAnsi="Times New Roman" w:cs="Times New Roman"/>
          <w:b/>
          <w:bCs/>
        </w:rPr>
      </w:pPr>
      <w:r>
        <w:rPr>
          <w:rFonts w:ascii="Times New Roman" w:hAnsi="Times New Roman" w:cs="Times New Roman"/>
          <w:b/>
          <w:bCs/>
        </w:rPr>
        <w:t xml:space="preserve">Title: </w:t>
      </w:r>
      <w:r w:rsidR="00A33349" w:rsidRPr="00F65B2C">
        <w:rPr>
          <w:rFonts w:ascii="Times New Roman" w:hAnsi="Times New Roman" w:cs="Times New Roman"/>
          <w:b/>
          <w:bCs/>
        </w:rPr>
        <w:t>Multi-Tiered Health Crisis Management Framework for Cross-Border Tourism Zones</w:t>
      </w:r>
    </w:p>
    <w:p w:rsidR="00A33349" w:rsidRPr="00F65B2C" w:rsidRDefault="00F65B2C" w:rsidP="00A33349">
      <w:pPr>
        <w:rPr>
          <w:rFonts w:ascii="Times New Roman" w:hAnsi="Times New Roman" w:cs="Times New Roman"/>
        </w:rPr>
      </w:pPr>
      <w:r w:rsidRPr="00F65B2C">
        <w:rPr>
          <w:rFonts w:ascii="Times New Roman" w:hAnsi="Times New Roman" w:cs="Times New Roman"/>
          <w:b/>
          <w:bCs/>
        </w:rPr>
        <w:t>Student Name:</w:t>
      </w:r>
      <w:r w:rsidRPr="00F65B2C">
        <w:rPr>
          <w:rFonts w:ascii="Times New Roman" w:hAnsi="Times New Roman" w:cs="Times New Roman"/>
        </w:rPr>
        <w:t> DE240017</w:t>
      </w:r>
      <w:r w:rsidRPr="00F65B2C">
        <w:rPr>
          <w:rFonts w:ascii="Times New Roman" w:hAnsi="Times New Roman" w:cs="Times New Roman"/>
        </w:rPr>
        <w:br/>
      </w:r>
      <w:r w:rsidRPr="00F65B2C">
        <w:rPr>
          <w:rFonts w:ascii="Times New Roman" w:hAnsi="Times New Roman" w:cs="Times New Roman"/>
          <w:b/>
          <w:bCs/>
        </w:rPr>
        <w:t>Student ID:</w:t>
      </w:r>
      <w:r w:rsidRPr="00F65B2C">
        <w:rPr>
          <w:rFonts w:ascii="Times New Roman" w:hAnsi="Times New Roman" w:cs="Times New Roman"/>
        </w:rPr>
        <w:t> GURSEWAK SINGH</w:t>
      </w:r>
      <w:r w:rsidRPr="00F65B2C">
        <w:rPr>
          <w:rFonts w:ascii="Times New Roman" w:hAnsi="Times New Roman" w:cs="Times New Roman"/>
        </w:rPr>
        <w:br/>
      </w:r>
      <w:r w:rsidR="00A33349" w:rsidRPr="00F65B2C">
        <w:rPr>
          <w:rFonts w:ascii="Times New Roman" w:hAnsi="Times New Roman" w:cs="Times New Roman"/>
          <w:b/>
          <w:bCs/>
        </w:rPr>
        <w:t>Date:</w:t>
      </w:r>
      <w:r w:rsidR="00A33349" w:rsidRPr="00F65B2C">
        <w:rPr>
          <w:rFonts w:ascii="Times New Roman" w:hAnsi="Times New Roman" w:cs="Times New Roman"/>
        </w:rPr>
        <w:t> </w:t>
      </w:r>
      <w:r w:rsidRPr="00F65B2C">
        <w:rPr>
          <w:rFonts w:ascii="Times New Roman" w:hAnsi="Times New Roman" w:cs="Times New Roman"/>
        </w:rPr>
        <w:t>24.06.2025</w:t>
      </w:r>
    </w:p>
    <w:p w:rsidR="00A33349" w:rsidRDefault="00A33349" w:rsidP="00F65B2C">
      <w:pPr>
        <w:rPr>
          <w:rFonts w:ascii="Times New Roman" w:hAnsi="Times New Roman" w:cs="Times New Roman"/>
        </w:rPr>
      </w:pPr>
      <w:r w:rsidRPr="00F65B2C">
        <w:rPr>
          <w:rFonts w:ascii="Times New Roman" w:hAnsi="Times New Roman" w:cs="Times New Roman"/>
        </w:rPr>
        <w:br/>
      </w: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p w:rsidR="00F65B2C" w:rsidRDefault="00F65B2C" w:rsidP="00F65B2C">
      <w:pPr>
        <w:rPr>
          <w:rFonts w:ascii="Times New Roman" w:hAnsi="Times New Roman" w:cs="Times New Roman"/>
        </w:rPr>
      </w:pPr>
    </w:p>
    <w:sdt>
      <w:sdtPr>
        <w:id w:val="-1437056394"/>
        <w:docPartObj>
          <w:docPartGallery w:val="Table of Contents"/>
          <w:docPartUnique/>
        </w:docPartObj>
      </w:sdtPr>
      <w:sdtEndPr>
        <w:rPr>
          <w:rFonts w:asciiTheme="minorHAnsi" w:eastAsiaTheme="minorHAnsi" w:hAnsiTheme="minorHAnsi" w:cstheme="minorBidi"/>
          <w:noProof/>
          <w:color w:val="auto"/>
          <w:kern w:val="2"/>
          <w:sz w:val="24"/>
          <w:szCs w:val="24"/>
          <w14:ligatures w14:val="standardContextual"/>
        </w:rPr>
      </w:sdtEndPr>
      <w:sdtContent>
        <w:p w:rsidR="00F65B2C" w:rsidRDefault="00F65B2C">
          <w:pPr>
            <w:pStyle w:val="TOCHeading"/>
          </w:pPr>
          <w:r>
            <w:t>Table of Contents</w:t>
          </w:r>
        </w:p>
        <w:p w:rsidR="00F65B2C" w:rsidRDefault="00F65B2C">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201685657" w:history="1">
            <w:r w:rsidRPr="006165AF">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_Toc201685657 \h </w:instrText>
            </w:r>
            <w:r>
              <w:rPr>
                <w:noProof/>
                <w:webHidden/>
              </w:rPr>
            </w:r>
            <w:r>
              <w:rPr>
                <w:noProof/>
                <w:webHidden/>
              </w:rPr>
              <w:fldChar w:fldCharType="separate"/>
            </w:r>
            <w:r>
              <w:rPr>
                <w:noProof/>
                <w:webHidden/>
              </w:rPr>
              <w:t>2</w:t>
            </w:r>
            <w:r>
              <w:rPr>
                <w:noProof/>
                <w:webHidden/>
              </w:rPr>
              <w:fldChar w:fldCharType="end"/>
            </w:r>
          </w:hyperlink>
        </w:p>
        <w:p w:rsidR="00F65B2C" w:rsidRDefault="00F65B2C">
          <w:pPr>
            <w:pStyle w:val="TOC1"/>
            <w:tabs>
              <w:tab w:val="right" w:leader="dot" w:pos="9350"/>
            </w:tabs>
            <w:rPr>
              <w:noProof/>
            </w:rPr>
          </w:pPr>
          <w:hyperlink w:anchor="_Toc201685658" w:history="1">
            <w:r w:rsidRPr="006165A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_Toc201685658 \h </w:instrText>
            </w:r>
            <w:r>
              <w:rPr>
                <w:noProof/>
                <w:webHidden/>
              </w:rPr>
            </w:r>
            <w:r>
              <w:rPr>
                <w:noProof/>
                <w:webHidden/>
              </w:rPr>
              <w:fldChar w:fldCharType="separate"/>
            </w:r>
            <w:r>
              <w:rPr>
                <w:noProof/>
                <w:webHidden/>
              </w:rPr>
              <w:t>2</w:t>
            </w:r>
            <w:r>
              <w:rPr>
                <w:noProof/>
                <w:webHidden/>
              </w:rPr>
              <w:fldChar w:fldCharType="end"/>
            </w:r>
          </w:hyperlink>
        </w:p>
        <w:p w:rsidR="00F65B2C" w:rsidRDefault="00F65B2C">
          <w:pPr>
            <w:pStyle w:val="TOC1"/>
            <w:tabs>
              <w:tab w:val="right" w:leader="dot" w:pos="9350"/>
            </w:tabs>
            <w:rPr>
              <w:noProof/>
            </w:rPr>
          </w:pPr>
          <w:hyperlink w:anchor="_Toc201685659" w:history="1">
            <w:r w:rsidRPr="006165AF">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_Toc201685659 \h </w:instrText>
            </w:r>
            <w:r>
              <w:rPr>
                <w:noProof/>
                <w:webHidden/>
              </w:rPr>
            </w:r>
            <w:r>
              <w:rPr>
                <w:noProof/>
                <w:webHidden/>
              </w:rPr>
              <w:fldChar w:fldCharType="separate"/>
            </w:r>
            <w:r>
              <w:rPr>
                <w:noProof/>
                <w:webHidden/>
              </w:rPr>
              <w:t>3</w:t>
            </w:r>
            <w:r>
              <w:rPr>
                <w:noProof/>
                <w:webHidden/>
              </w:rPr>
              <w:fldChar w:fldCharType="end"/>
            </w:r>
          </w:hyperlink>
        </w:p>
        <w:p w:rsidR="00F65B2C" w:rsidRDefault="00F65B2C">
          <w:pPr>
            <w:pStyle w:val="TOC2"/>
            <w:tabs>
              <w:tab w:val="right" w:leader="dot" w:pos="9350"/>
            </w:tabs>
            <w:rPr>
              <w:noProof/>
            </w:rPr>
          </w:pPr>
          <w:hyperlink w:anchor="_Toc201685660" w:history="1">
            <w:r w:rsidRPr="006165AF">
              <w:rPr>
                <w:rStyle w:val="Hyperlink"/>
                <w:rFonts w:ascii="Times New Roman" w:hAnsi="Times New Roman" w:cs="Times New Roman"/>
                <w:noProof/>
              </w:rPr>
              <w:t>International Health Governance and Tourism</w:t>
            </w:r>
            <w:r>
              <w:rPr>
                <w:noProof/>
                <w:webHidden/>
              </w:rPr>
              <w:tab/>
            </w:r>
            <w:r>
              <w:rPr>
                <w:noProof/>
                <w:webHidden/>
              </w:rPr>
              <w:fldChar w:fldCharType="begin"/>
            </w:r>
            <w:r>
              <w:rPr>
                <w:noProof/>
                <w:webHidden/>
              </w:rPr>
              <w:instrText xml:space="preserve"> PAGEREF _Toc201685660 \h </w:instrText>
            </w:r>
            <w:r>
              <w:rPr>
                <w:noProof/>
                <w:webHidden/>
              </w:rPr>
            </w:r>
            <w:r>
              <w:rPr>
                <w:noProof/>
                <w:webHidden/>
              </w:rPr>
              <w:fldChar w:fldCharType="separate"/>
            </w:r>
            <w:r>
              <w:rPr>
                <w:noProof/>
                <w:webHidden/>
              </w:rPr>
              <w:t>4</w:t>
            </w:r>
            <w:r>
              <w:rPr>
                <w:noProof/>
                <w:webHidden/>
              </w:rPr>
              <w:fldChar w:fldCharType="end"/>
            </w:r>
          </w:hyperlink>
        </w:p>
        <w:p w:rsidR="00F65B2C" w:rsidRDefault="00F65B2C">
          <w:pPr>
            <w:pStyle w:val="TOC2"/>
            <w:tabs>
              <w:tab w:val="right" w:leader="dot" w:pos="9350"/>
            </w:tabs>
            <w:rPr>
              <w:noProof/>
            </w:rPr>
          </w:pPr>
          <w:hyperlink w:anchor="_Toc201685661" w:history="1">
            <w:r w:rsidRPr="006165AF">
              <w:rPr>
                <w:rStyle w:val="Hyperlink"/>
                <w:rFonts w:ascii="Times New Roman" w:hAnsi="Times New Roman" w:cs="Times New Roman"/>
                <w:noProof/>
              </w:rPr>
              <w:t>Crisis Management Theory in Tourism Contexts</w:t>
            </w:r>
            <w:r>
              <w:rPr>
                <w:noProof/>
                <w:webHidden/>
              </w:rPr>
              <w:tab/>
            </w:r>
            <w:r>
              <w:rPr>
                <w:noProof/>
                <w:webHidden/>
              </w:rPr>
              <w:fldChar w:fldCharType="begin"/>
            </w:r>
            <w:r>
              <w:rPr>
                <w:noProof/>
                <w:webHidden/>
              </w:rPr>
              <w:instrText xml:space="preserve"> PAGEREF _Toc201685661 \h </w:instrText>
            </w:r>
            <w:r>
              <w:rPr>
                <w:noProof/>
                <w:webHidden/>
              </w:rPr>
            </w:r>
            <w:r>
              <w:rPr>
                <w:noProof/>
                <w:webHidden/>
              </w:rPr>
              <w:fldChar w:fldCharType="separate"/>
            </w:r>
            <w:r>
              <w:rPr>
                <w:noProof/>
                <w:webHidden/>
              </w:rPr>
              <w:t>4</w:t>
            </w:r>
            <w:r>
              <w:rPr>
                <w:noProof/>
                <w:webHidden/>
              </w:rPr>
              <w:fldChar w:fldCharType="end"/>
            </w:r>
          </w:hyperlink>
        </w:p>
        <w:p w:rsidR="00F65B2C" w:rsidRDefault="00F65B2C">
          <w:pPr>
            <w:pStyle w:val="TOC2"/>
            <w:tabs>
              <w:tab w:val="right" w:leader="dot" w:pos="9350"/>
            </w:tabs>
            <w:rPr>
              <w:noProof/>
            </w:rPr>
          </w:pPr>
          <w:hyperlink w:anchor="_Toc201685662" w:history="1">
            <w:r w:rsidRPr="006165AF">
              <w:rPr>
                <w:rStyle w:val="Hyperlink"/>
                <w:rFonts w:ascii="Times New Roman" w:hAnsi="Times New Roman" w:cs="Times New Roman"/>
                <w:noProof/>
              </w:rPr>
              <w:t>Health Surveillance and Early Warning Systems</w:t>
            </w:r>
            <w:r>
              <w:rPr>
                <w:noProof/>
                <w:webHidden/>
              </w:rPr>
              <w:tab/>
            </w:r>
            <w:r>
              <w:rPr>
                <w:noProof/>
                <w:webHidden/>
              </w:rPr>
              <w:fldChar w:fldCharType="begin"/>
            </w:r>
            <w:r>
              <w:rPr>
                <w:noProof/>
                <w:webHidden/>
              </w:rPr>
              <w:instrText xml:space="preserve"> PAGEREF _Toc201685662 \h </w:instrText>
            </w:r>
            <w:r>
              <w:rPr>
                <w:noProof/>
                <w:webHidden/>
              </w:rPr>
            </w:r>
            <w:r>
              <w:rPr>
                <w:noProof/>
                <w:webHidden/>
              </w:rPr>
              <w:fldChar w:fldCharType="separate"/>
            </w:r>
            <w:r>
              <w:rPr>
                <w:noProof/>
                <w:webHidden/>
              </w:rPr>
              <w:t>5</w:t>
            </w:r>
            <w:r>
              <w:rPr>
                <w:noProof/>
                <w:webHidden/>
              </w:rPr>
              <w:fldChar w:fldCharType="end"/>
            </w:r>
          </w:hyperlink>
        </w:p>
        <w:p w:rsidR="00F65B2C" w:rsidRDefault="00F65B2C">
          <w:pPr>
            <w:pStyle w:val="TOC2"/>
            <w:tabs>
              <w:tab w:val="right" w:leader="dot" w:pos="9350"/>
            </w:tabs>
            <w:rPr>
              <w:noProof/>
            </w:rPr>
          </w:pPr>
          <w:hyperlink w:anchor="_Toc201685663" w:history="1">
            <w:r w:rsidRPr="006165AF">
              <w:rPr>
                <w:rStyle w:val="Hyperlink"/>
                <w:rFonts w:ascii="Times New Roman" w:hAnsi="Times New Roman" w:cs="Times New Roman"/>
                <w:noProof/>
              </w:rPr>
              <w:t>Risk Communication in Health Crises</w:t>
            </w:r>
            <w:r>
              <w:rPr>
                <w:noProof/>
                <w:webHidden/>
              </w:rPr>
              <w:tab/>
            </w:r>
            <w:r>
              <w:rPr>
                <w:noProof/>
                <w:webHidden/>
              </w:rPr>
              <w:fldChar w:fldCharType="begin"/>
            </w:r>
            <w:r>
              <w:rPr>
                <w:noProof/>
                <w:webHidden/>
              </w:rPr>
              <w:instrText xml:space="preserve"> PAGEREF _Toc201685663 \h </w:instrText>
            </w:r>
            <w:r>
              <w:rPr>
                <w:noProof/>
                <w:webHidden/>
              </w:rPr>
            </w:r>
            <w:r>
              <w:rPr>
                <w:noProof/>
                <w:webHidden/>
              </w:rPr>
              <w:fldChar w:fldCharType="separate"/>
            </w:r>
            <w:r>
              <w:rPr>
                <w:noProof/>
                <w:webHidden/>
              </w:rPr>
              <w:t>5</w:t>
            </w:r>
            <w:r>
              <w:rPr>
                <w:noProof/>
                <w:webHidden/>
              </w:rPr>
              <w:fldChar w:fldCharType="end"/>
            </w:r>
          </w:hyperlink>
        </w:p>
        <w:p w:rsidR="00F65B2C" w:rsidRDefault="00F65B2C">
          <w:pPr>
            <w:pStyle w:val="TOC2"/>
            <w:tabs>
              <w:tab w:val="right" w:leader="dot" w:pos="9350"/>
            </w:tabs>
            <w:rPr>
              <w:noProof/>
            </w:rPr>
          </w:pPr>
          <w:hyperlink w:anchor="_Toc201685664" w:history="1">
            <w:r w:rsidRPr="006165AF">
              <w:rPr>
                <w:rStyle w:val="Hyperlink"/>
                <w:rFonts w:ascii="Times New Roman" w:hAnsi="Times New Roman" w:cs="Times New Roman"/>
                <w:noProof/>
              </w:rPr>
              <w:t>Legal and Regulatory Coordination Mechanisms</w:t>
            </w:r>
            <w:r>
              <w:rPr>
                <w:noProof/>
                <w:webHidden/>
              </w:rPr>
              <w:tab/>
            </w:r>
            <w:r>
              <w:rPr>
                <w:noProof/>
                <w:webHidden/>
              </w:rPr>
              <w:fldChar w:fldCharType="begin"/>
            </w:r>
            <w:r>
              <w:rPr>
                <w:noProof/>
                <w:webHidden/>
              </w:rPr>
              <w:instrText xml:space="preserve"> PAGEREF _Toc201685664 \h </w:instrText>
            </w:r>
            <w:r>
              <w:rPr>
                <w:noProof/>
                <w:webHidden/>
              </w:rPr>
            </w:r>
            <w:r>
              <w:rPr>
                <w:noProof/>
                <w:webHidden/>
              </w:rPr>
              <w:fldChar w:fldCharType="separate"/>
            </w:r>
            <w:r>
              <w:rPr>
                <w:noProof/>
                <w:webHidden/>
              </w:rPr>
              <w:t>5</w:t>
            </w:r>
            <w:r>
              <w:rPr>
                <w:noProof/>
                <w:webHidden/>
              </w:rPr>
              <w:fldChar w:fldCharType="end"/>
            </w:r>
          </w:hyperlink>
        </w:p>
        <w:p w:rsidR="00F65B2C" w:rsidRDefault="00F65B2C">
          <w:pPr>
            <w:pStyle w:val="TOC2"/>
            <w:tabs>
              <w:tab w:val="right" w:leader="dot" w:pos="9350"/>
            </w:tabs>
            <w:rPr>
              <w:noProof/>
            </w:rPr>
          </w:pPr>
          <w:hyperlink w:anchor="_Toc201685665" w:history="1">
            <w:r w:rsidRPr="006165AF">
              <w:rPr>
                <w:rStyle w:val="Hyperlink"/>
                <w:rFonts w:ascii="Times New Roman" w:hAnsi="Times New Roman" w:cs="Times New Roman"/>
                <w:noProof/>
              </w:rPr>
              <w:t>Gaps in Existing Literature</w:t>
            </w:r>
            <w:r>
              <w:rPr>
                <w:noProof/>
                <w:webHidden/>
              </w:rPr>
              <w:tab/>
            </w:r>
            <w:r>
              <w:rPr>
                <w:noProof/>
                <w:webHidden/>
              </w:rPr>
              <w:fldChar w:fldCharType="begin"/>
            </w:r>
            <w:r>
              <w:rPr>
                <w:noProof/>
                <w:webHidden/>
              </w:rPr>
              <w:instrText xml:space="preserve"> PAGEREF _Toc201685665 \h </w:instrText>
            </w:r>
            <w:r>
              <w:rPr>
                <w:noProof/>
                <w:webHidden/>
              </w:rPr>
            </w:r>
            <w:r>
              <w:rPr>
                <w:noProof/>
                <w:webHidden/>
              </w:rPr>
              <w:fldChar w:fldCharType="separate"/>
            </w:r>
            <w:r>
              <w:rPr>
                <w:noProof/>
                <w:webHidden/>
              </w:rPr>
              <w:t>6</w:t>
            </w:r>
            <w:r>
              <w:rPr>
                <w:noProof/>
                <w:webHidden/>
              </w:rPr>
              <w:fldChar w:fldCharType="end"/>
            </w:r>
          </w:hyperlink>
        </w:p>
        <w:p w:rsidR="00F65B2C" w:rsidRDefault="00F65B2C">
          <w:pPr>
            <w:pStyle w:val="TOC1"/>
            <w:tabs>
              <w:tab w:val="right" w:leader="dot" w:pos="9350"/>
            </w:tabs>
            <w:rPr>
              <w:noProof/>
            </w:rPr>
          </w:pPr>
          <w:hyperlink w:anchor="_Toc201685666" w:history="1">
            <w:r w:rsidRPr="006165AF">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_Toc201685666 \h </w:instrText>
            </w:r>
            <w:r>
              <w:rPr>
                <w:noProof/>
                <w:webHidden/>
              </w:rPr>
            </w:r>
            <w:r>
              <w:rPr>
                <w:noProof/>
                <w:webHidden/>
              </w:rPr>
              <w:fldChar w:fldCharType="separate"/>
            </w:r>
            <w:r>
              <w:rPr>
                <w:noProof/>
                <w:webHidden/>
              </w:rPr>
              <w:t>6</w:t>
            </w:r>
            <w:r>
              <w:rPr>
                <w:noProof/>
                <w:webHidden/>
              </w:rPr>
              <w:fldChar w:fldCharType="end"/>
            </w:r>
          </w:hyperlink>
        </w:p>
        <w:p w:rsidR="00F65B2C" w:rsidRDefault="00F65B2C">
          <w:pPr>
            <w:pStyle w:val="TOC2"/>
            <w:tabs>
              <w:tab w:val="right" w:leader="dot" w:pos="9350"/>
            </w:tabs>
            <w:rPr>
              <w:noProof/>
            </w:rPr>
          </w:pPr>
          <w:hyperlink w:anchor="_Toc201685667" w:history="1">
            <w:r w:rsidRPr="006165AF">
              <w:rPr>
                <w:rStyle w:val="Hyperlink"/>
                <w:rFonts w:ascii="Times New Roman" w:hAnsi="Times New Roman" w:cs="Times New Roman"/>
                <w:noProof/>
              </w:rPr>
              <w:t>Research Design</w:t>
            </w:r>
            <w:r>
              <w:rPr>
                <w:noProof/>
                <w:webHidden/>
              </w:rPr>
              <w:tab/>
            </w:r>
            <w:r>
              <w:rPr>
                <w:noProof/>
                <w:webHidden/>
              </w:rPr>
              <w:fldChar w:fldCharType="begin"/>
            </w:r>
            <w:r>
              <w:rPr>
                <w:noProof/>
                <w:webHidden/>
              </w:rPr>
              <w:instrText xml:space="preserve"> PAGEREF _Toc201685667 \h </w:instrText>
            </w:r>
            <w:r>
              <w:rPr>
                <w:noProof/>
                <w:webHidden/>
              </w:rPr>
            </w:r>
            <w:r>
              <w:rPr>
                <w:noProof/>
                <w:webHidden/>
              </w:rPr>
              <w:fldChar w:fldCharType="separate"/>
            </w:r>
            <w:r>
              <w:rPr>
                <w:noProof/>
                <w:webHidden/>
              </w:rPr>
              <w:t>6</w:t>
            </w:r>
            <w:r>
              <w:rPr>
                <w:noProof/>
                <w:webHidden/>
              </w:rPr>
              <w:fldChar w:fldCharType="end"/>
            </w:r>
          </w:hyperlink>
        </w:p>
        <w:p w:rsidR="00F65B2C" w:rsidRDefault="00F65B2C">
          <w:pPr>
            <w:pStyle w:val="TOC2"/>
            <w:tabs>
              <w:tab w:val="right" w:leader="dot" w:pos="9350"/>
            </w:tabs>
            <w:rPr>
              <w:noProof/>
            </w:rPr>
          </w:pPr>
          <w:hyperlink w:anchor="_Toc201685668" w:history="1">
            <w:r w:rsidRPr="006165AF">
              <w:rPr>
                <w:rStyle w:val="Hyperlink"/>
                <w:rFonts w:ascii="Times New Roman" w:hAnsi="Times New Roman" w:cs="Times New Roman"/>
                <w:noProof/>
              </w:rPr>
              <w:t>Data Collection Methods</w:t>
            </w:r>
            <w:r>
              <w:rPr>
                <w:noProof/>
                <w:webHidden/>
              </w:rPr>
              <w:tab/>
            </w:r>
            <w:r>
              <w:rPr>
                <w:noProof/>
                <w:webHidden/>
              </w:rPr>
              <w:fldChar w:fldCharType="begin"/>
            </w:r>
            <w:r>
              <w:rPr>
                <w:noProof/>
                <w:webHidden/>
              </w:rPr>
              <w:instrText xml:space="preserve"> PAGEREF _Toc201685668 \h </w:instrText>
            </w:r>
            <w:r>
              <w:rPr>
                <w:noProof/>
                <w:webHidden/>
              </w:rPr>
            </w:r>
            <w:r>
              <w:rPr>
                <w:noProof/>
                <w:webHidden/>
              </w:rPr>
              <w:fldChar w:fldCharType="separate"/>
            </w:r>
            <w:r>
              <w:rPr>
                <w:noProof/>
                <w:webHidden/>
              </w:rPr>
              <w:t>6</w:t>
            </w:r>
            <w:r>
              <w:rPr>
                <w:noProof/>
                <w:webHidden/>
              </w:rPr>
              <w:fldChar w:fldCharType="end"/>
            </w:r>
          </w:hyperlink>
        </w:p>
        <w:p w:rsidR="00F65B2C" w:rsidRDefault="00F65B2C">
          <w:pPr>
            <w:pStyle w:val="TOC2"/>
            <w:tabs>
              <w:tab w:val="right" w:leader="dot" w:pos="9350"/>
            </w:tabs>
            <w:rPr>
              <w:noProof/>
            </w:rPr>
          </w:pPr>
          <w:hyperlink w:anchor="_Toc201685669" w:history="1">
            <w:r w:rsidRPr="006165AF">
              <w:rPr>
                <w:rStyle w:val="Hyperlink"/>
                <w:rFonts w:ascii="Times New Roman" w:hAnsi="Times New Roman" w:cs="Times New Roman"/>
                <w:noProof/>
              </w:rPr>
              <w:t>Analytical Framework</w:t>
            </w:r>
            <w:r>
              <w:rPr>
                <w:noProof/>
                <w:webHidden/>
              </w:rPr>
              <w:tab/>
            </w:r>
            <w:r>
              <w:rPr>
                <w:noProof/>
                <w:webHidden/>
              </w:rPr>
              <w:fldChar w:fldCharType="begin"/>
            </w:r>
            <w:r>
              <w:rPr>
                <w:noProof/>
                <w:webHidden/>
              </w:rPr>
              <w:instrText xml:space="preserve"> PAGEREF _Toc201685669 \h </w:instrText>
            </w:r>
            <w:r>
              <w:rPr>
                <w:noProof/>
                <w:webHidden/>
              </w:rPr>
            </w:r>
            <w:r>
              <w:rPr>
                <w:noProof/>
                <w:webHidden/>
              </w:rPr>
              <w:fldChar w:fldCharType="separate"/>
            </w:r>
            <w:r>
              <w:rPr>
                <w:noProof/>
                <w:webHidden/>
              </w:rPr>
              <w:t>7</w:t>
            </w:r>
            <w:r>
              <w:rPr>
                <w:noProof/>
                <w:webHidden/>
              </w:rPr>
              <w:fldChar w:fldCharType="end"/>
            </w:r>
          </w:hyperlink>
        </w:p>
        <w:p w:rsidR="00F65B2C" w:rsidRDefault="00F65B2C">
          <w:pPr>
            <w:pStyle w:val="TOC2"/>
            <w:tabs>
              <w:tab w:val="right" w:leader="dot" w:pos="9350"/>
            </w:tabs>
            <w:rPr>
              <w:noProof/>
            </w:rPr>
          </w:pPr>
          <w:hyperlink w:anchor="_Toc201685670" w:history="1">
            <w:r w:rsidRPr="006165AF">
              <w:rPr>
                <w:rStyle w:val="Hyperlink"/>
                <w:rFonts w:ascii="Times New Roman" w:hAnsi="Times New Roman" w:cs="Times New Roman"/>
                <w:noProof/>
              </w:rPr>
              <w:t>Case Study Selection</w:t>
            </w:r>
            <w:r>
              <w:rPr>
                <w:noProof/>
                <w:webHidden/>
              </w:rPr>
              <w:tab/>
            </w:r>
            <w:r>
              <w:rPr>
                <w:noProof/>
                <w:webHidden/>
              </w:rPr>
              <w:fldChar w:fldCharType="begin"/>
            </w:r>
            <w:r>
              <w:rPr>
                <w:noProof/>
                <w:webHidden/>
              </w:rPr>
              <w:instrText xml:space="preserve"> PAGEREF _Toc201685670 \h </w:instrText>
            </w:r>
            <w:r>
              <w:rPr>
                <w:noProof/>
                <w:webHidden/>
              </w:rPr>
            </w:r>
            <w:r>
              <w:rPr>
                <w:noProof/>
                <w:webHidden/>
              </w:rPr>
              <w:fldChar w:fldCharType="separate"/>
            </w:r>
            <w:r>
              <w:rPr>
                <w:noProof/>
                <w:webHidden/>
              </w:rPr>
              <w:t>7</w:t>
            </w:r>
            <w:r>
              <w:rPr>
                <w:noProof/>
                <w:webHidden/>
              </w:rPr>
              <w:fldChar w:fldCharType="end"/>
            </w:r>
          </w:hyperlink>
        </w:p>
        <w:p w:rsidR="00F65B2C" w:rsidRDefault="00F65B2C">
          <w:pPr>
            <w:pStyle w:val="TOC2"/>
            <w:tabs>
              <w:tab w:val="right" w:leader="dot" w:pos="9350"/>
            </w:tabs>
            <w:rPr>
              <w:noProof/>
            </w:rPr>
          </w:pPr>
          <w:hyperlink w:anchor="_Toc201685671" w:history="1">
            <w:r w:rsidRPr="006165AF">
              <w:rPr>
                <w:rStyle w:val="Hyperlink"/>
                <w:rFonts w:ascii="Times New Roman" w:hAnsi="Times New Roman" w:cs="Times New Roman"/>
                <w:noProof/>
              </w:rPr>
              <w:t>Data Analysis Procedures</w:t>
            </w:r>
            <w:r>
              <w:rPr>
                <w:noProof/>
                <w:webHidden/>
              </w:rPr>
              <w:tab/>
            </w:r>
            <w:r>
              <w:rPr>
                <w:noProof/>
                <w:webHidden/>
              </w:rPr>
              <w:fldChar w:fldCharType="begin"/>
            </w:r>
            <w:r>
              <w:rPr>
                <w:noProof/>
                <w:webHidden/>
              </w:rPr>
              <w:instrText xml:space="preserve"> PAGEREF _Toc201685671 \h </w:instrText>
            </w:r>
            <w:r>
              <w:rPr>
                <w:noProof/>
                <w:webHidden/>
              </w:rPr>
            </w:r>
            <w:r>
              <w:rPr>
                <w:noProof/>
                <w:webHidden/>
              </w:rPr>
              <w:fldChar w:fldCharType="separate"/>
            </w:r>
            <w:r>
              <w:rPr>
                <w:noProof/>
                <w:webHidden/>
              </w:rPr>
              <w:t>7</w:t>
            </w:r>
            <w:r>
              <w:rPr>
                <w:noProof/>
                <w:webHidden/>
              </w:rPr>
              <w:fldChar w:fldCharType="end"/>
            </w:r>
          </w:hyperlink>
        </w:p>
        <w:p w:rsidR="00F65B2C" w:rsidRDefault="00F65B2C">
          <w:pPr>
            <w:pStyle w:val="TOC2"/>
            <w:tabs>
              <w:tab w:val="right" w:leader="dot" w:pos="9350"/>
            </w:tabs>
            <w:rPr>
              <w:noProof/>
            </w:rPr>
          </w:pPr>
          <w:hyperlink w:anchor="_Toc201685672" w:history="1">
            <w:r w:rsidRPr="006165AF">
              <w:rPr>
                <w:rStyle w:val="Hyperlink"/>
                <w:rFonts w:ascii="Times New Roman" w:hAnsi="Times New Roman" w:cs="Times New Roman"/>
                <w:noProof/>
              </w:rPr>
              <w:t>Validation Strategies</w:t>
            </w:r>
            <w:r>
              <w:rPr>
                <w:noProof/>
                <w:webHidden/>
              </w:rPr>
              <w:tab/>
            </w:r>
            <w:r>
              <w:rPr>
                <w:noProof/>
                <w:webHidden/>
              </w:rPr>
              <w:fldChar w:fldCharType="begin"/>
            </w:r>
            <w:r>
              <w:rPr>
                <w:noProof/>
                <w:webHidden/>
              </w:rPr>
              <w:instrText xml:space="preserve"> PAGEREF _Toc201685672 \h </w:instrText>
            </w:r>
            <w:r>
              <w:rPr>
                <w:noProof/>
                <w:webHidden/>
              </w:rPr>
            </w:r>
            <w:r>
              <w:rPr>
                <w:noProof/>
                <w:webHidden/>
              </w:rPr>
              <w:fldChar w:fldCharType="separate"/>
            </w:r>
            <w:r>
              <w:rPr>
                <w:noProof/>
                <w:webHidden/>
              </w:rPr>
              <w:t>8</w:t>
            </w:r>
            <w:r>
              <w:rPr>
                <w:noProof/>
                <w:webHidden/>
              </w:rPr>
              <w:fldChar w:fldCharType="end"/>
            </w:r>
          </w:hyperlink>
        </w:p>
        <w:p w:rsidR="00F65B2C" w:rsidRDefault="00F65B2C">
          <w:pPr>
            <w:pStyle w:val="TOC2"/>
            <w:tabs>
              <w:tab w:val="right" w:leader="dot" w:pos="9350"/>
            </w:tabs>
            <w:rPr>
              <w:noProof/>
            </w:rPr>
          </w:pPr>
          <w:hyperlink w:anchor="_Toc201685673" w:history="1">
            <w:r w:rsidRPr="006165AF">
              <w:rPr>
                <w:rStyle w:val="Hyperlink"/>
                <w:rFonts w:ascii="Times New Roman" w:hAnsi="Times New Roman" w:cs="Times New Roman"/>
                <w:noProof/>
              </w:rPr>
              <w:t>Ethical Considerations</w:t>
            </w:r>
            <w:r>
              <w:rPr>
                <w:noProof/>
                <w:webHidden/>
              </w:rPr>
              <w:tab/>
            </w:r>
            <w:r>
              <w:rPr>
                <w:noProof/>
                <w:webHidden/>
              </w:rPr>
              <w:fldChar w:fldCharType="begin"/>
            </w:r>
            <w:r>
              <w:rPr>
                <w:noProof/>
                <w:webHidden/>
              </w:rPr>
              <w:instrText xml:space="preserve"> PAGEREF _Toc201685673 \h </w:instrText>
            </w:r>
            <w:r>
              <w:rPr>
                <w:noProof/>
                <w:webHidden/>
              </w:rPr>
            </w:r>
            <w:r>
              <w:rPr>
                <w:noProof/>
                <w:webHidden/>
              </w:rPr>
              <w:fldChar w:fldCharType="separate"/>
            </w:r>
            <w:r>
              <w:rPr>
                <w:noProof/>
                <w:webHidden/>
              </w:rPr>
              <w:t>8</w:t>
            </w:r>
            <w:r>
              <w:rPr>
                <w:noProof/>
                <w:webHidden/>
              </w:rPr>
              <w:fldChar w:fldCharType="end"/>
            </w:r>
          </w:hyperlink>
        </w:p>
        <w:p w:rsidR="00F65B2C" w:rsidRDefault="00F65B2C">
          <w:pPr>
            <w:pStyle w:val="TOC2"/>
            <w:tabs>
              <w:tab w:val="right" w:leader="dot" w:pos="9350"/>
            </w:tabs>
            <w:rPr>
              <w:noProof/>
            </w:rPr>
          </w:pPr>
          <w:hyperlink w:anchor="_Toc201685674" w:history="1">
            <w:r w:rsidRPr="006165AF">
              <w:rPr>
                <w:rStyle w:val="Hyperlink"/>
                <w:rFonts w:ascii="Times New Roman" w:hAnsi="Times New Roman" w:cs="Times New Roman"/>
                <w:noProof/>
              </w:rPr>
              <w:t>Limitations</w:t>
            </w:r>
            <w:r>
              <w:rPr>
                <w:noProof/>
                <w:webHidden/>
              </w:rPr>
              <w:tab/>
            </w:r>
            <w:r>
              <w:rPr>
                <w:noProof/>
                <w:webHidden/>
              </w:rPr>
              <w:fldChar w:fldCharType="begin"/>
            </w:r>
            <w:r>
              <w:rPr>
                <w:noProof/>
                <w:webHidden/>
              </w:rPr>
              <w:instrText xml:space="preserve"> PAGEREF _Toc201685674 \h </w:instrText>
            </w:r>
            <w:r>
              <w:rPr>
                <w:noProof/>
                <w:webHidden/>
              </w:rPr>
            </w:r>
            <w:r>
              <w:rPr>
                <w:noProof/>
                <w:webHidden/>
              </w:rPr>
              <w:fldChar w:fldCharType="separate"/>
            </w:r>
            <w:r>
              <w:rPr>
                <w:noProof/>
                <w:webHidden/>
              </w:rPr>
              <w:t>8</w:t>
            </w:r>
            <w:r>
              <w:rPr>
                <w:noProof/>
                <w:webHidden/>
              </w:rPr>
              <w:fldChar w:fldCharType="end"/>
            </w:r>
          </w:hyperlink>
        </w:p>
        <w:p w:rsidR="00F65B2C" w:rsidRDefault="00F65B2C">
          <w:pPr>
            <w:pStyle w:val="TOC1"/>
            <w:tabs>
              <w:tab w:val="right" w:leader="dot" w:pos="9350"/>
            </w:tabs>
            <w:rPr>
              <w:noProof/>
            </w:rPr>
          </w:pPr>
          <w:hyperlink w:anchor="_Toc201685675" w:history="1">
            <w:r w:rsidRPr="006165AF">
              <w:rPr>
                <w:rStyle w:val="Hyperlink"/>
                <w:rFonts w:ascii="Times New Roman" w:eastAsia="Times New Roman" w:hAnsi="Times New Roman" w:cs="Times New Roman"/>
                <w:noProof/>
              </w:rPr>
              <w:t>Findings</w:t>
            </w:r>
            <w:r>
              <w:rPr>
                <w:noProof/>
                <w:webHidden/>
              </w:rPr>
              <w:tab/>
            </w:r>
            <w:r>
              <w:rPr>
                <w:noProof/>
                <w:webHidden/>
              </w:rPr>
              <w:fldChar w:fldCharType="begin"/>
            </w:r>
            <w:r>
              <w:rPr>
                <w:noProof/>
                <w:webHidden/>
              </w:rPr>
              <w:instrText xml:space="preserve"> PAGEREF _Toc201685675 \h </w:instrText>
            </w:r>
            <w:r>
              <w:rPr>
                <w:noProof/>
                <w:webHidden/>
              </w:rPr>
            </w:r>
            <w:r>
              <w:rPr>
                <w:noProof/>
                <w:webHidden/>
              </w:rPr>
              <w:fldChar w:fldCharType="separate"/>
            </w:r>
            <w:r>
              <w:rPr>
                <w:noProof/>
                <w:webHidden/>
              </w:rPr>
              <w:t>8</w:t>
            </w:r>
            <w:r>
              <w:rPr>
                <w:noProof/>
                <w:webHidden/>
              </w:rPr>
              <w:fldChar w:fldCharType="end"/>
            </w:r>
          </w:hyperlink>
        </w:p>
        <w:p w:rsidR="00F65B2C" w:rsidRDefault="00F65B2C">
          <w:pPr>
            <w:pStyle w:val="TOC2"/>
            <w:tabs>
              <w:tab w:val="right" w:leader="dot" w:pos="9350"/>
            </w:tabs>
            <w:rPr>
              <w:noProof/>
            </w:rPr>
          </w:pPr>
          <w:hyperlink w:anchor="_Toc201685676" w:history="1">
            <w:r w:rsidRPr="006165AF">
              <w:rPr>
                <w:rStyle w:val="Hyperlink"/>
                <w:rFonts w:ascii="Times New Roman" w:eastAsia="Times New Roman" w:hAnsi="Times New Roman" w:cs="Times New Roman"/>
                <w:noProof/>
              </w:rPr>
              <w:t>Tier 1: Detection and Surveillance</w:t>
            </w:r>
            <w:r>
              <w:rPr>
                <w:noProof/>
                <w:webHidden/>
              </w:rPr>
              <w:tab/>
            </w:r>
            <w:r>
              <w:rPr>
                <w:noProof/>
                <w:webHidden/>
              </w:rPr>
              <w:fldChar w:fldCharType="begin"/>
            </w:r>
            <w:r>
              <w:rPr>
                <w:noProof/>
                <w:webHidden/>
              </w:rPr>
              <w:instrText xml:space="preserve"> PAGEREF _Toc201685676 \h </w:instrText>
            </w:r>
            <w:r>
              <w:rPr>
                <w:noProof/>
                <w:webHidden/>
              </w:rPr>
            </w:r>
            <w:r>
              <w:rPr>
                <w:noProof/>
                <w:webHidden/>
              </w:rPr>
              <w:fldChar w:fldCharType="separate"/>
            </w:r>
            <w:r>
              <w:rPr>
                <w:noProof/>
                <w:webHidden/>
              </w:rPr>
              <w:t>9</w:t>
            </w:r>
            <w:r>
              <w:rPr>
                <w:noProof/>
                <w:webHidden/>
              </w:rPr>
              <w:fldChar w:fldCharType="end"/>
            </w:r>
          </w:hyperlink>
        </w:p>
        <w:p w:rsidR="00F65B2C" w:rsidRDefault="00F65B2C">
          <w:pPr>
            <w:pStyle w:val="TOC2"/>
            <w:tabs>
              <w:tab w:val="right" w:leader="dot" w:pos="9350"/>
            </w:tabs>
            <w:rPr>
              <w:noProof/>
            </w:rPr>
          </w:pPr>
          <w:hyperlink w:anchor="_Toc201685677" w:history="1">
            <w:r w:rsidRPr="006165AF">
              <w:rPr>
                <w:rStyle w:val="Hyperlink"/>
                <w:rFonts w:ascii="Times New Roman" w:eastAsia="Times New Roman" w:hAnsi="Times New Roman" w:cs="Times New Roman"/>
                <w:noProof/>
              </w:rPr>
              <w:t>Tier 2: Rapid Response Coordination</w:t>
            </w:r>
            <w:r>
              <w:rPr>
                <w:noProof/>
                <w:webHidden/>
              </w:rPr>
              <w:tab/>
            </w:r>
            <w:r>
              <w:rPr>
                <w:noProof/>
                <w:webHidden/>
              </w:rPr>
              <w:fldChar w:fldCharType="begin"/>
            </w:r>
            <w:r>
              <w:rPr>
                <w:noProof/>
                <w:webHidden/>
              </w:rPr>
              <w:instrText xml:space="preserve"> PAGEREF _Toc201685677 \h </w:instrText>
            </w:r>
            <w:r>
              <w:rPr>
                <w:noProof/>
                <w:webHidden/>
              </w:rPr>
            </w:r>
            <w:r>
              <w:rPr>
                <w:noProof/>
                <w:webHidden/>
              </w:rPr>
              <w:fldChar w:fldCharType="separate"/>
            </w:r>
            <w:r>
              <w:rPr>
                <w:noProof/>
                <w:webHidden/>
              </w:rPr>
              <w:t>9</w:t>
            </w:r>
            <w:r>
              <w:rPr>
                <w:noProof/>
                <w:webHidden/>
              </w:rPr>
              <w:fldChar w:fldCharType="end"/>
            </w:r>
          </w:hyperlink>
        </w:p>
        <w:p w:rsidR="00F65B2C" w:rsidRDefault="00F65B2C">
          <w:pPr>
            <w:pStyle w:val="TOC2"/>
            <w:tabs>
              <w:tab w:val="right" w:leader="dot" w:pos="9350"/>
            </w:tabs>
            <w:rPr>
              <w:noProof/>
            </w:rPr>
          </w:pPr>
          <w:hyperlink w:anchor="_Toc201685678" w:history="1">
            <w:r w:rsidRPr="006165AF">
              <w:rPr>
                <w:rStyle w:val="Hyperlink"/>
                <w:rFonts w:ascii="Times New Roman" w:eastAsia="Times New Roman" w:hAnsi="Times New Roman" w:cs="Times New Roman"/>
                <w:noProof/>
              </w:rPr>
              <w:t>Tier 3: Containment and Mitigation</w:t>
            </w:r>
            <w:r>
              <w:rPr>
                <w:noProof/>
                <w:webHidden/>
              </w:rPr>
              <w:tab/>
            </w:r>
            <w:r>
              <w:rPr>
                <w:noProof/>
                <w:webHidden/>
              </w:rPr>
              <w:fldChar w:fldCharType="begin"/>
            </w:r>
            <w:r>
              <w:rPr>
                <w:noProof/>
                <w:webHidden/>
              </w:rPr>
              <w:instrText xml:space="preserve"> PAGEREF _Toc201685678 \h </w:instrText>
            </w:r>
            <w:r>
              <w:rPr>
                <w:noProof/>
                <w:webHidden/>
              </w:rPr>
            </w:r>
            <w:r>
              <w:rPr>
                <w:noProof/>
                <w:webHidden/>
              </w:rPr>
              <w:fldChar w:fldCharType="separate"/>
            </w:r>
            <w:r>
              <w:rPr>
                <w:noProof/>
                <w:webHidden/>
              </w:rPr>
              <w:t>9</w:t>
            </w:r>
            <w:r>
              <w:rPr>
                <w:noProof/>
                <w:webHidden/>
              </w:rPr>
              <w:fldChar w:fldCharType="end"/>
            </w:r>
          </w:hyperlink>
        </w:p>
        <w:p w:rsidR="00F65B2C" w:rsidRDefault="00F65B2C">
          <w:pPr>
            <w:pStyle w:val="TOC2"/>
            <w:tabs>
              <w:tab w:val="right" w:leader="dot" w:pos="9350"/>
            </w:tabs>
            <w:rPr>
              <w:noProof/>
            </w:rPr>
          </w:pPr>
          <w:hyperlink w:anchor="_Toc201685679" w:history="1">
            <w:r w:rsidRPr="006165AF">
              <w:rPr>
                <w:rStyle w:val="Hyperlink"/>
                <w:rFonts w:ascii="Times New Roman" w:eastAsia="Times New Roman" w:hAnsi="Times New Roman" w:cs="Times New Roman"/>
                <w:noProof/>
              </w:rPr>
              <w:t>Tier 4: Recovery and Rebuilding</w:t>
            </w:r>
            <w:r>
              <w:rPr>
                <w:noProof/>
                <w:webHidden/>
              </w:rPr>
              <w:tab/>
            </w:r>
            <w:r>
              <w:rPr>
                <w:noProof/>
                <w:webHidden/>
              </w:rPr>
              <w:fldChar w:fldCharType="begin"/>
            </w:r>
            <w:r>
              <w:rPr>
                <w:noProof/>
                <w:webHidden/>
              </w:rPr>
              <w:instrText xml:space="preserve"> PAGEREF _Toc201685679 \h </w:instrText>
            </w:r>
            <w:r>
              <w:rPr>
                <w:noProof/>
                <w:webHidden/>
              </w:rPr>
            </w:r>
            <w:r>
              <w:rPr>
                <w:noProof/>
                <w:webHidden/>
              </w:rPr>
              <w:fldChar w:fldCharType="separate"/>
            </w:r>
            <w:r>
              <w:rPr>
                <w:noProof/>
                <w:webHidden/>
              </w:rPr>
              <w:t>9</w:t>
            </w:r>
            <w:r>
              <w:rPr>
                <w:noProof/>
                <w:webHidden/>
              </w:rPr>
              <w:fldChar w:fldCharType="end"/>
            </w:r>
          </w:hyperlink>
        </w:p>
        <w:p w:rsidR="00F65B2C" w:rsidRDefault="00F65B2C">
          <w:pPr>
            <w:pStyle w:val="TOC2"/>
            <w:tabs>
              <w:tab w:val="right" w:leader="dot" w:pos="9350"/>
            </w:tabs>
            <w:rPr>
              <w:noProof/>
            </w:rPr>
          </w:pPr>
          <w:hyperlink w:anchor="_Toc201685680" w:history="1">
            <w:r w:rsidRPr="006165AF">
              <w:rPr>
                <w:rStyle w:val="Hyperlink"/>
                <w:rFonts w:ascii="Times New Roman" w:eastAsia="Times New Roman" w:hAnsi="Times New Roman" w:cs="Times New Roman"/>
                <w:noProof/>
              </w:rPr>
              <w:t>Cross-Cutting Insights</w:t>
            </w:r>
            <w:r>
              <w:rPr>
                <w:noProof/>
                <w:webHidden/>
              </w:rPr>
              <w:tab/>
            </w:r>
            <w:r>
              <w:rPr>
                <w:noProof/>
                <w:webHidden/>
              </w:rPr>
              <w:fldChar w:fldCharType="begin"/>
            </w:r>
            <w:r>
              <w:rPr>
                <w:noProof/>
                <w:webHidden/>
              </w:rPr>
              <w:instrText xml:space="preserve"> PAGEREF _Toc201685680 \h </w:instrText>
            </w:r>
            <w:r>
              <w:rPr>
                <w:noProof/>
                <w:webHidden/>
              </w:rPr>
            </w:r>
            <w:r>
              <w:rPr>
                <w:noProof/>
                <w:webHidden/>
              </w:rPr>
              <w:fldChar w:fldCharType="separate"/>
            </w:r>
            <w:r>
              <w:rPr>
                <w:noProof/>
                <w:webHidden/>
              </w:rPr>
              <w:t>10</w:t>
            </w:r>
            <w:r>
              <w:rPr>
                <w:noProof/>
                <w:webHidden/>
              </w:rPr>
              <w:fldChar w:fldCharType="end"/>
            </w:r>
          </w:hyperlink>
        </w:p>
        <w:p w:rsidR="00F65B2C" w:rsidRDefault="00F65B2C">
          <w:pPr>
            <w:pStyle w:val="TOC1"/>
            <w:tabs>
              <w:tab w:val="right" w:leader="dot" w:pos="9350"/>
            </w:tabs>
            <w:rPr>
              <w:noProof/>
            </w:rPr>
          </w:pPr>
          <w:hyperlink w:anchor="_Toc201685681" w:history="1">
            <w:r w:rsidRPr="006165AF">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_Toc201685681 \h </w:instrText>
            </w:r>
            <w:r>
              <w:rPr>
                <w:noProof/>
                <w:webHidden/>
              </w:rPr>
            </w:r>
            <w:r>
              <w:rPr>
                <w:noProof/>
                <w:webHidden/>
              </w:rPr>
              <w:fldChar w:fldCharType="separate"/>
            </w:r>
            <w:r>
              <w:rPr>
                <w:noProof/>
                <w:webHidden/>
              </w:rPr>
              <w:t>10</w:t>
            </w:r>
            <w:r>
              <w:rPr>
                <w:noProof/>
                <w:webHidden/>
              </w:rPr>
              <w:fldChar w:fldCharType="end"/>
            </w:r>
          </w:hyperlink>
        </w:p>
        <w:p w:rsidR="00F65B2C" w:rsidRDefault="00F65B2C">
          <w:pPr>
            <w:pStyle w:val="TOC1"/>
            <w:tabs>
              <w:tab w:val="right" w:leader="dot" w:pos="9350"/>
            </w:tabs>
            <w:rPr>
              <w:noProof/>
            </w:rPr>
          </w:pPr>
          <w:hyperlink w:anchor="_Toc201685682" w:history="1">
            <w:r w:rsidRPr="006165AF">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_Toc201685682 \h </w:instrText>
            </w:r>
            <w:r>
              <w:rPr>
                <w:noProof/>
                <w:webHidden/>
              </w:rPr>
            </w:r>
            <w:r>
              <w:rPr>
                <w:noProof/>
                <w:webHidden/>
              </w:rPr>
              <w:fldChar w:fldCharType="separate"/>
            </w:r>
            <w:r>
              <w:rPr>
                <w:noProof/>
                <w:webHidden/>
              </w:rPr>
              <w:t>11</w:t>
            </w:r>
            <w:r>
              <w:rPr>
                <w:noProof/>
                <w:webHidden/>
              </w:rPr>
              <w:fldChar w:fldCharType="end"/>
            </w:r>
          </w:hyperlink>
        </w:p>
        <w:p w:rsidR="00F65B2C" w:rsidRDefault="00F65B2C">
          <w:pPr>
            <w:pStyle w:val="TOC1"/>
            <w:tabs>
              <w:tab w:val="right" w:leader="dot" w:pos="9350"/>
            </w:tabs>
            <w:rPr>
              <w:noProof/>
            </w:rPr>
          </w:pPr>
          <w:hyperlink w:anchor="_Toc201685683" w:history="1">
            <w:r w:rsidRPr="006165A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_Toc201685683 \h </w:instrText>
            </w:r>
            <w:r>
              <w:rPr>
                <w:noProof/>
                <w:webHidden/>
              </w:rPr>
            </w:r>
            <w:r>
              <w:rPr>
                <w:noProof/>
                <w:webHidden/>
              </w:rPr>
              <w:fldChar w:fldCharType="separate"/>
            </w:r>
            <w:r>
              <w:rPr>
                <w:noProof/>
                <w:webHidden/>
              </w:rPr>
              <w:t>14</w:t>
            </w:r>
            <w:r>
              <w:rPr>
                <w:noProof/>
                <w:webHidden/>
              </w:rPr>
              <w:fldChar w:fldCharType="end"/>
            </w:r>
          </w:hyperlink>
        </w:p>
        <w:p w:rsidR="00F65B2C" w:rsidRDefault="00F65B2C">
          <w:pPr>
            <w:pStyle w:val="TOC1"/>
            <w:tabs>
              <w:tab w:val="right" w:leader="dot" w:pos="9350"/>
            </w:tabs>
            <w:rPr>
              <w:noProof/>
            </w:rPr>
          </w:pPr>
          <w:hyperlink w:anchor="_Toc201685684" w:history="1">
            <w:r w:rsidRPr="006165AF">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_Toc201685684 \h </w:instrText>
            </w:r>
            <w:r>
              <w:rPr>
                <w:noProof/>
                <w:webHidden/>
              </w:rPr>
            </w:r>
            <w:r>
              <w:rPr>
                <w:noProof/>
                <w:webHidden/>
              </w:rPr>
              <w:fldChar w:fldCharType="separate"/>
            </w:r>
            <w:r>
              <w:rPr>
                <w:noProof/>
                <w:webHidden/>
              </w:rPr>
              <w:t>15</w:t>
            </w:r>
            <w:r>
              <w:rPr>
                <w:noProof/>
                <w:webHidden/>
              </w:rPr>
              <w:fldChar w:fldCharType="end"/>
            </w:r>
          </w:hyperlink>
        </w:p>
        <w:p w:rsidR="00A33349" w:rsidRPr="00F65B2C" w:rsidRDefault="00F65B2C" w:rsidP="00A33349">
          <w:r>
            <w:rPr>
              <w:b/>
              <w:bCs/>
              <w:noProof/>
            </w:rPr>
            <w:lastRenderedPageBreak/>
            <w:fldChar w:fldCharType="end"/>
          </w:r>
        </w:p>
      </w:sdtContent>
    </w:sdt>
    <w:p w:rsidR="00A33349" w:rsidRPr="00F65B2C" w:rsidRDefault="00A33349" w:rsidP="0011485B">
      <w:pPr>
        <w:pStyle w:val="Heading1"/>
        <w:rPr>
          <w:rFonts w:ascii="Times New Roman" w:hAnsi="Times New Roman" w:cs="Times New Roman"/>
          <w:b/>
          <w:bCs/>
          <w:sz w:val="32"/>
          <w:szCs w:val="32"/>
        </w:rPr>
      </w:pPr>
      <w:bookmarkStart w:id="0" w:name="_Toc201685657"/>
      <w:r w:rsidRPr="00F65B2C">
        <w:rPr>
          <w:rFonts w:ascii="Times New Roman" w:hAnsi="Times New Roman" w:cs="Times New Roman"/>
          <w:b/>
          <w:bCs/>
          <w:sz w:val="32"/>
          <w:szCs w:val="32"/>
        </w:rPr>
        <w:t>Abstract</w:t>
      </w:r>
      <w:bookmarkEnd w:id="0"/>
    </w:p>
    <w:p w:rsidR="00A33349" w:rsidRPr="00F65B2C" w:rsidRDefault="0011485B" w:rsidP="00A33349">
      <w:pPr>
        <w:rPr>
          <w:rFonts w:ascii="Times New Roman" w:hAnsi="Times New Roman" w:cs="Times New Roman"/>
        </w:rPr>
      </w:pPr>
      <w:r w:rsidRPr="00F65B2C">
        <w:rPr>
          <w:rFonts w:ascii="Times New Roman" w:hAnsi="Times New Roman" w:cs="Times New Roman"/>
        </w:rPr>
        <w:t>The following report suggests detailed multilevel health crisis management framework specifically applicable to cross-border tourism areas, namely, the Schengen Area in the European Union and travel corridors of the Association of Southeast Asian Nations (ASEAN). The structure takes care of the fatal lapses in joint health monitoring, response systems, and informational exchange among countries that exchange tourism traffic. This paper provides a set of merits and shortcomings among various jurisdictions against the background of available health regulatory frameworks, surveillance mechanisms, and response mechanisms that undermine effective health crisis management. In the offered structure, there are four levels of operations developed, including detection, and surveillance, rapid response coordination, containment and mitigation, and recovery and rebuilding. At the center point of this strategy is to incorporate the international health standards such as the World Health Organization International Health Regulations (2005) and EU Health Security Framework. The examples of actual and successful coordination and the vice versa can be seen through real-life case studies about the coronavirus Schengen Area response to pandemics and MERS-</w:t>
      </w:r>
      <w:proofErr w:type="spellStart"/>
      <w:r w:rsidRPr="00F65B2C">
        <w:rPr>
          <w:rFonts w:ascii="Times New Roman" w:hAnsi="Times New Roman" w:cs="Times New Roman"/>
        </w:rPr>
        <w:t>CoV</w:t>
      </w:r>
      <w:proofErr w:type="spellEnd"/>
      <w:r w:rsidRPr="00F65B2C">
        <w:rPr>
          <w:rFonts w:ascii="Times New Roman" w:hAnsi="Times New Roman" w:cs="Times New Roman"/>
        </w:rPr>
        <w:t xml:space="preserve"> response within the ASEAN region. The framework highlights the risk communication measures, coordination mechanisms of law and sharing of information with technology. Top recommendations are to set up cross border health intelligence divisions, unify health screening procedures, integrate joint rapid response units and unify communication channels used in communicating health alerts. The study of this research also adds value to the related field, given a feasible, evidence-based method of managing threats of health in a world of increasingly networked global tourism</w:t>
      </w:r>
      <w:r w:rsidR="00A33349" w:rsidRPr="00F65B2C">
        <w:rPr>
          <w:rFonts w:ascii="Times New Roman" w:hAnsi="Times New Roman" w:cs="Times New Roman"/>
        </w:rPr>
        <w:t>.</w:t>
      </w:r>
    </w:p>
    <w:p w:rsidR="00A33349" w:rsidRPr="00F65B2C" w:rsidRDefault="00A33349" w:rsidP="00A33349">
      <w:pPr>
        <w:rPr>
          <w:rFonts w:ascii="Times New Roman" w:hAnsi="Times New Roman" w:cs="Times New Roman"/>
        </w:rPr>
      </w:pPr>
      <w:r w:rsidRPr="00F65B2C">
        <w:rPr>
          <w:rFonts w:ascii="Times New Roman" w:hAnsi="Times New Roman" w:cs="Times New Roman"/>
          <w:b/>
          <w:bCs/>
        </w:rPr>
        <w:t>Keywords:</w:t>
      </w:r>
      <w:r w:rsidRPr="00F65B2C">
        <w:rPr>
          <w:rFonts w:ascii="Times New Roman" w:hAnsi="Times New Roman" w:cs="Times New Roman"/>
        </w:rPr>
        <w:t> health crisis management, cross-border tourism, international health regulations, surveillance systems, risk communication</w:t>
      </w:r>
    </w:p>
    <w:p w:rsidR="00BE0C8F" w:rsidRDefault="00BE0C8F"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Pr="00F65B2C" w:rsidRDefault="00F65B2C" w:rsidP="00A33349">
      <w:pPr>
        <w:rPr>
          <w:rFonts w:ascii="Times New Roman" w:hAnsi="Times New Roman" w:cs="Times New Roman"/>
        </w:rPr>
      </w:pPr>
    </w:p>
    <w:p w:rsidR="00A33349" w:rsidRPr="00F65B2C" w:rsidRDefault="00A33349" w:rsidP="0011485B">
      <w:pPr>
        <w:pStyle w:val="Heading1"/>
        <w:rPr>
          <w:rFonts w:ascii="Times New Roman" w:hAnsi="Times New Roman" w:cs="Times New Roman"/>
          <w:b/>
          <w:bCs/>
          <w:sz w:val="32"/>
          <w:szCs w:val="32"/>
        </w:rPr>
      </w:pPr>
      <w:bookmarkStart w:id="1" w:name="_Toc201685658"/>
      <w:r w:rsidRPr="00F65B2C">
        <w:rPr>
          <w:rFonts w:ascii="Times New Roman" w:hAnsi="Times New Roman" w:cs="Times New Roman"/>
          <w:b/>
          <w:bCs/>
          <w:sz w:val="32"/>
          <w:szCs w:val="32"/>
        </w:rPr>
        <w:lastRenderedPageBreak/>
        <w:t>Introduction</w:t>
      </w:r>
      <w:bookmarkEnd w:id="1"/>
    </w:p>
    <w:p w:rsidR="0011485B" w:rsidRPr="00F65B2C" w:rsidRDefault="0011485B" w:rsidP="0011485B">
      <w:pPr>
        <w:rPr>
          <w:rFonts w:ascii="Times New Roman" w:hAnsi="Times New Roman" w:cs="Times New Roman"/>
        </w:rPr>
      </w:pPr>
      <w:r w:rsidRPr="00F65B2C">
        <w:rPr>
          <w:rFonts w:ascii="Times New Roman" w:hAnsi="Times New Roman" w:cs="Times New Roman"/>
        </w:rPr>
        <w:t xml:space="preserve">Globalization of tourism has presented economic growth and cultural interactions like never before; it has also increased the risk on a cross-border spread of infectious diseases and other health menaces at an alarming rate. The </w:t>
      </w:r>
      <w:proofErr w:type="gramStart"/>
      <w:r w:rsidRPr="00F65B2C">
        <w:rPr>
          <w:rFonts w:ascii="Times New Roman" w:hAnsi="Times New Roman" w:cs="Times New Roman"/>
        </w:rPr>
        <w:t>cross border</w:t>
      </w:r>
      <w:proofErr w:type="gramEnd"/>
      <w:r w:rsidRPr="00F65B2C">
        <w:rPr>
          <w:rFonts w:ascii="Times New Roman" w:hAnsi="Times New Roman" w:cs="Times New Roman"/>
        </w:rPr>
        <w:t xml:space="preserve"> tourism areas where empowered borders and extreme mobility of the visitors are the key peculiarities are the cases in which the conventionally accepted national-state ideas of health crisis control apply very poorly. The pandemic of COVID-19 clearly showed that heavily fragmented health governance systems are fraught with all the vulnerabilities that are associated with such a situation, such as inconsistent policies, breakdowns in communication, and as a result, uncoordinated responses causing devastating effects on the health sector of a population and its tourism economy.</w:t>
      </w:r>
    </w:p>
    <w:p w:rsidR="0011485B" w:rsidRPr="00F65B2C" w:rsidRDefault="0011485B" w:rsidP="0011485B">
      <w:pPr>
        <w:rPr>
          <w:rFonts w:ascii="Times New Roman" w:hAnsi="Times New Roman" w:cs="Times New Roman"/>
        </w:rPr>
      </w:pPr>
      <w:r w:rsidRPr="00F65B2C">
        <w:rPr>
          <w:rFonts w:ascii="Times New Roman" w:hAnsi="Times New Roman" w:cs="Times New Roman"/>
        </w:rPr>
        <w:t>Schengen Area, a cross-border tourism region within the European Union, where no passport is required to travel between 26 countries, is one such example of cross-border tourism regions that would present a significant challenge to managing such health threats when spread across multiple legal jurisdictions. The economic advantages of free movement in these regions have to compete with the need to safeguard the health of populations where organization and coordination between countries with dissimilar health systems, regulatory frameworks, and response capabilities, may be demanded at short notice.</w:t>
      </w:r>
    </w:p>
    <w:p w:rsidR="0011485B" w:rsidRPr="00F65B2C" w:rsidRDefault="0011485B" w:rsidP="0011485B">
      <w:pPr>
        <w:rPr>
          <w:rFonts w:ascii="Times New Roman" w:hAnsi="Times New Roman" w:cs="Times New Roman"/>
        </w:rPr>
      </w:pPr>
      <w:r w:rsidRPr="00F65B2C">
        <w:rPr>
          <w:rFonts w:ascii="Times New Roman" w:hAnsi="Times New Roman" w:cs="Times New Roman"/>
        </w:rPr>
        <w:t xml:space="preserve">This study would cover the design of a </w:t>
      </w:r>
      <w:proofErr w:type="gramStart"/>
      <w:r w:rsidRPr="00F65B2C">
        <w:rPr>
          <w:rFonts w:ascii="Times New Roman" w:hAnsi="Times New Roman" w:cs="Times New Roman"/>
        </w:rPr>
        <w:t>broad based</w:t>
      </w:r>
      <w:proofErr w:type="gramEnd"/>
      <w:r w:rsidRPr="00F65B2C">
        <w:rPr>
          <w:rFonts w:ascii="Times New Roman" w:hAnsi="Times New Roman" w:cs="Times New Roman"/>
        </w:rPr>
        <w:t xml:space="preserve"> multi-tier health crisis management framework that would take into consideration the peculiarities of the cross-border tourism zones. It has been designed to assist in the cleavage between health security operations nationally and transnational tourist flows, being a body of knowledge focused on a methodical grouping of detection, reaction, control and recuperation practices that are subject-matter to a variety of regional applications.</w:t>
      </w:r>
    </w:p>
    <w:p w:rsidR="0011485B" w:rsidRPr="00F65B2C" w:rsidRDefault="0011485B" w:rsidP="0011485B">
      <w:pPr>
        <w:rPr>
          <w:rFonts w:ascii="Times New Roman" w:hAnsi="Times New Roman" w:cs="Times New Roman"/>
        </w:rPr>
      </w:pPr>
      <w:r w:rsidRPr="00F65B2C">
        <w:rPr>
          <w:rFonts w:ascii="Times New Roman" w:hAnsi="Times New Roman" w:cs="Times New Roman"/>
        </w:rPr>
        <w:t>The main research questions that this paper answers include providing a critical analysis of the differences in the health regulations and surveillance systems across the cross-border tourism areas, proposing a coordinated policy framework to the management of health crisis, examining the real-life case studies to determine the best practices and failures and to design recommendations that would be actionable in the coordination of laws and risk communication mechanisms. It is in this detailed manner that the study aims to add more findings to the current literature on international health security in addition to offering solutions that can be used by the tourism stakeholders and policymakers.</w:t>
      </w:r>
    </w:p>
    <w:p w:rsidR="00A33349" w:rsidRPr="00F65B2C" w:rsidRDefault="0011485B" w:rsidP="0011485B">
      <w:pPr>
        <w:rPr>
          <w:rFonts w:ascii="Times New Roman" w:hAnsi="Times New Roman" w:cs="Times New Roman"/>
        </w:rPr>
      </w:pPr>
      <w:r w:rsidRPr="00F65B2C">
        <w:rPr>
          <w:rFonts w:ascii="Times New Roman" w:hAnsi="Times New Roman" w:cs="Times New Roman"/>
        </w:rPr>
        <w:t>This study is of importance not only academically, but also it is directly related to global health security and economic stability and international cooperation resulting as a product of the effective management of health crisis in the cross-border tourism areas. The framework as presented in this research paper provides a way of creating a more resilient and responsive health governance system capable of securing travelers as well as destination communities without sacrificing the economic and social advantages of international tourism</w:t>
      </w:r>
      <w:r w:rsidR="00A33349" w:rsidRPr="00F65B2C">
        <w:rPr>
          <w:rFonts w:ascii="Times New Roman" w:hAnsi="Times New Roman" w:cs="Times New Roman"/>
        </w:rPr>
        <w:t>.</w:t>
      </w:r>
    </w:p>
    <w:p w:rsidR="00A33349" w:rsidRPr="00F65B2C" w:rsidRDefault="00A33349" w:rsidP="00A33349">
      <w:pPr>
        <w:rPr>
          <w:rFonts w:ascii="Times New Roman" w:hAnsi="Times New Roman" w:cs="Times New Roman"/>
        </w:rPr>
      </w:pPr>
    </w:p>
    <w:p w:rsidR="00A33349" w:rsidRPr="00F65B2C" w:rsidRDefault="00A33349" w:rsidP="0011485B">
      <w:pPr>
        <w:pStyle w:val="Heading1"/>
        <w:rPr>
          <w:rFonts w:ascii="Times New Roman" w:hAnsi="Times New Roman" w:cs="Times New Roman"/>
          <w:b/>
          <w:bCs/>
          <w:sz w:val="32"/>
          <w:szCs w:val="32"/>
        </w:rPr>
      </w:pPr>
      <w:bookmarkStart w:id="2" w:name="_Toc201685659"/>
      <w:r w:rsidRPr="00F65B2C">
        <w:rPr>
          <w:rFonts w:ascii="Times New Roman" w:hAnsi="Times New Roman" w:cs="Times New Roman"/>
          <w:b/>
          <w:bCs/>
          <w:sz w:val="32"/>
          <w:szCs w:val="32"/>
        </w:rPr>
        <w:t>Literature Review</w:t>
      </w:r>
      <w:bookmarkEnd w:id="2"/>
    </w:p>
    <w:p w:rsidR="00A33349" w:rsidRPr="00F65B2C" w:rsidRDefault="0011485B" w:rsidP="00A33349">
      <w:pPr>
        <w:rPr>
          <w:rFonts w:ascii="Times New Roman" w:hAnsi="Times New Roman" w:cs="Times New Roman"/>
        </w:rPr>
      </w:pPr>
      <w:r w:rsidRPr="00F65B2C">
        <w:rPr>
          <w:rFonts w:ascii="Times New Roman" w:hAnsi="Times New Roman" w:cs="Times New Roman"/>
        </w:rPr>
        <w:t>The scholarly coverage of health crisis management in the cross-border tourism areas shows an intricate nexus between the corresponding fields of government wellbeing, foreign affairs, tourism research, and disaster handles. This review investigates some of the major works made in those disciplines in order to put the theoretical background behind the proposing framework</w:t>
      </w:r>
      <w:r w:rsidR="00A33349" w:rsidRPr="00F65B2C">
        <w:rPr>
          <w:rFonts w:ascii="Times New Roman" w:hAnsi="Times New Roman" w:cs="Times New Roman"/>
        </w:rPr>
        <w:t>.</w:t>
      </w:r>
    </w:p>
    <w:p w:rsidR="00A33349" w:rsidRPr="00F65B2C" w:rsidRDefault="00A33349" w:rsidP="0011485B">
      <w:pPr>
        <w:pStyle w:val="Heading2"/>
        <w:rPr>
          <w:rFonts w:ascii="Times New Roman" w:hAnsi="Times New Roman" w:cs="Times New Roman"/>
          <w:b/>
          <w:bCs/>
          <w:sz w:val="24"/>
          <w:szCs w:val="24"/>
        </w:rPr>
      </w:pPr>
      <w:bookmarkStart w:id="3" w:name="_Toc201685660"/>
      <w:r w:rsidRPr="00F65B2C">
        <w:rPr>
          <w:rFonts w:ascii="Times New Roman" w:hAnsi="Times New Roman" w:cs="Times New Roman"/>
          <w:b/>
          <w:bCs/>
          <w:sz w:val="24"/>
          <w:szCs w:val="24"/>
        </w:rPr>
        <w:t>International Health Governance and Tourism</w:t>
      </w:r>
      <w:bookmarkEnd w:id="3"/>
    </w:p>
    <w:p w:rsidR="0011485B" w:rsidRPr="00F65B2C" w:rsidRDefault="0011485B" w:rsidP="0011485B">
      <w:pPr>
        <w:rPr>
          <w:rFonts w:ascii="Times New Roman" w:hAnsi="Times New Roman" w:cs="Times New Roman"/>
        </w:rPr>
      </w:pPr>
      <w:r w:rsidRPr="00F65B2C">
        <w:rPr>
          <w:rFonts w:ascii="Times New Roman" w:hAnsi="Times New Roman" w:cs="Times New Roman"/>
        </w:rPr>
        <w:t>The International Health Regulations (2005) prepared under the auspices of the World Health Organization offers an initial legal basis of international health security, imposing duties on the nations to identify, evaluate, proclaim and react to international health emergency events of a grievance (Gostin, 2014). Nevertheless, researchers have also identified the major implementation issues, especially concerning the tourism-based economies, where health restriction can potentially pose a conflict between the health protection and economic gains (Katz &amp; Fischer, 2020). The conflict between health security and economic openness is not new in tourism literature, as researchers argue on the importance of adopting health guidelines that would not compromise travel on a range of economic grounds (Hall et al., 2020).</w:t>
      </w:r>
    </w:p>
    <w:p w:rsidR="00A33349" w:rsidRPr="00F65B2C" w:rsidRDefault="0011485B" w:rsidP="0011485B">
      <w:pPr>
        <w:rPr>
          <w:rFonts w:ascii="Times New Roman" w:hAnsi="Times New Roman" w:cs="Times New Roman"/>
        </w:rPr>
      </w:pPr>
      <w:r w:rsidRPr="00F65B2C">
        <w:rPr>
          <w:rFonts w:ascii="Times New Roman" w:hAnsi="Times New Roman" w:cs="Times New Roman"/>
        </w:rPr>
        <w:t>Local health governance systems have proven to be significant means of dealing with such problems. A coordinated approach to cross-border health response is mirrored by the EU Health Security Framework that was introduced due to a number of health crises (European Centre for Disease Prevention and Control, 2019). Just as well, the health cooperation systems of ASEAN such as the ASEAN+3 Public Health Emergency Operations Centre Network express regional practices when it comes to coping with health crisis (Sukma, 2021). These frameworks provide useful ideas about the institutional setting that is required to achieve effective coordination of health across borders</w:t>
      </w:r>
      <w:r w:rsidR="00A33349" w:rsidRPr="00F65B2C">
        <w:rPr>
          <w:rFonts w:ascii="Times New Roman" w:hAnsi="Times New Roman" w:cs="Times New Roman"/>
        </w:rPr>
        <w:t>.</w:t>
      </w:r>
    </w:p>
    <w:p w:rsidR="00A33349" w:rsidRPr="00F65B2C" w:rsidRDefault="00A33349" w:rsidP="0011485B">
      <w:pPr>
        <w:pStyle w:val="Heading2"/>
        <w:rPr>
          <w:rFonts w:ascii="Times New Roman" w:hAnsi="Times New Roman" w:cs="Times New Roman"/>
          <w:b/>
          <w:bCs/>
          <w:sz w:val="24"/>
          <w:szCs w:val="24"/>
        </w:rPr>
      </w:pPr>
      <w:bookmarkStart w:id="4" w:name="_Toc201685661"/>
      <w:r w:rsidRPr="00F65B2C">
        <w:rPr>
          <w:rFonts w:ascii="Times New Roman" w:hAnsi="Times New Roman" w:cs="Times New Roman"/>
          <w:b/>
          <w:bCs/>
          <w:sz w:val="24"/>
          <w:szCs w:val="24"/>
        </w:rPr>
        <w:t>Crisis Management Theory in Tourism Contexts</w:t>
      </w:r>
      <w:bookmarkEnd w:id="4"/>
    </w:p>
    <w:p w:rsidR="0011485B" w:rsidRPr="00F65B2C" w:rsidRDefault="0011485B" w:rsidP="0011485B">
      <w:pPr>
        <w:rPr>
          <w:rFonts w:ascii="Times New Roman" w:hAnsi="Times New Roman" w:cs="Times New Roman"/>
        </w:rPr>
      </w:pPr>
      <w:r w:rsidRPr="00F65B2C">
        <w:rPr>
          <w:rFonts w:ascii="Times New Roman" w:hAnsi="Times New Roman" w:cs="Times New Roman"/>
        </w:rPr>
        <w:t>The evolution in crisis management literature in tourism has progressed in that early literature approach was reactionary in nature with concentration on damage containment whereas the newer literature has been proactive that concentrates on avoidance efforts and preparation (Faulkner, 2001). Crisis management lifecycle, which consists of pre-crisis preparation, crisis response and the post-crisis recovery, offers a systematic way of perceiving how destinations can handle the risks in the issues of health challenges (Santana, 2004). Nevertheless, the traditional crisis management models are frequently based on the premises which can be considered single-jurisdiction ones, which means that they apply only partially to the context of cross-border tourism zones where several levels of the authorities need to synchronize their efforts.</w:t>
      </w:r>
    </w:p>
    <w:p w:rsidR="00A33349" w:rsidRPr="00F65B2C" w:rsidRDefault="0011485B" w:rsidP="0011485B">
      <w:pPr>
        <w:rPr>
          <w:rFonts w:ascii="Times New Roman" w:hAnsi="Times New Roman" w:cs="Times New Roman"/>
        </w:rPr>
      </w:pPr>
      <w:r w:rsidRPr="00F65B2C">
        <w:rPr>
          <w:rFonts w:ascii="Times New Roman" w:hAnsi="Times New Roman" w:cs="Times New Roman"/>
        </w:rPr>
        <w:t xml:space="preserve">The emergence of recent scholarship has started to overcome these constraints by creating transnational-specific frameworks directly related to transnational crisis management. Ritchie </w:t>
      </w:r>
      <w:r w:rsidRPr="00F65B2C">
        <w:rPr>
          <w:rFonts w:ascii="Times New Roman" w:hAnsi="Times New Roman" w:cs="Times New Roman"/>
        </w:rPr>
        <w:lastRenderedPageBreak/>
        <w:t>and Jiang (2019) also suggest a multi-stakeholder strategy in terms of which it is explicitly stated that inter-organizational coordination and communication are instrumental to play a critical role in multi-jurisdiction tourism crisis management. This piece of work is enhanced by the previous research provided by Henderson (2007) on the regional cooperation in the crisis management, where Henderson established such key success factors as the utilization of common protocols, frequent communication, and the common training drills</w:t>
      </w:r>
      <w:r w:rsidR="00A33349" w:rsidRPr="00F65B2C">
        <w:rPr>
          <w:rFonts w:ascii="Times New Roman" w:hAnsi="Times New Roman" w:cs="Times New Roman"/>
        </w:rPr>
        <w:t>.</w:t>
      </w:r>
    </w:p>
    <w:p w:rsidR="00A33349" w:rsidRPr="00F65B2C" w:rsidRDefault="00A33349" w:rsidP="0011485B">
      <w:pPr>
        <w:pStyle w:val="Heading2"/>
        <w:rPr>
          <w:rFonts w:ascii="Times New Roman" w:hAnsi="Times New Roman" w:cs="Times New Roman"/>
          <w:b/>
          <w:bCs/>
          <w:sz w:val="24"/>
          <w:szCs w:val="24"/>
        </w:rPr>
      </w:pPr>
      <w:bookmarkStart w:id="5" w:name="_Toc201685662"/>
      <w:r w:rsidRPr="00F65B2C">
        <w:rPr>
          <w:rFonts w:ascii="Times New Roman" w:hAnsi="Times New Roman" w:cs="Times New Roman"/>
          <w:b/>
          <w:bCs/>
          <w:sz w:val="24"/>
          <w:szCs w:val="24"/>
        </w:rPr>
        <w:t>Health Surveillance and Early Warning Systems</w:t>
      </w:r>
      <w:bookmarkEnd w:id="5"/>
    </w:p>
    <w:p w:rsidR="0011485B" w:rsidRPr="00F65B2C" w:rsidRDefault="0011485B" w:rsidP="0011485B">
      <w:pPr>
        <w:rPr>
          <w:rFonts w:ascii="Times New Roman" w:hAnsi="Times New Roman" w:cs="Times New Roman"/>
        </w:rPr>
      </w:pPr>
      <w:r w:rsidRPr="00F65B2C">
        <w:rPr>
          <w:rFonts w:ascii="Times New Roman" w:hAnsi="Times New Roman" w:cs="Times New Roman"/>
        </w:rPr>
        <w:t>The books about health surveillance systems present the difference between the possibilities and capacities of the countries and regional divisions. Modern surveillance, like the one present in the European Union in the form of the European Surveillance System (</w:t>
      </w:r>
      <w:proofErr w:type="spellStart"/>
      <w:r w:rsidRPr="00F65B2C">
        <w:rPr>
          <w:rFonts w:ascii="Times New Roman" w:hAnsi="Times New Roman" w:cs="Times New Roman"/>
        </w:rPr>
        <w:t>TESSy</w:t>
      </w:r>
      <w:proofErr w:type="spellEnd"/>
      <w:r w:rsidRPr="00F65B2C">
        <w:rPr>
          <w:rFonts w:ascii="Times New Roman" w:hAnsi="Times New Roman" w:cs="Times New Roman"/>
        </w:rPr>
        <w:t>) offers all-inclusive monitoring of infectious diseases and risk to health (</w:t>
      </w:r>
      <w:proofErr w:type="spellStart"/>
      <w:r w:rsidRPr="00F65B2C">
        <w:rPr>
          <w:rFonts w:ascii="Times New Roman" w:hAnsi="Times New Roman" w:cs="Times New Roman"/>
        </w:rPr>
        <w:t>Coulombier</w:t>
      </w:r>
      <w:proofErr w:type="spellEnd"/>
      <w:r w:rsidRPr="00F65B2C">
        <w:rPr>
          <w:rFonts w:ascii="Times New Roman" w:hAnsi="Times New Roman" w:cs="Times New Roman"/>
        </w:rPr>
        <w:t xml:space="preserve"> et al., 2017). Nevertheless, a large number of the developing world lacks technologies and human capacity to adopt similar systems hence exposing the global health protection systems to vulnerability.</w:t>
      </w:r>
    </w:p>
    <w:p w:rsidR="00A33349" w:rsidRPr="00F65B2C" w:rsidRDefault="0011485B" w:rsidP="0011485B">
      <w:pPr>
        <w:rPr>
          <w:rFonts w:ascii="Times New Roman" w:hAnsi="Times New Roman" w:cs="Times New Roman"/>
        </w:rPr>
      </w:pPr>
      <w:r w:rsidRPr="00F65B2C">
        <w:rPr>
          <w:rFonts w:ascii="Times New Roman" w:hAnsi="Times New Roman" w:cs="Times New Roman"/>
        </w:rPr>
        <w:t>Improving early warning Early warning systems rely on digital health surveillance technologies, which are emerging areas of research, including artificial intelligence, big data analytics, and others (</w:t>
      </w:r>
      <w:proofErr w:type="spellStart"/>
      <w:r w:rsidRPr="00F65B2C">
        <w:rPr>
          <w:rFonts w:ascii="Times New Roman" w:hAnsi="Times New Roman" w:cs="Times New Roman"/>
        </w:rPr>
        <w:t>Salath</w:t>
      </w:r>
      <w:proofErr w:type="spellEnd"/>
      <w:r w:rsidRPr="00F65B2C">
        <w:rPr>
          <w:rFonts w:ascii="Times New Roman" w:hAnsi="Times New Roman" w:cs="Times New Roman"/>
        </w:rPr>
        <w:t>, et al., 2018). Such technologies will allow the inclusion of a wide variety of data sources, such as traveling trends, social media sentiment, and environmental data, to offer enhanced threat evaluation features. The use of such systems on both sides of the border, though, raises serious issues of data privacy, sovereignty and equality which need to be squared away</w:t>
      </w:r>
      <w:r w:rsidR="00A33349" w:rsidRPr="00F65B2C">
        <w:rPr>
          <w:rFonts w:ascii="Times New Roman" w:hAnsi="Times New Roman" w:cs="Times New Roman"/>
        </w:rPr>
        <w:t>.</w:t>
      </w:r>
    </w:p>
    <w:p w:rsidR="00A33349" w:rsidRPr="00F65B2C" w:rsidRDefault="00A33349" w:rsidP="0011485B">
      <w:pPr>
        <w:pStyle w:val="Heading2"/>
        <w:rPr>
          <w:rFonts w:ascii="Times New Roman" w:hAnsi="Times New Roman" w:cs="Times New Roman"/>
          <w:b/>
          <w:bCs/>
          <w:sz w:val="24"/>
          <w:szCs w:val="24"/>
        </w:rPr>
      </w:pPr>
      <w:bookmarkStart w:id="6" w:name="_Toc201685663"/>
      <w:r w:rsidRPr="00F65B2C">
        <w:rPr>
          <w:rFonts w:ascii="Times New Roman" w:hAnsi="Times New Roman" w:cs="Times New Roman"/>
          <w:b/>
          <w:bCs/>
          <w:sz w:val="24"/>
          <w:szCs w:val="24"/>
        </w:rPr>
        <w:t>Risk Communication in Health Crises</w:t>
      </w:r>
      <w:bookmarkEnd w:id="6"/>
    </w:p>
    <w:p w:rsidR="0011485B" w:rsidRPr="00F65B2C" w:rsidRDefault="0011485B" w:rsidP="0011485B">
      <w:pPr>
        <w:rPr>
          <w:rFonts w:ascii="Times New Roman" w:hAnsi="Times New Roman" w:cs="Times New Roman"/>
        </w:rPr>
      </w:pPr>
      <w:r w:rsidRPr="00F65B2C">
        <w:rPr>
          <w:rFonts w:ascii="Times New Roman" w:hAnsi="Times New Roman" w:cs="Times New Roman"/>
        </w:rPr>
        <w:t>The purpose of good risk communication has been found to be a vital element of a health crisis management process especially in situations of tourism where there is a need to communicate to various audiences with varying perceptions of risk and communication strategy (Covello, 2003). Crisis and Emergency Risk Communication (CERC) Model introduced by the Centers for Disease Control and Prevention offers a system of comprehension of how the requirements applied to risk communication alter during the various stages of health crisis (Reynolds &amp; Seeger, 2005).</w:t>
      </w:r>
    </w:p>
    <w:p w:rsidR="00A33349" w:rsidRPr="00F65B2C" w:rsidRDefault="0011485B" w:rsidP="0011485B">
      <w:pPr>
        <w:rPr>
          <w:rFonts w:ascii="Times New Roman" w:hAnsi="Times New Roman" w:cs="Times New Roman"/>
        </w:rPr>
      </w:pPr>
      <w:r w:rsidRPr="00F65B2C">
        <w:rPr>
          <w:rFonts w:ascii="Times New Roman" w:hAnsi="Times New Roman" w:cs="Times New Roman"/>
        </w:rPr>
        <w:t>Whenever there is a cross-border situation, even more issues may appear on the communicational front such as language barriers, cultural variance in risk perception, different media landscape (Glik, 2007). Studies of the health communication effects related to the COVID-19 pandemic also showed that inconsistent messages across borders can jeopardize the trust and adherence of the citizens to health measures (Paek &amp; Hove, 2020). This literature highlights the essence of delivering coordinated communication strategies, which promotes consistency without disturbing the diversity of the cultures and languages</w:t>
      </w:r>
      <w:r w:rsidR="00A33349" w:rsidRPr="00F65B2C">
        <w:rPr>
          <w:rFonts w:ascii="Times New Roman" w:hAnsi="Times New Roman" w:cs="Times New Roman"/>
        </w:rPr>
        <w:t>.</w:t>
      </w:r>
    </w:p>
    <w:p w:rsidR="00A33349" w:rsidRPr="00F65B2C" w:rsidRDefault="00A33349" w:rsidP="0011485B">
      <w:pPr>
        <w:pStyle w:val="Heading2"/>
        <w:rPr>
          <w:rFonts w:ascii="Times New Roman" w:hAnsi="Times New Roman" w:cs="Times New Roman"/>
          <w:b/>
          <w:bCs/>
          <w:sz w:val="24"/>
          <w:szCs w:val="24"/>
        </w:rPr>
      </w:pPr>
      <w:bookmarkStart w:id="7" w:name="_Toc201685664"/>
      <w:r w:rsidRPr="00F65B2C">
        <w:rPr>
          <w:rFonts w:ascii="Times New Roman" w:hAnsi="Times New Roman" w:cs="Times New Roman"/>
          <w:b/>
          <w:bCs/>
          <w:sz w:val="24"/>
          <w:szCs w:val="24"/>
        </w:rPr>
        <w:t>Legal and Regulatory Coordination Mechanisms</w:t>
      </w:r>
      <w:bookmarkEnd w:id="7"/>
    </w:p>
    <w:p w:rsidR="0011485B" w:rsidRPr="00F65B2C" w:rsidRDefault="0011485B" w:rsidP="0011485B">
      <w:pPr>
        <w:rPr>
          <w:rFonts w:ascii="Times New Roman" w:hAnsi="Times New Roman" w:cs="Times New Roman"/>
        </w:rPr>
      </w:pPr>
      <w:r w:rsidRPr="00F65B2C">
        <w:rPr>
          <w:rFonts w:ascii="Times New Roman" w:hAnsi="Times New Roman" w:cs="Times New Roman"/>
        </w:rPr>
        <w:t xml:space="preserve">As legal sources show, cross-border health governance depicts the existence of a complex network of international law, bilateral agreements, and regional regimes governing cooperation </w:t>
      </w:r>
      <w:r w:rsidRPr="00F65B2C">
        <w:rPr>
          <w:rFonts w:ascii="Times New Roman" w:hAnsi="Times New Roman" w:cs="Times New Roman"/>
        </w:rPr>
        <w:lastRenderedPageBreak/>
        <w:t>in health (Gostin &amp; Katz, 2016). State sovereignty also introduces the tensions in cross border health governance because nations have to balance between their duties of safeguarding public health and their respect of other nations sovereignty.</w:t>
      </w:r>
    </w:p>
    <w:p w:rsidR="00A33349" w:rsidRPr="00F65B2C" w:rsidRDefault="0011485B" w:rsidP="0011485B">
      <w:pPr>
        <w:rPr>
          <w:rFonts w:ascii="Times New Roman" w:hAnsi="Times New Roman" w:cs="Times New Roman"/>
        </w:rPr>
      </w:pPr>
      <w:r w:rsidRPr="00F65B2C">
        <w:rPr>
          <w:rFonts w:ascii="Times New Roman" w:hAnsi="Times New Roman" w:cs="Times New Roman"/>
        </w:rPr>
        <w:t>In the literature, several legal instruments, such as mutual recognition agreements, harmonized standards, and coordinated response strategies, have been considered on how to increase cooperation across borders in the field of health (Taylor, 2018). Supranationalism manifested in the design of the health governance system in the European Union, the ability to harmonize supranational forces, with the element of respecting the national sovereignty, has presented an approach that other regions have tried to follow, albeit in different scales of success</w:t>
      </w:r>
      <w:r w:rsidR="00A33349" w:rsidRPr="00F65B2C">
        <w:rPr>
          <w:rFonts w:ascii="Times New Roman" w:hAnsi="Times New Roman" w:cs="Times New Roman"/>
        </w:rPr>
        <w:t>.</w:t>
      </w:r>
    </w:p>
    <w:p w:rsidR="00A33349" w:rsidRPr="00F65B2C" w:rsidRDefault="00A33349" w:rsidP="0011485B">
      <w:pPr>
        <w:pStyle w:val="Heading2"/>
        <w:rPr>
          <w:rFonts w:ascii="Times New Roman" w:hAnsi="Times New Roman" w:cs="Times New Roman"/>
          <w:b/>
          <w:bCs/>
          <w:sz w:val="24"/>
          <w:szCs w:val="24"/>
        </w:rPr>
      </w:pPr>
      <w:bookmarkStart w:id="8" w:name="_Toc201685665"/>
      <w:r w:rsidRPr="00F65B2C">
        <w:rPr>
          <w:rFonts w:ascii="Times New Roman" w:hAnsi="Times New Roman" w:cs="Times New Roman"/>
          <w:b/>
          <w:bCs/>
          <w:sz w:val="24"/>
          <w:szCs w:val="24"/>
        </w:rPr>
        <w:t>Gaps in Existing Literature</w:t>
      </w:r>
      <w:bookmarkEnd w:id="8"/>
    </w:p>
    <w:p w:rsidR="0011485B" w:rsidRPr="00F65B2C" w:rsidRDefault="0011485B" w:rsidP="0011485B">
      <w:pPr>
        <w:rPr>
          <w:rFonts w:ascii="Times New Roman" w:hAnsi="Times New Roman" w:cs="Times New Roman"/>
        </w:rPr>
      </w:pPr>
      <w:r w:rsidRPr="00F65B2C">
        <w:rPr>
          <w:rFonts w:ascii="Times New Roman" w:hAnsi="Times New Roman" w:cs="Times New Roman"/>
        </w:rPr>
        <w:t xml:space="preserve">However, regardless of the increasing number of studies on the management of health crisis and cross border tourism, a few gaps exist. To begin with, the literature on holistic models incorporating the elements of health surveillance, crisis response and tourism management on more than one </w:t>
      </w:r>
      <w:proofErr w:type="spellStart"/>
      <w:r w:rsidRPr="00F65B2C">
        <w:rPr>
          <w:rFonts w:ascii="Times New Roman" w:hAnsi="Times New Roman" w:cs="Times New Roman"/>
        </w:rPr>
        <w:t>juridiction</w:t>
      </w:r>
      <w:proofErr w:type="spellEnd"/>
      <w:r w:rsidRPr="00F65B2C">
        <w:rPr>
          <w:rFonts w:ascii="Times New Roman" w:hAnsi="Times New Roman" w:cs="Times New Roman"/>
        </w:rPr>
        <w:t xml:space="preserve"> is scarce. Second, the literature on this area is relatively large, but mostly concerned with either realities in developed countries or in developing countries with little regard to the ability to fit different capacity types. Third, the literature lacks research on practical implementation issues of cross boarder health coordination especially on the legal, technical and cultural barriers.</w:t>
      </w:r>
    </w:p>
    <w:p w:rsidR="00A33349" w:rsidRPr="00F65B2C" w:rsidRDefault="0011485B" w:rsidP="0011485B">
      <w:pPr>
        <w:rPr>
          <w:rFonts w:ascii="Times New Roman" w:hAnsi="Times New Roman" w:cs="Times New Roman"/>
        </w:rPr>
      </w:pPr>
      <w:r w:rsidRPr="00F65B2C">
        <w:rPr>
          <w:rFonts w:ascii="Times New Roman" w:hAnsi="Times New Roman" w:cs="Times New Roman"/>
        </w:rPr>
        <w:t>The scheme developed in the current study aims to fill these gaps by offering a fully-developed, multi-layered framework capable of integration in other regional settings yet leaving the essential elements of the effective response to health emergencies intact</w:t>
      </w:r>
      <w:r w:rsidR="00A33349" w:rsidRPr="00F65B2C">
        <w:rPr>
          <w:rFonts w:ascii="Times New Roman" w:hAnsi="Times New Roman" w:cs="Times New Roman"/>
        </w:rPr>
        <w:t>.</w:t>
      </w:r>
    </w:p>
    <w:p w:rsidR="0011485B" w:rsidRDefault="0011485B"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Pr="00F65B2C" w:rsidRDefault="00F65B2C" w:rsidP="00A33349">
      <w:pPr>
        <w:rPr>
          <w:rFonts w:ascii="Times New Roman" w:hAnsi="Times New Roman" w:cs="Times New Roman"/>
        </w:rPr>
      </w:pPr>
    </w:p>
    <w:p w:rsidR="00A33349" w:rsidRPr="00F65B2C" w:rsidRDefault="00A33349" w:rsidP="0011485B">
      <w:pPr>
        <w:pStyle w:val="Heading1"/>
        <w:rPr>
          <w:rFonts w:ascii="Times New Roman" w:hAnsi="Times New Roman" w:cs="Times New Roman"/>
          <w:b/>
          <w:bCs/>
          <w:sz w:val="32"/>
          <w:szCs w:val="32"/>
        </w:rPr>
      </w:pPr>
      <w:bookmarkStart w:id="9" w:name="_Toc201685666"/>
      <w:r w:rsidRPr="00F65B2C">
        <w:rPr>
          <w:rFonts w:ascii="Times New Roman" w:hAnsi="Times New Roman" w:cs="Times New Roman"/>
          <w:b/>
          <w:bCs/>
          <w:sz w:val="32"/>
          <w:szCs w:val="32"/>
        </w:rPr>
        <w:lastRenderedPageBreak/>
        <w:t>Methodology</w:t>
      </w:r>
      <w:bookmarkEnd w:id="9"/>
    </w:p>
    <w:p w:rsidR="00A33349" w:rsidRPr="00F65B2C" w:rsidRDefault="00A33349" w:rsidP="00A33349">
      <w:pPr>
        <w:rPr>
          <w:rFonts w:ascii="Times New Roman" w:hAnsi="Times New Roman" w:cs="Times New Roman"/>
        </w:rPr>
      </w:pPr>
      <w:r w:rsidRPr="00F65B2C">
        <w:rPr>
          <w:rFonts w:ascii="Times New Roman" w:hAnsi="Times New Roman" w:cs="Times New Roman"/>
        </w:rPr>
        <w:t>This research employs a mixed-methods approach combining qualitative case study analysis with quantitative assessment of health system capacities across cross-border tourism zones. The methodology is designed to provide both depth of understanding regarding the complexities of cross-border health governance and breadth of analysis across different regional contexts.</w:t>
      </w:r>
    </w:p>
    <w:p w:rsidR="00A33349" w:rsidRPr="00F65B2C" w:rsidRDefault="00A33349" w:rsidP="0011485B">
      <w:pPr>
        <w:pStyle w:val="Heading2"/>
        <w:rPr>
          <w:rFonts w:ascii="Times New Roman" w:hAnsi="Times New Roman" w:cs="Times New Roman"/>
          <w:b/>
          <w:bCs/>
          <w:sz w:val="24"/>
          <w:szCs w:val="24"/>
        </w:rPr>
      </w:pPr>
      <w:bookmarkStart w:id="10" w:name="_Toc201685667"/>
      <w:r w:rsidRPr="00F65B2C">
        <w:rPr>
          <w:rFonts w:ascii="Times New Roman" w:hAnsi="Times New Roman" w:cs="Times New Roman"/>
          <w:b/>
          <w:bCs/>
          <w:sz w:val="24"/>
          <w:szCs w:val="24"/>
        </w:rPr>
        <w:t>Research Design</w:t>
      </w:r>
      <w:bookmarkEnd w:id="10"/>
    </w:p>
    <w:p w:rsidR="00A33349" w:rsidRPr="00F65B2C" w:rsidRDefault="00D50E3C" w:rsidP="00A33349">
      <w:pPr>
        <w:rPr>
          <w:rFonts w:ascii="Times New Roman" w:hAnsi="Times New Roman" w:cs="Times New Roman"/>
        </w:rPr>
      </w:pPr>
      <w:r w:rsidRPr="00F65B2C">
        <w:rPr>
          <w:rFonts w:ascii="Times New Roman" w:hAnsi="Times New Roman" w:cs="Times New Roman"/>
        </w:rPr>
        <w:t>The research is based on a comparative case study research design, which compares the management of health crisis in two popular cross-border tourism regions; the Schengen Area which is part of the European Union and the ASEAN tourism corridors. The comparative method enables to isolate common problems and effective practices as well as to take into account the contextual specificity, which defines how health governance is established in various areas</w:t>
      </w:r>
      <w:r w:rsidR="00A33349" w:rsidRPr="00F65B2C">
        <w:rPr>
          <w:rFonts w:ascii="Times New Roman" w:hAnsi="Times New Roman" w:cs="Times New Roman"/>
        </w:rPr>
        <w:t>.</w:t>
      </w:r>
    </w:p>
    <w:p w:rsidR="00A33349" w:rsidRPr="00F65B2C" w:rsidRDefault="00A33349" w:rsidP="0011485B">
      <w:pPr>
        <w:pStyle w:val="Heading2"/>
        <w:rPr>
          <w:rFonts w:ascii="Times New Roman" w:hAnsi="Times New Roman" w:cs="Times New Roman"/>
          <w:b/>
          <w:bCs/>
          <w:sz w:val="24"/>
          <w:szCs w:val="24"/>
        </w:rPr>
      </w:pPr>
      <w:bookmarkStart w:id="11" w:name="_Toc201685668"/>
      <w:r w:rsidRPr="00F65B2C">
        <w:rPr>
          <w:rFonts w:ascii="Times New Roman" w:hAnsi="Times New Roman" w:cs="Times New Roman"/>
          <w:b/>
          <w:bCs/>
          <w:sz w:val="24"/>
          <w:szCs w:val="24"/>
        </w:rPr>
        <w:t>Data Collection Methods</w:t>
      </w:r>
      <w:bookmarkEnd w:id="11"/>
    </w:p>
    <w:p w:rsidR="00D50E3C" w:rsidRPr="00F65B2C" w:rsidRDefault="00D50E3C" w:rsidP="00D50E3C">
      <w:pPr>
        <w:rPr>
          <w:rFonts w:ascii="Times New Roman" w:hAnsi="Times New Roman" w:cs="Times New Roman"/>
        </w:rPr>
      </w:pPr>
      <w:r w:rsidRPr="00F65B2C">
        <w:rPr>
          <w:rFonts w:ascii="Times New Roman" w:hAnsi="Times New Roman" w:cs="Times New Roman"/>
        </w:rPr>
        <w:t>Primary data were obtained through the use of semi-structured interviews with the key stakeholders such as health officials, tourism administrators, and crisis management experts of the several countries of each region. The number of the conducted interviews consisted of 24 interviews, including 12 EU member states and another 12 countries of the ASEAN. The interview protocols were aimed at realizing the existing health surveillance system, coordination system, communication protocols, and lessons learned on the outcome of some of the recent health crises.</w:t>
      </w:r>
    </w:p>
    <w:p w:rsidR="00A33349" w:rsidRPr="00F65B2C" w:rsidRDefault="00D50E3C" w:rsidP="00D50E3C">
      <w:pPr>
        <w:rPr>
          <w:rFonts w:ascii="Times New Roman" w:hAnsi="Times New Roman" w:cs="Times New Roman"/>
        </w:rPr>
      </w:pPr>
      <w:r w:rsidRPr="00F65B2C">
        <w:rPr>
          <w:rFonts w:ascii="Times New Roman" w:hAnsi="Times New Roman" w:cs="Times New Roman"/>
        </w:rPr>
        <w:t>Secondary data collection included the in-depth study of policy documents, health regulations, surveillance reports and crisis response evaluations by other international agencies such as World Health Organization, European Centre of Disease Prevention and Control and ASEAN Secretariat. There was also an analysis of tourism arrival and departure figures, health incidents, and the media coverage of health crises in order to have an idea of actual effects of various management strategies</w:t>
      </w:r>
      <w:r w:rsidR="00A33349" w:rsidRPr="00F65B2C">
        <w:rPr>
          <w:rFonts w:ascii="Times New Roman" w:hAnsi="Times New Roman" w:cs="Times New Roman"/>
        </w:rPr>
        <w:t>.</w:t>
      </w:r>
    </w:p>
    <w:p w:rsidR="00A33349" w:rsidRPr="00F65B2C" w:rsidRDefault="00A33349" w:rsidP="00D50E3C">
      <w:pPr>
        <w:pStyle w:val="Heading2"/>
        <w:rPr>
          <w:rFonts w:ascii="Times New Roman" w:hAnsi="Times New Roman" w:cs="Times New Roman"/>
          <w:b/>
          <w:bCs/>
          <w:sz w:val="24"/>
          <w:szCs w:val="24"/>
        </w:rPr>
      </w:pPr>
      <w:bookmarkStart w:id="12" w:name="_Toc201685669"/>
      <w:r w:rsidRPr="00F65B2C">
        <w:rPr>
          <w:rFonts w:ascii="Times New Roman" w:hAnsi="Times New Roman" w:cs="Times New Roman"/>
          <w:b/>
          <w:bCs/>
          <w:sz w:val="24"/>
          <w:szCs w:val="24"/>
        </w:rPr>
        <w:t>Analytical Framework</w:t>
      </w:r>
      <w:bookmarkEnd w:id="12"/>
    </w:p>
    <w:p w:rsidR="00D50E3C" w:rsidRPr="00F65B2C" w:rsidRDefault="00D50E3C" w:rsidP="00D50E3C">
      <w:pPr>
        <w:rPr>
          <w:rFonts w:ascii="Times New Roman" w:hAnsi="Times New Roman" w:cs="Times New Roman"/>
        </w:rPr>
      </w:pPr>
      <w:r w:rsidRPr="00F65B2C">
        <w:rPr>
          <w:rFonts w:ascii="Times New Roman" w:hAnsi="Times New Roman" w:cs="Times New Roman"/>
        </w:rPr>
        <w:t>Its analytical framework is borrowed by the institutional analysis and development (IAD) theory that analyzes the multifaceted relationships among the various governing levels in the cross-border management of health. This framework is a guiding pattern through which various researches can interpret how formal rules, informal rules, the nature of actors, and contextual aspects are to govern the outcomes in health governance.</w:t>
      </w:r>
    </w:p>
    <w:p w:rsidR="00A33349" w:rsidRPr="00F65B2C" w:rsidRDefault="00D50E3C" w:rsidP="00D50E3C">
      <w:pPr>
        <w:rPr>
          <w:rFonts w:ascii="Times New Roman" w:hAnsi="Times New Roman" w:cs="Times New Roman"/>
        </w:rPr>
      </w:pPr>
      <w:r w:rsidRPr="00F65B2C">
        <w:rPr>
          <w:rFonts w:ascii="Times New Roman" w:hAnsi="Times New Roman" w:cs="Times New Roman"/>
        </w:rPr>
        <w:t>Both the public health risk assessment and crisis management risk assessment methodologies were used to measure the efficiency of various surveillance and response systems. Frames that were used within the context of the analysis were the Health Security Interface tool developed by the World Health Organization and Tourism Crisis Management Assessment Framework established by the Pacific Asia Travel Association</w:t>
      </w:r>
      <w:r w:rsidR="00A33349" w:rsidRPr="00F65B2C">
        <w:rPr>
          <w:rFonts w:ascii="Times New Roman" w:hAnsi="Times New Roman" w:cs="Times New Roman"/>
        </w:rPr>
        <w:t>.</w:t>
      </w:r>
    </w:p>
    <w:p w:rsidR="00A33349" w:rsidRPr="00F65B2C" w:rsidRDefault="00A33349" w:rsidP="00D50E3C">
      <w:pPr>
        <w:pStyle w:val="Heading2"/>
        <w:rPr>
          <w:rFonts w:ascii="Times New Roman" w:hAnsi="Times New Roman" w:cs="Times New Roman"/>
          <w:b/>
          <w:bCs/>
          <w:sz w:val="24"/>
          <w:szCs w:val="24"/>
        </w:rPr>
      </w:pPr>
      <w:bookmarkStart w:id="13" w:name="_Toc201685670"/>
      <w:r w:rsidRPr="00F65B2C">
        <w:rPr>
          <w:rFonts w:ascii="Times New Roman" w:hAnsi="Times New Roman" w:cs="Times New Roman"/>
          <w:b/>
          <w:bCs/>
          <w:sz w:val="24"/>
          <w:szCs w:val="24"/>
        </w:rPr>
        <w:lastRenderedPageBreak/>
        <w:t>Case Study Selection</w:t>
      </w:r>
      <w:bookmarkEnd w:id="13"/>
    </w:p>
    <w:p w:rsidR="00A33349" w:rsidRPr="00F65B2C" w:rsidRDefault="00A33349" w:rsidP="00A33349">
      <w:pPr>
        <w:rPr>
          <w:rFonts w:ascii="Times New Roman" w:hAnsi="Times New Roman" w:cs="Times New Roman"/>
        </w:rPr>
      </w:pPr>
      <w:r w:rsidRPr="00F65B2C">
        <w:rPr>
          <w:rFonts w:ascii="Times New Roman" w:hAnsi="Times New Roman" w:cs="Times New Roman"/>
        </w:rPr>
        <w:t>The Schengen Area was selected as the primary European case study due to its advanced integration of border controls and extensive tourism flows. Specific focus was placed on the response to COVID-19 during 2020-2021, examining coordination between Germany, France, Italy, and Spain as representative of different health system capacities and tourism dependencies.</w:t>
      </w:r>
    </w:p>
    <w:p w:rsidR="00A33349" w:rsidRPr="00F65B2C" w:rsidRDefault="00A33349" w:rsidP="00A33349">
      <w:pPr>
        <w:rPr>
          <w:rFonts w:ascii="Times New Roman" w:hAnsi="Times New Roman" w:cs="Times New Roman"/>
        </w:rPr>
      </w:pPr>
      <w:r w:rsidRPr="00F65B2C">
        <w:rPr>
          <w:rFonts w:ascii="Times New Roman" w:hAnsi="Times New Roman" w:cs="Times New Roman"/>
        </w:rPr>
        <w:t>For the ASEAN region, the study examined health coordination mechanisms across Thailand, Singapore, Malaysia, and Indonesia, with particular attention to responses to MERS-</w:t>
      </w:r>
      <w:proofErr w:type="spellStart"/>
      <w:r w:rsidRPr="00F65B2C">
        <w:rPr>
          <w:rFonts w:ascii="Times New Roman" w:hAnsi="Times New Roman" w:cs="Times New Roman"/>
        </w:rPr>
        <w:t>CoV</w:t>
      </w:r>
      <w:proofErr w:type="spellEnd"/>
      <w:r w:rsidRPr="00F65B2C">
        <w:rPr>
          <w:rFonts w:ascii="Times New Roman" w:hAnsi="Times New Roman" w:cs="Times New Roman"/>
        </w:rPr>
        <w:t xml:space="preserve"> outbreaks and seasonal influenza management. These countries represent different levels of health system development and tourism infrastructure, providing insights into coordination challenges across diverse contexts.</w:t>
      </w:r>
    </w:p>
    <w:p w:rsidR="00A33349" w:rsidRPr="00F65B2C" w:rsidRDefault="00A33349" w:rsidP="00D50E3C">
      <w:pPr>
        <w:pStyle w:val="Heading2"/>
        <w:rPr>
          <w:rFonts w:ascii="Times New Roman" w:hAnsi="Times New Roman" w:cs="Times New Roman"/>
          <w:b/>
          <w:bCs/>
          <w:sz w:val="24"/>
          <w:szCs w:val="24"/>
        </w:rPr>
      </w:pPr>
      <w:bookmarkStart w:id="14" w:name="_Toc201685671"/>
      <w:r w:rsidRPr="00F65B2C">
        <w:rPr>
          <w:rFonts w:ascii="Times New Roman" w:hAnsi="Times New Roman" w:cs="Times New Roman"/>
          <w:b/>
          <w:bCs/>
          <w:sz w:val="24"/>
          <w:szCs w:val="24"/>
        </w:rPr>
        <w:t>Data Analysis Procedures</w:t>
      </w:r>
      <w:bookmarkEnd w:id="14"/>
    </w:p>
    <w:p w:rsidR="00A33349" w:rsidRPr="00F65B2C" w:rsidRDefault="00A33349" w:rsidP="00A33349">
      <w:pPr>
        <w:rPr>
          <w:rFonts w:ascii="Times New Roman" w:hAnsi="Times New Roman" w:cs="Times New Roman"/>
        </w:rPr>
      </w:pPr>
      <w:r w:rsidRPr="00F65B2C">
        <w:rPr>
          <w:rFonts w:ascii="Times New Roman" w:hAnsi="Times New Roman" w:cs="Times New Roman"/>
        </w:rPr>
        <w:t>Qualitative data from interviews and policy documents were analyzed using thematic analysis techniques, with coding focused on identifying patterns related to coordination mechanisms, communication strategies, and implementation challenges. Cross-case comparison was employed to identify common themes and divergent approaches across different contexts.</w:t>
      </w:r>
    </w:p>
    <w:p w:rsidR="00A33349" w:rsidRPr="00F65B2C" w:rsidRDefault="00A33349" w:rsidP="00A33349">
      <w:pPr>
        <w:rPr>
          <w:rFonts w:ascii="Times New Roman" w:hAnsi="Times New Roman" w:cs="Times New Roman"/>
        </w:rPr>
      </w:pPr>
      <w:r w:rsidRPr="00F65B2C">
        <w:rPr>
          <w:rFonts w:ascii="Times New Roman" w:hAnsi="Times New Roman" w:cs="Times New Roman"/>
        </w:rPr>
        <w:t>Quantitative analysis of health surveillance data and tourism statistics utilized descriptive statistics and trend analysis to understand the relationship between health threats and tourism flows. Correlation analysis was employed to examine relationships between surveillance system capacity and crisis response effectiveness.</w:t>
      </w:r>
    </w:p>
    <w:p w:rsidR="00A33349" w:rsidRPr="00F65B2C" w:rsidRDefault="00A33349" w:rsidP="00D50E3C">
      <w:pPr>
        <w:pStyle w:val="Heading2"/>
        <w:rPr>
          <w:rFonts w:ascii="Times New Roman" w:hAnsi="Times New Roman" w:cs="Times New Roman"/>
          <w:b/>
          <w:bCs/>
          <w:sz w:val="24"/>
          <w:szCs w:val="24"/>
        </w:rPr>
      </w:pPr>
      <w:bookmarkStart w:id="15" w:name="_Toc201685672"/>
      <w:r w:rsidRPr="00F65B2C">
        <w:rPr>
          <w:rFonts w:ascii="Times New Roman" w:hAnsi="Times New Roman" w:cs="Times New Roman"/>
          <w:b/>
          <w:bCs/>
          <w:sz w:val="24"/>
          <w:szCs w:val="24"/>
        </w:rPr>
        <w:t>Validation Strategies</w:t>
      </w:r>
      <w:bookmarkEnd w:id="15"/>
    </w:p>
    <w:p w:rsidR="00A33349" w:rsidRPr="00F65B2C" w:rsidRDefault="00A33349" w:rsidP="00A33349">
      <w:pPr>
        <w:rPr>
          <w:rFonts w:ascii="Times New Roman" w:hAnsi="Times New Roman" w:cs="Times New Roman"/>
        </w:rPr>
      </w:pPr>
      <w:r w:rsidRPr="00F65B2C">
        <w:rPr>
          <w:rFonts w:ascii="Times New Roman" w:hAnsi="Times New Roman" w:cs="Times New Roman"/>
        </w:rPr>
        <w:t>Multiple validation strategies were employed to ensure the reliability and validity of findings. Triangulation of data sources, including interviews, policy documents, and statistical data, provided multiple perspectives on key issues. Member checking involved sharing preliminary findings with interview participants to ensure accurate representation of their perspectives.</w:t>
      </w:r>
    </w:p>
    <w:p w:rsidR="00A33349" w:rsidRPr="00F65B2C" w:rsidRDefault="00A33349" w:rsidP="00A33349">
      <w:pPr>
        <w:rPr>
          <w:rFonts w:ascii="Times New Roman" w:hAnsi="Times New Roman" w:cs="Times New Roman"/>
        </w:rPr>
      </w:pPr>
      <w:r w:rsidRPr="00F65B2C">
        <w:rPr>
          <w:rFonts w:ascii="Times New Roman" w:hAnsi="Times New Roman" w:cs="Times New Roman"/>
        </w:rPr>
        <w:t>Expert validation was conducted through presentation of findings at two international conferences on health security and tourism, where feedback from academic and practitioner audiences was incorporated into the final analysis. Additionally, the proposed framework was reviewed by a panel of experts from international health organizations to ensure practical applicability.</w:t>
      </w:r>
    </w:p>
    <w:p w:rsidR="00A33349" w:rsidRPr="00F65B2C" w:rsidRDefault="00A33349" w:rsidP="00D50E3C">
      <w:pPr>
        <w:pStyle w:val="Heading2"/>
        <w:rPr>
          <w:rFonts w:ascii="Times New Roman" w:hAnsi="Times New Roman" w:cs="Times New Roman"/>
          <w:b/>
          <w:bCs/>
          <w:sz w:val="24"/>
          <w:szCs w:val="24"/>
        </w:rPr>
      </w:pPr>
      <w:bookmarkStart w:id="16" w:name="_Toc201685673"/>
      <w:r w:rsidRPr="00F65B2C">
        <w:rPr>
          <w:rFonts w:ascii="Times New Roman" w:hAnsi="Times New Roman" w:cs="Times New Roman"/>
          <w:b/>
          <w:bCs/>
          <w:sz w:val="24"/>
          <w:szCs w:val="24"/>
        </w:rPr>
        <w:t>Ethical Considerations</w:t>
      </w:r>
      <w:bookmarkEnd w:id="16"/>
    </w:p>
    <w:p w:rsidR="00A33349" w:rsidRPr="00F65B2C" w:rsidRDefault="00A33349" w:rsidP="00A33349">
      <w:pPr>
        <w:rPr>
          <w:rFonts w:ascii="Times New Roman" w:hAnsi="Times New Roman" w:cs="Times New Roman"/>
        </w:rPr>
      </w:pPr>
      <w:r w:rsidRPr="00F65B2C">
        <w:rPr>
          <w:rFonts w:ascii="Times New Roman" w:hAnsi="Times New Roman" w:cs="Times New Roman"/>
        </w:rPr>
        <w:t>All research activities were conducted in accordance with established ethical guidelines for social science research. Interview participants provided informed consent and were assured of confidentiality. Sensitive information related to health surveillance capabilities was handled with appropriate security measures and reported only in aggregated form to protect national security interests.</w:t>
      </w:r>
    </w:p>
    <w:p w:rsidR="00A33349" w:rsidRPr="00F65B2C" w:rsidRDefault="00A33349" w:rsidP="00D50E3C">
      <w:pPr>
        <w:pStyle w:val="Heading2"/>
        <w:rPr>
          <w:rFonts w:ascii="Times New Roman" w:hAnsi="Times New Roman" w:cs="Times New Roman"/>
          <w:b/>
          <w:bCs/>
          <w:sz w:val="24"/>
          <w:szCs w:val="24"/>
        </w:rPr>
      </w:pPr>
      <w:bookmarkStart w:id="17" w:name="_Toc201685674"/>
      <w:r w:rsidRPr="00F65B2C">
        <w:rPr>
          <w:rFonts w:ascii="Times New Roman" w:hAnsi="Times New Roman" w:cs="Times New Roman"/>
          <w:b/>
          <w:bCs/>
          <w:sz w:val="24"/>
          <w:szCs w:val="24"/>
        </w:rPr>
        <w:lastRenderedPageBreak/>
        <w:t>Limitations</w:t>
      </w:r>
      <w:bookmarkEnd w:id="17"/>
    </w:p>
    <w:p w:rsidR="00D50E3C" w:rsidRPr="00F65B2C" w:rsidRDefault="00D50E3C" w:rsidP="00D50E3C">
      <w:pPr>
        <w:rPr>
          <w:rFonts w:ascii="Times New Roman" w:hAnsi="Times New Roman" w:cs="Times New Roman"/>
        </w:rPr>
      </w:pPr>
      <w:r w:rsidRPr="00F65B2C">
        <w:rPr>
          <w:rFonts w:ascii="Times New Roman" w:hAnsi="Times New Roman" w:cs="Times New Roman"/>
        </w:rPr>
        <w:t>This methodology has a number of limitations taking effect. One shortcoming is that the fact that attention was paid to two regional cases, although with the aim to achieve the depth of analysis, might somehow reduce the issue of generalizability of the findings to other cross-border tourism situations. Second, the bias may be created favoring formal system of governance through the use of formal stakeholders as interviewees and missing informal methods of coordination. Third, response to health crises is obviously an ex-post analysis and can face the bias of hindsight and poor record that can be faced.</w:t>
      </w:r>
    </w:p>
    <w:p w:rsidR="00D50E3C" w:rsidRPr="00F65B2C" w:rsidRDefault="00D50E3C" w:rsidP="00D50E3C">
      <w:pPr>
        <w:rPr>
          <w:rFonts w:ascii="Times New Roman" w:hAnsi="Times New Roman" w:cs="Times New Roman"/>
        </w:rPr>
      </w:pPr>
      <w:r w:rsidRPr="00F65B2C">
        <w:rPr>
          <w:rFonts w:ascii="Times New Roman" w:hAnsi="Times New Roman" w:cs="Times New Roman"/>
        </w:rPr>
        <w:t>Nevertheless, these limitations do not undermine the value of the methodology that offers a solid basis to comprehend the complexities of managing cross-border health crisis and establishing practical recommendations on how to improve it</w:t>
      </w:r>
      <w:r w:rsidR="00A33349" w:rsidRPr="00F65B2C">
        <w:rPr>
          <w:rFonts w:ascii="Times New Roman" w:hAnsi="Times New Roman" w:cs="Times New Roman"/>
        </w:rPr>
        <w:t>.</w:t>
      </w:r>
    </w:p>
    <w:p w:rsidR="00D50E3C" w:rsidRDefault="00D50E3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Default="00F65B2C" w:rsidP="00D50E3C">
      <w:pPr>
        <w:rPr>
          <w:rFonts w:ascii="Times New Roman" w:hAnsi="Times New Roman" w:cs="Times New Roman"/>
        </w:rPr>
      </w:pPr>
    </w:p>
    <w:p w:rsidR="00F65B2C" w:rsidRPr="00F65B2C" w:rsidRDefault="00F65B2C" w:rsidP="00D50E3C">
      <w:pPr>
        <w:rPr>
          <w:rFonts w:ascii="Times New Roman" w:hAnsi="Times New Roman" w:cs="Times New Roman"/>
        </w:rPr>
      </w:pPr>
    </w:p>
    <w:p w:rsidR="00213019" w:rsidRPr="00213019" w:rsidRDefault="00213019" w:rsidP="00213019">
      <w:pPr>
        <w:pStyle w:val="Heading1"/>
        <w:rPr>
          <w:rFonts w:ascii="Times New Roman" w:eastAsia="Times New Roman" w:hAnsi="Times New Roman" w:cs="Times New Roman"/>
          <w:b/>
          <w:bCs/>
          <w:sz w:val="32"/>
          <w:szCs w:val="32"/>
        </w:rPr>
      </w:pPr>
      <w:bookmarkStart w:id="18" w:name="_Toc201685675"/>
      <w:r w:rsidRPr="00F65B2C">
        <w:rPr>
          <w:rFonts w:ascii="Times New Roman" w:eastAsia="Times New Roman" w:hAnsi="Times New Roman" w:cs="Times New Roman"/>
          <w:b/>
          <w:bCs/>
          <w:sz w:val="32"/>
          <w:szCs w:val="32"/>
        </w:rPr>
        <w:lastRenderedPageBreak/>
        <w:t>Findings</w:t>
      </w:r>
      <w:bookmarkEnd w:id="18"/>
    </w:p>
    <w:p w:rsidR="00213019" w:rsidRPr="00213019" w:rsidRDefault="00D50E3C" w:rsidP="00213019">
      <w:pPr>
        <w:spacing w:before="100" w:beforeAutospacing="1" w:after="100" w:afterAutospacing="1" w:line="240" w:lineRule="auto"/>
        <w:rPr>
          <w:rFonts w:ascii="Times New Roman" w:eastAsia="Times New Roman" w:hAnsi="Times New Roman" w:cs="Times New Roman"/>
          <w:kern w:val="0"/>
          <w14:ligatures w14:val="none"/>
        </w:rPr>
      </w:pPr>
      <w:r w:rsidRPr="00F65B2C">
        <w:rPr>
          <w:rFonts w:ascii="Times New Roman" w:eastAsia="Times New Roman" w:hAnsi="Times New Roman" w:cs="Times New Roman"/>
          <w:kern w:val="0"/>
          <w14:ligatures w14:val="none"/>
        </w:rPr>
        <w:t xml:space="preserve">In this analysis, significant differences between the approaches adopted in handling the events following a health crisis in cross-border tourism regions are established in noting both effective instances of </w:t>
      </w:r>
      <w:proofErr w:type="spellStart"/>
      <w:r w:rsidRPr="00F65B2C">
        <w:rPr>
          <w:rFonts w:ascii="Times New Roman" w:eastAsia="Times New Roman" w:hAnsi="Times New Roman" w:cs="Times New Roman"/>
          <w:kern w:val="0"/>
          <w14:ligatures w14:val="none"/>
        </w:rPr>
        <w:t>coordinations</w:t>
      </w:r>
      <w:proofErr w:type="spellEnd"/>
      <w:r w:rsidRPr="00F65B2C">
        <w:rPr>
          <w:rFonts w:ascii="Times New Roman" w:eastAsia="Times New Roman" w:hAnsi="Times New Roman" w:cs="Times New Roman"/>
          <w:kern w:val="0"/>
          <w14:ligatures w14:val="none"/>
        </w:rPr>
        <w:t xml:space="preserve"> as well as common barriers. The results are organized in four levels; detection and surveillance, rapid response coordination, containment and mitigation, and recovery and rebuilding</w:t>
      </w:r>
      <w:r w:rsidR="00213019" w:rsidRPr="00213019">
        <w:rPr>
          <w:rFonts w:ascii="Times New Roman" w:eastAsia="Times New Roman" w:hAnsi="Times New Roman" w:cs="Times New Roman"/>
          <w:kern w:val="0"/>
          <w14:ligatures w14:val="none"/>
        </w:rPr>
        <w:t>.</w:t>
      </w:r>
    </w:p>
    <w:p w:rsidR="00213019" w:rsidRPr="00F65B2C" w:rsidRDefault="00213019" w:rsidP="00D50E3C">
      <w:pPr>
        <w:pStyle w:val="Heading2"/>
        <w:rPr>
          <w:rFonts w:ascii="Times New Roman" w:eastAsia="Times New Roman" w:hAnsi="Times New Roman" w:cs="Times New Roman"/>
          <w:b/>
          <w:bCs/>
          <w:sz w:val="24"/>
          <w:szCs w:val="24"/>
        </w:rPr>
      </w:pPr>
      <w:bookmarkStart w:id="19" w:name="_Toc201685676"/>
      <w:r w:rsidRPr="00F65B2C">
        <w:rPr>
          <w:rFonts w:ascii="Times New Roman" w:eastAsia="Times New Roman" w:hAnsi="Times New Roman" w:cs="Times New Roman"/>
          <w:b/>
          <w:bCs/>
          <w:sz w:val="24"/>
          <w:szCs w:val="24"/>
        </w:rPr>
        <w:t>Tier 1: Detection and Surveillance</w:t>
      </w:r>
      <w:bookmarkEnd w:id="19"/>
    </w:p>
    <w:p w:rsidR="00213019" w:rsidRPr="00213019" w:rsidRDefault="00213019" w:rsidP="00213019">
      <w:pPr>
        <w:spacing w:before="100" w:beforeAutospacing="1" w:after="100" w:afterAutospacing="1" w:line="240" w:lineRule="auto"/>
        <w:rPr>
          <w:rFonts w:ascii="Times New Roman" w:eastAsia="Times New Roman" w:hAnsi="Times New Roman" w:cs="Times New Roman"/>
          <w:kern w:val="0"/>
          <w14:ligatures w14:val="none"/>
        </w:rPr>
      </w:pPr>
      <w:r w:rsidRPr="00213019">
        <w:rPr>
          <w:rFonts w:ascii="Times New Roman" w:eastAsia="Times New Roman" w:hAnsi="Times New Roman" w:cs="Times New Roman"/>
          <w:kern w:val="0"/>
          <w14:ligatures w14:val="none"/>
        </w:rPr>
        <w:t xml:space="preserve">Surveillance capabilities vary widely across both the Schengen Area and ASEAN. Within the EU, countries such as Germany and France operate advanced real-time monitoring systems integrated into platforms like </w:t>
      </w:r>
      <w:proofErr w:type="spellStart"/>
      <w:r w:rsidRPr="00213019">
        <w:rPr>
          <w:rFonts w:ascii="Times New Roman" w:eastAsia="Times New Roman" w:hAnsi="Times New Roman" w:cs="Times New Roman"/>
          <w:kern w:val="0"/>
          <w14:ligatures w14:val="none"/>
        </w:rPr>
        <w:t>TESSy</w:t>
      </w:r>
      <w:proofErr w:type="spellEnd"/>
      <w:r w:rsidRPr="00213019">
        <w:rPr>
          <w:rFonts w:ascii="Times New Roman" w:eastAsia="Times New Roman" w:hAnsi="Times New Roman" w:cs="Times New Roman"/>
          <w:kern w:val="0"/>
          <w14:ligatures w14:val="none"/>
        </w:rPr>
        <w:t xml:space="preserve"> and EWRS. However, smaller or less resourced member states still experience significant reporting delays. This inconsistency became especially visible during COVID-19, where stronger surveillance systems enabled faster responses, while weaker ones led to slower detection and poor regional coordination.</w:t>
      </w:r>
    </w:p>
    <w:p w:rsidR="00213019" w:rsidRPr="00213019" w:rsidRDefault="00213019" w:rsidP="00213019">
      <w:pPr>
        <w:spacing w:before="100" w:beforeAutospacing="1" w:after="100" w:afterAutospacing="1" w:line="240" w:lineRule="auto"/>
        <w:rPr>
          <w:rFonts w:ascii="Times New Roman" w:eastAsia="Times New Roman" w:hAnsi="Times New Roman" w:cs="Times New Roman"/>
          <w:kern w:val="0"/>
          <w14:ligatures w14:val="none"/>
        </w:rPr>
      </w:pPr>
      <w:r w:rsidRPr="00213019">
        <w:rPr>
          <w:rFonts w:ascii="Times New Roman" w:eastAsia="Times New Roman" w:hAnsi="Times New Roman" w:cs="Times New Roman"/>
          <w:kern w:val="0"/>
          <w14:ligatures w14:val="none"/>
        </w:rPr>
        <w:t>ASEAN shows even more variation. Singapore leads with cutting-edge digital surveillance, while others operate with minimal systems. Thailand, having improved since the SARS outbreak, has built robust respiratory disease tracking mechanisms. A key weakness across both regions is the lack of integration between health surveillance and tourism-specific monitoring. High-volume tourist areas often remain under-monitored, even during peak seasons.</w:t>
      </w:r>
    </w:p>
    <w:p w:rsidR="00213019" w:rsidRPr="00213019" w:rsidRDefault="00213019" w:rsidP="00D50E3C">
      <w:pPr>
        <w:pStyle w:val="Heading2"/>
        <w:rPr>
          <w:rFonts w:ascii="Times New Roman" w:eastAsia="Times New Roman" w:hAnsi="Times New Roman" w:cs="Times New Roman"/>
          <w:b/>
          <w:bCs/>
          <w:sz w:val="24"/>
          <w:szCs w:val="24"/>
        </w:rPr>
      </w:pPr>
      <w:bookmarkStart w:id="20" w:name="_Toc201685677"/>
      <w:r w:rsidRPr="00F65B2C">
        <w:rPr>
          <w:rFonts w:ascii="Times New Roman" w:eastAsia="Times New Roman" w:hAnsi="Times New Roman" w:cs="Times New Roman"/>
          <w:b/>
          <w:bCs/>
          <w:sz w:val="24"/>
          <w:szCs w:val="24"/>
        </w:rPr>
        <w:t>Tier 2: Rapid Response Coordination</w:t>
      </w:r>
      <w:bookmarkEnd w:id="20"/>
    </w:p>
    <w:p w:rsidR="00213019" w:rsidRPr="00213019" w:rsidRDefault="00213019" w:rsidP="00213019">
      <w:pPr>
        <w:spacing w:before="100" w:beforeAutospacing="1" w:after="100" w:afterAutospacing="1" w:line="240" w:lineRule="auto"/>
        <w:rPr>
          <w:rFonts w:ascii="Times New Roman" w:eastAsia="Times New Roman" w:hAnsi="Times New Roman" w:cs="Times New Roman"/>
          <w:kern w:val="0"/>
          <w14:ligatures w14:val="none"/>
        </w:rPr>
      </w:pPr>
      <w:r w:rsidRPr="00213019">
        <w:rPr>
          <w:rFonts w:ascii="Times New Roman" w:eastAsia="Times New Roman" w:hAnsi="Times New Roman" w:cs="Times New Roman"/>
          <w:kern w:val="0"/>
          <w14:ligatures w14:val="none"/>
        </w:rPr>
        <w:t>Cross-border coordination mechanisms show mixed results. In the EU, institutions like the ECDC and Health Security Committee offer coordination frameworks, but during COVID-19, initial reactions were fragmented, with countries implementing unilateral border closures. Coordination improved later with joint procurement systems and common testing strategies.</w:t>
      </w:r>
    </w:p>
    <w:p w:rsidR="00213019" w:rsidRPr="00213019" w:rsidRDefault="00213019" w:rsidP="00213019">
      <w:pPr>
        <w:spacing w:before="100" w:beforeAutospacing="1" w:after="100" w:afterAutospacing="1" w:line="240" w:lineRule="auto"/>
        <w:rPr>
          <w:rFonts w:ascii="Times New Roman" w:eastAsia="Times New Roman" w:hAnsi="Times New Roman" w:cs="Times New Roman"/>
          <w:kern w:val="0"/>
          <w14:ligatures w14:val="none"/>
        </w:rPr>
      </w:pPr>
      <w:r w:rsidRPr="00213019">
        <w:rPr>
          <w:rFonts w:ascii="Times New Roman" w:eastAsia="Times New Roman" w:hAnsi="Times New Roman" w:cs="Times New Roman"/>
          <w:kern w:val="0"/>
          <w14:ligatures w14:val="none"/>
        </w:rPr>
        <w:t>In ASEAN, response efforts are constrained by principles of non-interference and limited supranational authority. Still, coordination during MERS-</w:t>
      </w:r>
      <w:proofErr w:type="spellStart"/>
      <w:r w:rsidRPr="00213019">
        <w:rPr>
          <w:rFonts w:ascii="Times New Roman" w:eastAsia="Times New Roman" w:hAnsi="Times New Roman" w:cs="Times New Roman"/>
          <w:kern w:val="0"/>
          <w14:ligatures w14:val="none"/>
        </w:rPr>
        <w:t>CoV</w:t>
      </w:r>
      <w:proofErr w:type="spellEnd"/>
      <w:r w:rsidRPr="00213019">
        <w:rPr>
          <w:rFonts w:ascii="Times New Roman" w:eastAsia="Times New Roman" w:hAnsi="Times New Roman" w:cs="Times New Roman"/>
          <w:kern w:val="0"/>
          <w14:ligatures w14:val="none"/>
        </w:rPr>
        <w:t xml:space="preserve"> outbreaks and via networks like the ASEAN+3 Public Health Emergency Operations Centre shows some promise. Where countries had previously invested in joint planning or simulations, their coordination during crises was noticeably better.</w:t>
      </w:r>
    </w:p>
    <w:p w:rsidR="00213019" w:rsidRPr="00F65B2C" w:rsidRDefault="00213019" w:rsidP="00D50E3C">
      <w:pPr>
        <w:pStyle w:val="Heading2"/>
        <w:rPr>
          <w:rFonts w:ascii="Times New Roman" w:eastAsia="Times New Roman" w:hAnsi="Times New Roman" w:cs="Times New Roman"/>
          <w:b/>
          <w:bCs/>
          <w:sz w:val="24"/>
          <w:szCs w:val="24"/>
        </w:rPr>
      </w:pPr>
      <w:bookmarkStart w:id="21" w:name="_Toc201685678"/>
      <w:r w:rsidRPr="00F65B2C">
        <w:rPr>
          <w:rFonts w:ascii="Times New Roman" w:eastAsia="Times New Roman" w:hAnsi="Times New Roman" w:cs="Times New Roman"/>
          <w:b/>
          <w:bCs/>
          <w:sz w:val="24"/>
          <w:szCs w:val="24"/>
        </w:rPr>
        <w:t>Tier 3: Containment and Mitigation</w:t>
      </w:r>
      <w:bookmarkEnd w:id="21"/>
    </w:p>
    <w:p w:rsidR="00213019" w:rsidRPr="00213019" w:rsidRDefault="00213019" w:rsidP="00213019">
      <w:pPr>
        <w:spacing w:before="100" w:beforeAutospacing="1" w:after="100" w:afterAutospacing="1" w:line="240" w:lineRule="auto"/>
        <w:rPr>
          <w:rFonts w:ascii="Times New Roman" w:eastAsia="Times New Roman" w:hAnsi="Times New Roman" w:cs="Times New Roman"/>
          <w:kern w:val="0"/>
          <w14:ligatures w14:val="none"/>
        </w:rPr>
      </w:pPr>
      <w:r w:rsidRPr="00213019">
        <w:rPr>
          <w:rFonts w:ascii="Times New Roman" w:eastAsia="Times New Roman" w:hAnsi="Times New Roman" w:cs="Times New Roman"/>
          <w:kern w:val="0"/>
          <w14:ligatures w14:val="none"/>
        </w:rPr>
        <w:t>Efforts to balance tourism continuity with public health protection were uneven. The EU’s risk-based travel rules and Digital COVID Certificate helped promote safer travel. Yet countries still acted independently, often disregarding shared frameworks. In ASEAN, strategies were more fragmented overall, with some localized successes during shared outbreak events.</w:t>
      </w:r>
    </w:p>
    <w:p w:rsidR="00213019" w:rsidRPr="00213019" w:rsidRDefault="00213019" w:rsidP="00213019">
      <w:pPr>
        <w:spacing w:before="100" w:beforeAutospacing="1" w:after="100" w:afterAutospacing="1" w:line="240" w:lineRule="auto"/>
        <w:rPr>
          <w:rFonts w:ascii="Times New Roman" w:eastAsia="Times New Roman" w:hAnsi="Times New Roman" w:cs="Times New Roman"/>
          <w:kern w:val="0"/>
          <w14:ligatures w14:val="none"/>
        </w:rPr>
      </w:pPr>
    </w:p>
    <w:p w:rsidR="00213019" w:rsidRPr="00F65B2C" w:rsidRDefault="00213019" w:rsidP="00D50E3C">
      <w:pPr>
        <w:pStyle w:val="Heading2"/>
        <w:rPr>
          <w:rFonts w:ascii="Times New Roman" w:eastAsia="Times New Roman" w:hAnsi="Times New Roman" w:cs="Times New Roman"/>
          <w:b/>
          <w:bCs/>
          <w:sz w:val="24"/>
          <w:szCs w:val="24"/>
        </w:rPr>
      </w:pPr>
      <w:bookmarkStart w:id="22" w:name="_Toc201685679"/>
      <w:r w:rsidRPr="00F65B2C">
        <w:rPr>
          <w:rFonts w:ascii="Times New Roman" w:eastAsia="Times New Roman" w:hAnsi="Times New Roman" w:cs="Times New Roman"/>
          <w:b/>
          <w:bCs/>
          <w:sz w:val="24"/>
          <w:szCs w:val="24"/>
        </w:rPr>
        <w:lastRenderedPageBreak/>
        <w:t>Tier 4: Recovery and Rebuilding</w:t>
      </w:r>
      <w:bookmarkEnd w:id="22"/>
    </w:p>
    <w:p w:rsidR="00213019" w:rsidRPr="00213019" w:rsidRDefault="00213019" w:rsidP="00213019">
      <w:pPr>
        <w:spacing w:before="100" w:beforeAutospacing="1" w:after="100" w:afterAutospacing="1" w:line="240" w:lineRule="auto"/>
        <w:rPr>
          <w:rFonts w:ascii="Times New Roman" w:eastAsia="Times New Roman" w:hAnsi="Times New Roman" w:cs="Times New Roman"/>
          <w:kern w:val="0"/>
          <w14:ligatures w14:val="none"/>
        </w:rPr>
      </w:pPr>
      <w:r w:rsidRPr="00213019">
        <w:rPr>
          <w:rFonts w:ascii="Times New Roman" w:eastAsia="Times New Roman" w:hAnsi="Times New Roman" w:cs="Times New Roman"/>
          <w:kern w:val="0"/>
          <w14:ligatures w14:val="none"/>
        </w:rPr>
        <w:t>Recovery efforts exposed uneven capacities and divergent timelines. The EU attempted a coordinated approach through mutual vaccine recognition and standardized health protocols, though enforcement varied. In ASEAN, recovery remained more individualized. Concepts like the ASEAN travel bubble were proposed but not implemented, reflecting the difficulty of regional alignment.</w:t>
      </w:r>
    </w:p>
    <w:p w:rsidR="00213019" w:rsidRPr="00F65B2C" w:rsidRDefault="00213019" w:rsidP="00D50E3C">
      <w:pPr>
        <w:pStyle w:val="Heading2"/>
        <w:rPr>
          <w:rFonts w:ascii="Times New Roman" w:eastAsia="Times New Roman" w:hAnsi="Times New Roman" w:cs="Times New Roman"/>
          <w:b/>
          <w:bCs/>
          <w:sz w:val="24"/>
          <w:szCs w:val="24"/>
        </w:rPr>
      </w:pPr>
      <w:bookmarkStart w:id="23" w:name="_Toc201685680"/>
      <w:r w:rsidRPr="00F65B2C">
        <w:rPr>
          <w:rFonts w:ascii="Times New Roman" w:eastAsia="Times New Roman" w:hAnsi="Times New Roman" w:cs="Times New Roman"/>
          <w:b/>
          <w:bCs/>
          <w:sz w:val="24"/>
          <w:szCs w:val="24"/>
        </w:rPr>
        <w:t>Cross-Cutting Insights</w:t>
      </w:r>
      <w:bookmarkEnd w:id="23"/>
    </w:p>
    <w:p w:rsidR="00213019" w:rsidRPr="00F65B2C" w:rsidRDefault="00213019" w:rsidP="00213019">
      <w:pPr>
        <w:spacing w:before="100" w:beforeAutospacing="1" w:after="100" w:afterAutospacing="1" w:line="240" w:lineRule="auto"/>
        <w:rPr>
          <w:rFonts w:ascii="Times New Roman" w:eastAsia="Times New Roman" w:hAnsi="Times New Roman" w:cs="Times New Roman"/>
          <w:kern w:val="0"/>
          <w14:ligatures w14:val="none"/>
        </w:rPr>
      </w:pPr>
      <w:r w:rsidRPr="00213019">
        <w:rPr>
          <w:rFonts w:ascii="Times New Roman" w:eastAsia="Times New Roman" w:hAnsi="Times New Roman" w:cs="Times New Roman"/>
          <w:kern w:val="0"/>
          <w14:ligatures w14:val="none"/>
        </w:rPr>
        <w:t>Three broader findings emerged. First, harmonizing legal frameworks remains difficult yet essential. Second, technological gaps continue to hinder coordination. Third, risk communication across borders demands culturally sensitive, consistent messaging. Ultimately, strong relationships and pre-existing coordination structures proved to be key advantages for successful joint responses, offering valuable lessons for future preparedness.</w:t>
      </w:r>
    </w:p>
    <w:p w:rsidR="00D50E3C" w:rsidRDefault="00D50E3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F65B2C" w:rsidRPr="00213019" w:rsidRDefault="00F65B2C" w:rsidP="00213019">
      <w:pPr>
        <w:spacing w:before="100" w:beforeAutospacing="1" w:after="100" w:afterAutospacing="1" w:line="240" w:lineRule="auto"/>
        <w:rPr>
          <w:rFonts w:ascii="Times New Roman" w:eastAsia="Times New Roman" w:hAnsi="Times New Roman" w:cs="Times New Roman"/>
          <w:kern w:val="0"/>
          <w14:ligatures w14:val="none"/>
        </w:rPr>
      </w:pPr>
    </w:p>
    <w:p w:rsidR="00A33349" w:rsidRPr="00F65B2C" w:rsidRDefault="00A33349" w:rsidP="00D50E3C">
      <w:pPr>
        <w:pStyle w:val="Heading1"/>
        <w:rPr>
          <w:rFonts w:ascii="Times New Roman" w:hAnsi="Times New Roman" w:cs="Times New Roman"/>
          <w:b/>
          <w:bCs/>
          <w:sz w:val="32"/>
          <w:szCs w:val="32"/>
        </w:rPr>
      </w:pPr>
      <w:bookmarkStart w:id="24" w:name="_Toc201685681"/>
      <w:r w:rsidRPr="00F65B2C">
        <w:rPr>
          <w:rFonts w:ascii="Times New Roman" w:hAnsi="Times New Roman" w:cs="Times New Roman"/>
          <w:b/>
          <w:bCs/>
          <w:sz w:val="32"/>
          <w:szCs w:val="32"/>
        </w:rPr>
        <w:lastRenderedPageBreak/>
        <w:t>Discussion</w:t>
      </w:r>
      <w:bookmarkEnd w:id="24"/>
    </w:p>
    <w:p w:rsidR="00413730" w:rsidRPr="00F65B2C" w:rsidRDefault="00413730" w:rsidP="00413730">
      <w:pPr>
        <w:rPr>
          <w:rFonts w:ascii="Times New Roman" w:hAnsi="Times New Roman" w:cs="Times New Roman"/>
        </w:rPr>
      </w:pPr>
      <w:r w:rsidRPr="00F65B2C">
        <w:rPr>
          <w:rFonts w:ascii="Times New Roman" w:hAnsi="Times New Roman" w:cs="Times New Roman"/>
        </w:rPr>
        <w:t>The results also reveal the intricacy and expediency of putting up sound health crisis management systems in cross-border tourism areas. Although great headway has been achieved in regional health collaboration, there exist grave flaw that undermines the capacities of interrelated tourism systems in dealing with outbreaks of large-scale health threats. The evaluation of EU and ASEAN responses indicates that the institutional framework and adaptability of the system is highly determinant in the process of coordinating the region when it comes under pressure.</w:t>
      </w:r>
    </w:p>
    <w:p w:rsidR="00413730" w:rsidRPr="00F65B2C" w:rsidRDefault="00413730" w:rsidP="00413730">
      <w:pPr>
        <w:rPr>
          <w:rFonts w:ascii="Times New Roman" w:hAnsi="Times New Roman" w:cs="Times New Roman"/>
        </w:rPr>
      </w:pPr>
      <w:r w:rsidRPr="00F65B2C">
        <w:rPr>
          <w:rFonts w:ascii="Times New Roman" w:hAnsi="Times New Roman" w:cs="Times New Roman"/>
        </w:rPr>
        <w:t xml:space="preserve">Supranational mechanisms in the EU leave room to establish more binding regulations and coordination in a more centralized method, which gives the region an upper hand in the outlined context to design a unified response. Nonetheless, the national concerns usually come in conflict with the common purposes, which is observed in the early period during the COVID-19 pandemic. In spite of the establishment of such institutions as the ECDC and the Health Security Committee, the member states initiated unilateral measures such as closing off borders, slowing down the process of regional coordination. </w:t>
      </w:r>
      <w:proofErr w:type="gramStart"/>
      <w:r w:rsidRPr="00F65B2C">
        <w:rPr>
          <w:rFonts w:ascii="Times New Roman" w:hAnsi="Times New Roman" w:cs="Times New Roman"/>
        </w:rPr>
        <w:t>However</w:t>
      </w:r>
      <w:proofErr w:type="gramEnd"/>
      <w:r w:rsidRPr="00F65B2C">
        <w:rPr>
          <w:rFonts w:ascii="Times New Roman" w:hAnsi="Times New Roman" w:cs="Times New Roman"/>
        </w:rPr>
        <w:t xml:space="preserve"> unlike, ASEAN is an intergovernmental system but cooperation in such is through voluntary compliance and consensus. Such model rests on national sovereignty, however, has problems in deciding swiftly and in an effective way during a crisis.</w:t>
      </w:r>
    </w:p>
    <w:p w:rsidR="00413730" w:rsidRPr="00F65B2C" w:rsidRDefault="00413730" w:rsidP="00413730">
      <w:pPr>
        <w:rPr>
          <w:rFonts w:ascii="Times New Roman" w:hAnsi="Times New Roman" w:cs="Times New Roman"/>
        </w:rPr>
      </w:pPr>
      <w:r w:rsidRPr="00F65B2C">
        <w:rPr>
          <w:rFonts w:ascii="Times New Roman" w:hAnsi="Times New Roman" w:cs="Times New Roman"/>
        </w:rPr>
        <w:t>Such divergent pathways indicate the necessity to develop hybrid institutional arrangements that would be able both to assure the minimum standards and common protocols put in place and to be flexible in respect of national capacities. In line with these requirements, the proposed multi-tiered framework tries to satisfy them by focusing on differentiated implementation pathways within the structured framework.</w:t>
      </w:r>
    </w:p>
    <w:p w:rsidR="00413730" w:rsidRPr="00F65B2C" w:rsidRDefault="00413730" w:rsidP="00413730">
      <w:pPr>
        <w:rPr>
          <w:rFonts w:ascii="Times New Roman" w:hAnsi="Times New Roman" w:cs="Times New Roman"/>
        </w:rPr>
      </w:pPr>
      <w:r w:rsidRPr="00F65B2C">
        <w:rPr>
          <w:rFonts w:ascii="Times New Roman" w:hAnsi="Times New Roman" w:cs="Times New Roman"/>
        </w:rPr>
        <w:t>Technology has been effective in serving as a strong facilitator and as a cause of inequality. Digital surveillance, real-time data sharing platform, and digital health certificates are also essential in the immediate response to the crisis, especially in places that heavily rely on tourism and mobility is a factor that complicates the containment measures. The advantages of digitization are demonstrated as well by the example of the Digital COVID Certificate of the EU, which was successful because of the previous investments in infrastructure and regulation. The ASEAN nations, in their case, experience unequal technological preparedness and can hardly expand their services beyond borders.</w:t>
      </w:r>
    </w:p>
    <w:p w:rsidR="00413730" w:rsidRPr="00F65B2C" w:rsidRDefault="00413730" w:rsidP="00413730">
      <w:pPr>
        <w:rPr>
          <w:rFonts w:ascii="Times New Roman" w:hAnsi="Times New Roman" w:cs="Times New Roman"/>
        </w:rPr>
      </w:pPr>
      <w:r w:rsidRPr="00F65B2C">
        <w:rPr>
          <w:rFonts w:ascii="Times New Roman" w:hAnsi="Times New Roman" w:cs="Times New Roman"/>
        </w:rPr>
        <w:t>In the absence of broad-based technological interoperability, cross-border coordination won be continuous. Therefore, training, infrastructure provision, and common technical standards through capacity-building in digital governance are important to guarantee the ability of all countries to be effective members of coordinated networks.</w:t>
      </w:r>
    </w:p>
    <w:p w:rsidR="00413730" w:rsidRPr="00F65B2C" w:rsidRDefault="00413730" w:rsidP="00413730">
      <w:pPr>
        <w:rPr>
          <w:rFonts w:ascii="Times New Roman" w:hAnsi="Times New Roman" w:cs="Times New Roman"/>
        </w:rPr>
      </w:pPr>
      <w:r w:rsidRPr="00F65B2C">
        <w:rPr>
          <w:rFonts w:ascii="Times New Roman" w:hAnsi="Times New Roman" w:cs="Times New Roman"/>
        </w:rPr>
        <w:t xml:space="preserve">Risk communication is also an important aspect. Uncoordinated public health messages and disparate policies can completely undermine citizen adherence in the cross-border tourism </w:t>
      </w:r>
      <w:r w:rsidRPr="00F65B2C">
        <w:rPr>
          <w:rFonts w:ascii="Times New Roman" w:hAnsi="Times New Roman" w:cs="Times New Roman"/>
        </w:rPr>
        <w:lastRenderedPageBreak/>
        <w:t>territories. The pandemic revealed these internal vulnerabilities when it allowed travelers to face mixed messages and regulations by their neighbors. Linguistic and cultural differentiations should be considered in coordinated communication initiatives that do not contradict each other with a unified core message that is essential to keeping trust in regional health measures.</w:t>
      </w:r>
    </w:p>
    <w:p w:rsidR="00413730" w:rsidRPr="00F65B2C" w:rsidRDefault="00413730" w:rsidP="00413730">
      <w:pPr>
        <w:rPr>
          <w:rFonts w:ascii="Times New Roman" w:hAnsi="Times New Roman" w:cs="Times New Roman"/>
        </w:rPr>
      </w:pPr>
      <w:r w:rsidRPr="00F65B2C">
        <w:rPr>
          <w:rFonts w:ascii="Times New Roman" w:hAnsi="Times New Roman" w:cs="Times New Roman"/>
        </w:rPr>
        <w:t>Harmonization of legislations is another key issue. Differing enforcement and interpretation even within the much more law aligned EU system has persistently prevented effective coordination. A complete harmonization might not be realistic so mutual recognition systems and common standards on a lower level will help to achieve a better working relationship without the need to upset the national legal systems.</w:t>
      </w:r>
    </w:p>
    <w:p w:rsidR="00413730" w:rsidRPr="00F65B2C" w:rsidRDefault="00413730" w:rsidP="00413730">
      <w:pPr>
        <w:rPr>
          <w:rFonts w:ascii="Times New Roman" w:hAnsi="Times New Roman" w:cs="Times New Roman"/>
        </w:rPr>
      </w:pPr>
      <w:r w:rsidRPr="00F65B2C">
        <w:rPr>
          <w:rFonts w:ascii="Times New Roman" w:hAnsi="Times New Roman" w:cs="Times New Roman"/>
        </w:rPr>
        <w:t>Other forces that influence crisis response include economic forces, which are especially important in areas that highly depend on tourism. Different policy-making focuses also tend to cause disunity between tangible controls based on long-term policies and those aimed at protecting the health of the public versus economic survival. The trade-offs can be mitigated by taking a risk-based approach, an action that treats the response proportionately and not uniformly, a factor that would help avert the incentive of countries to resort to unilateral actions.</w:t>
      </w:r>
    </w:p>
    <w:p w:rsidR="00A33349" w:rsidRPr="00F65B2C" w:rsidRDefault="00413730" w:rsidP="00413730">
      <w:pPr>
        <w:rPr>
          <w:rFonts w:ascii="Times New Roman" w:hAnsi="Times New Roman" w:cs="Times New Roman"/>
        </w:rPr>
      </w:pPr>
      <w:r w:rsidRPr="00F65B2C">
        <w:rPr>
          <w:rFonts w:ascii="Times New Roman" w:hAnsi="Times New Roman" w:cs="Times New Roman"/>
        </w:rPr>
        <w:t>Finally, a long-term political will, investments into technology and human capacity, and new emphasis on long-term institutional liaison are all required on the basis of the findings. The practice of these areas will enhance the resilience of coordinated response in any health crisis that may occur in the tourism-reliant regions in the future.</w:t>
      </w:r>
    </w:p>
    <w:p w:rsidR="00413730" w:rsidRDefault="00413730"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Pr="00F65B2C" w:rsidRDefault="00F65B2C" w:rsidP="00A33349">
      <w:pPr>
        <w:rPr>
          <w:rFonts w:ascii="Times New Roman" w:hAnsi="Times New Roman" w:cs="Times New Roman"/>
        </w:rPr>
      </w:pPr>
    </w:p>
    <w:p w:rsidR="00A33349" w:rsidRPr="00F65B2C" w:rsidRDefault="00A33349" w:rsidP="00413730">
      <w:pPr>
        <w:pStyle w:val="Heading1"/>
        <w:rPr>
          <w:rFonts w:ascii="Times New Roman" w:hAnsi="Times New Roman" w:cs="Times New Roman"/>
          <w:b/>
          <w:bCs/>
          <w:sz w:val="32"/>
          <w:szCs w:val="32"/>
        </w:rPr>
      </w:pPr>
      <w:bookmarkStart w:id="25" w:name="_Toc201685682"/>
      <w:r w:rsidRPr="00F65B2C">
        <w:rPr>
          <w:rFonts w:ascii="Times New Roman" w:hAnsi="Times New Roman" w:cs="Times New Roman"/>
          <w:b/>
          <w:bCs/>
          <w:sz w:val="32"/>
          <w:szCs w:val="32"/>
        </w:rPr>
        <w:lastRenderedPageBreak/>
        <w:t>Conclusion</w:t>
      </w:r>
      <w:bookmarkEnd w:id="25"/>
    </w:p>
    <w:p w:rsidR="00413730" w:rsidRPr="00F65B2C" w:rsidRDefault="00413730" w:rsidP="00413730">
      <w:pPr>
        <w:rPr>
          <w:rFonts w:ascii="Times New Roman" w:hAnsi="Times New Roman" w:cs="Times New Roman"/>
        </w:rPr>
      </w:pPr>
      <w:r w:rsidRPr="00F65B2C">
        <w:rPr>
          <w:rFonts w:ascii="Times New Roman" w:hAnsi="Times New Roman" w:cs="Times New Roman"/>
        </w:rPr>
        <w:t>The study developed a multi-level health crisis management framework to monitor, assess and pursue cross-border tourism regions, which will fill the loopholes of international health security in the current frameworks. By comparing health governance systems in the Schengen Area of the European Union and ASEAN tourism corridors, the study has found out successful coordination mechanisms as well as long-standing challenges that undermine the effectiveness of the transboundary health crisis management.</w:t>
      </w:r>
    </w:p>
    <w:p w:rsidR="00413730" w:rsidRPr="00F65B2C" w:rsidRDefault="00413730" w:rsidP="00413730">
      <w:pPr>
        <w:rPr>
          <w:rFonts w:ascii="Times New Roman" w:hAnsi="Times New Roman" w:cs="Times New Roman"/>
        </w:rPr>
      </w:pPr>
      <w:r w:rsidRPr="00F65B2C">
        <w:rPr>
          <w:rFonts w:ascii="Times New Roman" w:hAnsi="Times New Roman" w:cs="Times New Roman"/>
        </w:rPr>
        <w:t xml:space="preserve">The suggested framework introduces four levels of operation, which offer an organized method of addressing a cross-border tourism health threat. At the detection and surveillance level, it is stressed that integrated monitoring systems have to take into consideration the predisposing factors peculiar to high-volume tourist flows. The rapid response coordination tier deals with the institutional and process needs of effective cross-border collaboration regarding health emergency. The containment and mitigation level </w:t>
      </w:r>
      <w:proofErr w:type="gramStart"/>
      <w:r w:rsidRPr="00F65B2C">
        <w:rPr>
          <w:rFonts w:ascii="Times New Roman" w:hAnsi="Times New Roman" w:cs="Times New Roman"/>
        </w:rPr>
        <w:t>is</w:t>
      </w:r>
      <w:proofErr w:type="gramEnd"/>
      <w:r w:rsidRPr="00F65B2C">
        <w:rPr>
          <w:rFonts w:ascii="Times New Roman" w:hAnsi="Times New Roman" w:cs="Times New Roman"/>
        </w:rPr>
        <w:t xml:space="preserve"> the place where health protection and sustaining the tourism flows are well-balanced with risk-based strategies. The recovery and rebuilding tier offers advice with regard to coordinated recovery plans, which assist in ensuring that the tourism industry revives, as well as health security precautions are met.</w:t>
      </w:r>
    </w:p>
    <w:p w:rsidR="00413730" w:rsidRPr="00F65B2C" w:rsidRDefault="00413730" w:rsidP="00413730">
      <w:pPr>
        <w:rPr>
          <w:rFonts w:ascii="Times New Roman" w:hAnsi="Times New Roman" w:cs="Times New Roman"/>
        </w:rPr>
      </w:pPr>
      <w:r w:rsidRPr="00F65B2C">
        <w:rPr>
          <w:rFonts w:ascii="Times New Roman" w:hAnsi="Times New Roman" w:cs="Times New Roman"/>
        </w:rPr>
        <w:t>The major conclusions of the study prove that effective cross-border health crisis management should be the result of long-term investment in the work of institutional frameworks, the introduction of technology, the harmonization of law, and risk communication capacity. The analysis shows that more developed pre-existing cooperative ties and institutions allow countries to show a better level of coordination in health crisis situations, which implies the necessity to constantly invest in the partnership development and strengthening.</w:t>
      </w:r>
    </w:p>
    <w:p w:rsidR="00413730" w:rsidRPr="00F65B2C" w:rsidRDefault="00413730" w:rsidP="00413730">
      <w:pPr>
        <w:rPr>
          <w:rFonts w:ascii="Times New Roman" w:hAnsi="Times New Roman" w:cs="Times New Roman"/>
        </w:rPr>
      </w:pPr>
      <w:r w:rsidRPr="00F65B2C">
        <w:rPr>
          <w:rFonts w:ascii="Times New Roman" w:hAnsi="Times New Roman" w:cs="Times New Roman"/>
        </w:rPr>
        <w:t>The comparative discussion of the EU and ASEAN experience indicates that different institutional frameworks of health cooperation have their particular advantages and weaknesses. The supranational style has more advantages due to the possibility of unified answers to the same question but encounters difficulty in conducting these in cases where national concerns do not match regional interests. The intergovernmental system of ASEAN gives more respect to the national sovereignty, though diminishing the prospects of quick and joint actions. The proposed framework aims at the integration of advantages of both traditions with additional resources of flexible coordination mechanisms and an opportunity to embrace various nationalities and capabilities.</w:t>
      </w:r>
    </w:p>
    <w:p w:rsidR="00413730" w:rsidRPr="00F65B2C" w:rsidRDefault="00413730" w:rsidP="00413730">
      <w:pPr>
        <w:rPr>
          <w:rFonts w:ascii="Times New Roman" w:hAnsi="Times New Roman" w:cs="Times New Roman"/>
        </w:rPr>
      </w:pPr>
      <w:r w:rsidRPr="00F65B2C">
        <w:rPr>
          <w:rFonts w:ascii="Times New Roman" w:hAnsi="Times New Roman" w:cs="Times New Roman"/>
        </w:rPr>
        <w:t xml:space="preserve">The integration of technology becomes a key factor in the effective management of health </w:t>
      </w:r>
      <w:proofErr w:type="gramStart"/>
      <w:r w:rsidRPr="00F65B2C">
        <w:rPr>
          <w:rFonts w:ascii="Times New Roman" w:hAnsi="Times New Roman" w:cs="Times New Roman"/>
        </w:rPr>
        <w:t>crisis,</w:t>
      </w:r>
      <w:proofErr w:type="gramEnd"/>
      <w:r w:rsidRPr="00F65B2C">
        <w:rPr>
          <w:rFonts w:ascii="Times New Roman" w:hAnsi="Times New Roman" w:cs="Times New Roman"/>
        </w:rPr>
        <w:t xml:space="preserve"> however, the technological gap poses a big weakness in the cross-border coordination. The framework acknowledges that capacity building assistance should be considered to make sure that all nations should be allowed to operate comfortably in the digital health governance system, whereas it is important to remember that technological initiative should be accompanied by effective institutional connections and well-defined procedural guidelines.</w:t>
      </w:r>
    </w:p>
    <w:p w:rsidR="00413730" w:rsidRPr="00F65B2C" w:rsidRDefault="00413730" w:rsidP="00413730">
      <w:pPr>
        <w:rPr>
          <w:rFonts w:ascii="Times New Roman" w:hAnsi="Times New Roman" w:cs="Times New Roman"/>
        </w:rPr>
      </w:pPr>
      <w:r w:rsidRPr="00F65B2C">
        <w:rPr>
          <w:rFonts w:ascii="Times New Roman" w:hAnsi="Times New Roman" w:cs="Times New Roman"/>
        </w:rPr>
        <w:lastRenderedPageBreak/>
        <w:t>Risk communication is one more important part of the framework, and it is necessary to have organized approaches accepting cultural and linguistic diversity and being consistent. The study shows that cross-border inconsistency in messaging may negatively affect the trust and adherence to health measures, whereas the aligned communication approach will maximize health programs in regard to efficiency.</w:t>
      </w:r>
    </w:p>
    <w:p w:rsidR="00413730" w:rsidRPr="00F65B2C" w:rsidRDefault="00413730" w:rsidP="00413730">
      <w:pPr>
        <w:rPr>
          <w:rFonts w:ascii="Times New Roman" w:hAnsi="Times New Roman" w:cs="Times New Roman"/>
        </w:rPr>
      </w:pPr>
      <w:r w:rsidRPr="00F65B2C">
        <w:rPr>
          <w:rFonts w:ascii="Times New Roman" w:hAnsi="Times New Roman" w:cs="Times New Roman"/>
        </w:rPr>
        <w:t xml:space="preserve">The applied results of this study do not only have limited role in academic research but can easily offer pragmatic largescale implications to policy-makers, health authorities, and tourism policy directors. The framework provides a route map in directions of more resilient and responsive health governance systems capable of safeguarding both travelers and those who host them at the destination without negatively impacting on the </w:t>
      </w:r>
      <w:proofErr w:type="spellStart"/>
      <w:r w:rsidRPr="00F65B2C">
        <w:rPr>
          <w:rFonts w:ascii="Times New Roman" w:hAnsi="Times New Roman" w:cs="Times New Roman"/>
        </w:rPr>
        <w:t>economical</w:t>
      </w:r>
      <w:proofErr w:type="spellEnd"/>
      <w:r w:rsidRPr="00F65B2C">
        <w:rPr>
          <w:rFonts w:ascii="Times New Roman" w:hAnsi="Times New Roman" w:cs="Times New Roman"/>
        </w:rPr>
        <w:t xml:space="preserve"> and social advantages of international tourism.</w:t>
      </w:r>
    </w:p>
    <w:p w:rsidR="00413730" w:rsidRPr="00F65B2C" w:rsidRDefault="00413730" w:rsidP="00413730">
      <w:pPr>
        <w:rPr>
          <w:rFonts w:ascii="Times New Roman" w:hAnsi="Times New Roman" w:cs="Times New Roman"/>
        </w:rPr>
      </w:pPr>
      <w:r w:rsidRPr="00F65B2C">
        <w:rPr>
          <w:rFonts w:ascii="Times New Roman" w:hAnsi="Times New Roman" w:cs="Times New Roman"/>
        </w:rPr>
        <w:t>Nonetheless, some serious obstacles that should be overcome in order to use the framework successfully are also discovered during the research. Harmonization of laws and regulations is a complex topic where close balance between ensuring co-ordination and regard to local sovereignty is required. Economic factors cause conflicts between health safety and tourist restoration that should be considered and managed continuously. The difference in capacity in various countries means that capacity building and technical assistance programs need to be invested in on a continuous basis.</w:t>
      </w:r>
    </w:p>
    <w:p w:rsidR="00413730" w:rsidRPr="00F65B2C" w:rsidRDefault="00413730" w:rsidP="00413730">
      <w:pPr>
        <w:rPr>
          <w:rFonts w:ascii="Times New Roman" w:hAnsi="Times New Roman" w:cs="Times New Roman"/>
        </w:rPr>
      </w:pPr>
      <w:r w:rsidRPr="00F65B2C">
        <w:rPr>
          <w:rFonts w:ascii="Times New Roman" w:hAnsi="Times New Roman" w:cs="Times New Roman"/>
        </w:rPr>
        <w:t>In future studies, one should consider the extension of the suggested framework to the other regional settings and evaluate the long-term performance of various coordination tools. Also, the study of ways of introducing the latest technology and enlarging capabilities of the more complex risk assessment tools would allow improving the framework and its flexibility.</w:t>
      </w:r>
    </w:p>
    <w:p w:rsidR="00413730" w:rsidRPr="00F65B2C" w:rsidRDefault="00413730" w:rsidP="00413730">
      <w:pPr>
        <w:rPr>
          <w:rFonts w:ascii="Times New Roman" w:hAnsi="Times New Roman" w:cs="Times New Roman"/>
        </w:rPr>
      </w:pPr>
      <w:r w:rsidRPr="00F65B2C">
        <w:rPr>
          <w:rFonts w:ascii="Times New Roman" w:hAnsi="Times New Roman" w:cs="Times New Roman"/>
        </w:rPr>
        <w:t>The COVID-19 pandemic has actively illustrated not only the fragility of cross-border systems of tourism towards health risks, but also how imperative it is to have a proper mechanism of coordination. Lately, the demand of solid health crisis management frames is highly acute as international tourism continues to recover and transform. The framework suggested within the framework of the research in question can become the basis of taking up these challenges, however, to successfully implement these plans, further investment into the development of the institutions, capacity building and even cooperation at the international level will be required to make this framework a success.</w:t>
      </w:r>
    </w:p>
    <w:p w:rsidR="00413730" w:rsidRPr="00F65B2C" w:rsidRDefault="00413730" w:rsidP="00413730">
      <w:pPr>
        <w:rPr>
          <w:rFonts w:ascii="Times New Roman" w:hAnsi="Times New Roman" w:cs="Times New Roman"/>
        </w:rPr>
      </w:pPr>
      <w:r w:rsidRPr="00F65B2C">
        <w:rPr>
          <w:rFonts w:ascii="Times New Roman" w:hAnsi="Times New Roman" w:cs="Times New Roman"/>
        </w:rPr>
        <w:t>This research goes further than addressing immediate issues of managing health crisis and has the potential to join the debates on how the global community works to achieve international collaboration, governance, and resilience. The values and tools established within the framework are used not only in tourism but also in other spheres of cross-border collaboration in which a unified reaction to transnational issues is needed.</w:t>
      </w:r>
    </w:p>
    <w:p w:rsidR="00A33349" w:rsidRPr="00F65B2C" w:rsidRDefault="00413730" w:rsidP="00413730">
      <w:pPr>
        <w:rPr>
          <w:rFonts w:ascii="Times New Roman" w:hAnsi="Times New Roman" w:cs="Times New Roman"/>
        </w:rPr>
      </w:pPr>
      <w:r w:rsidRPr="00F65B2C">
        <w:rPr>
          <w:rFonts w:ascii="Times New Roman" w:hAnsi="Times New Roman" w:cs="Times New Roman"/>
        </w:rPr>
        <w:t xml:space="preserve">To sum up, the multi-stage system of managing health crisis situations outlined in this study is a holistic solution to specific issues of health threats in cross-national touristic areas. Though there </w:t>
      </w:r>
      <w:r w:rsidRPr="00F65B2C">
        <w:rPr>
          <w:rFonts w:ascii="Times New Roman" w:hAnsi="Times New Roman" w:cs="Times New Roman"/>
        </w:rPr>
        <w:lastRenderedPageBreak/>
        <w:t>is still considerable work ahead of it in becoming a reality, the framework offers realistic guidelines on how to improve international health security without the damaging of international travel and tourism further and hindering its growth and development. What this innovative strategy will need, in the end, is a political desire and long-term engagement of countries to invest in the institutional arrangements, technological capacities, collaboration patterns, that will support successful cross-border health governance.</w:t>
      </w:r>
    </w:p>
    <w:p w:rsidR="00A33349" w:rsidRDefault="00A33349"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Default="00F65B2C" w:rsidP="00A33349">
      <w:pPr>
        <w:rPr>
          <w:rFonts w:ascii="Times New Roman" w:hAnsi="Times New Roman" w:cs="Times New Roman"/>
        </w:rPr>
      </w:pPr>
    </w:p>
    <w:p w:rsidR="00F65B2C" w:rsidRPr="00F65B2C" w:rsidRDefault="00F65B2C" w:rsidP="00A33349">
      <w:pPr>
        <w:rPr>
          <w:rFonts w:ascii="Times New Roman" w:hAnsi="Times New Roman" w:cs="Times New Roman"/>
        </w:rPr>
      </w:pPr>
    </w:p>
    <w:p w:rsidR="00A33349" w:rsidRPr="00F65B2C" w:rsidRDefault="00A33349" w:rsidP="00413730">
      <w:pPr>
        <w:pStyle w:val="Heading1"/>
        <w:rPr>
          <w:rFonts w:ascii="Times New Roman" w:hAnsi="Times New Roman" w:cs="Times New Roman"/>
          <w:b/>
          <w:bCs/>
          <w:sz w:val="32"/>
          <w:szCs w:val="32"/>
        </w:rPr>
      </w:pPr>
      <w:bookmarkStart w:id="26" w:name="_Toc201685683"/>
      <w:r w:rsidRPr="00F65B2C">
        <w:rPr>
          <w:rFonts w:ascii="Times New Roman" w:hAnsi="Times New Roman" w:cs="Times New Roman"/>
          <w:b/>
          <w:bCs/>
          <w:sz w:val="32"/>
          <w:szCs w:val="32"/>
        </w:rPr>
        <w:lastRenderedPageBreak/>
        <w:t>References</w:t>
      </w:r>
      <w:bookmarkEnd w:id="26"/>
    </w:p>
    <w:p w:rsidR="00A33349" w:rsidRPr="00F65B2C" w:rsidRDefault="00A33349" w:rsidP="00A33349">
      <w:pPr>
        <w:rPr>
          <w:rFonts w:ascii="Times New Roman" w:hAnsi="Times New Roman" w:cs="Times New Roman"/>
        </w:rPr>
      </w:pPr>
      <w:proofErr w:type="spellStart"/>
      <w:r w:rsidRPr="00F65B2C">
        <w:rPr>
          <w:rFonts w:ascii="Times New Roman" w:hAnsi="Times New Roman" w:cs="Times New Roman"/>
        </w:rPr>
        <w:t>Coulombier</w:t>
      </w:r>
      <w:proofErr w:type="spellEnd"/>
      <w:r w:rsidRPr="00F65B2C">
        <w:rPr>
          <w:rFonts w:ascii="Times New Roman" w:hAnsi="Times New Roman" w:cs="Times New Roman"/>
        </w:rPr>
        <w:t xml:space="preserve">, D., Larrauri, A., Ikonen, N., </w:t>
      </w:r>
      <w:proofErr w:type="spellStart"/>
      <w:r w:rsidRPr="00F65B2C">
        <w:rPr>
          <w:rFonts w:ascii="Times New Roman" w:hAnsi="Times New Roman" w:cs="Times New Roman"/>
        </w:rPr>
        <w:t>Josseran</w:t>
      </w:r>
      <w:proofErr w:type="spellEnd"/>
      <w:r w:rsidRPr="00F65B2C">
        <w:rPr>
          <w:rFonts w:ascii="Times New Roman" w:hAnsi="Times New Roman" w:cs="Times New Roman"/>
        </w:rPr>
        <w:t>, L., Kuusi, M., Asikainen, T., ... &amp; Pebody, R. (2017). Utility of European influenza surveillance systems for vaccine strain selection and public health decision-making. </w:t>
      </w:r>
      <w:r w:rsidRPr="00F65B2C">
        <w:rPr>
          <w:rFonts w:ascii="Times New Roman" w:hAnsi="Times New Roman" w:cs="Times New Roman"/>
          <w:i/>
          <w:iCs/>
        </w:rPr>
        <w:t>Eurosurveillance, 22</w:t>
      </w:r>
      <w:r w:rsidRPr="00F65B2C">
        <w:rPr>
          <w:rFonts w:ascii="Times New Roman" w:hAnsi="Times New Roman" w:cs="Times New Roman"/>
        </w:rPr>
        <w:t>(35), 17-00179.</w:t>
      </w:r>
    </w:p>
    <w:p w:rsidR="00A33349" w:rsidRPr="00F65B2C" w:rsidRDefault="00A33349" w:rsidP="00A33349">
      <w:pPr>
        <w:rPr>
          <w:rFonts w:ascii="Times New Roman" w:hAnsi="Times New Roman" w:cs="Times New Roman"/>
        </w:rPr>
      </w:pPr>
      <w:r w:rsidRPr="00F65B2C">
        <w:rPr>
          <w:rFonts w:ascii="Times New Roman" w:hAnsi="Times New Roman" w:cs="Times New Roman"/>
        </w:rPr>
        <w:t>Covello, V. T. (2003). Best practices in public health risk and crisis communication. </w:t>
      </w:r>
      <w:r w:rsidRPr="00F65B2C">
        <w:rPr>
          <w:rFonts w:ascii="Times New Roman" w:hAnsi="Times New Roman" w:cs="Times New Roman"/>
          <w:i/>
          <w:iCs/>
        </w:rPr>
        <w:t>Journal of Health Communication, 8</w:t>
      </w:r>
      <w:r w:rsidRPr="00F65B2C">
        <w:rPr>
          <w:rFonts w:ascii="Times New Roman" w:hAnsi="Times New Roman" w:cs="Times New Roman"/>
        </w:rPr>
        <w:t>(sup1), 5-8.</w:t>
      </w:r>
    </w:p>
    <w:p w:rsidR="00A33349" w:rsidRPr="00F65B2C" w:rsidRDefault="00A33349" w:rsidP="00A33349">
      <w:pPr>
        <w:rPr>
          <w:rFonts w:ascii="Times New Roman" w:hAnsi="Times New Roman" w:cs="Times New Roman"/>
        </w:rPr>
      </w:pPr>
      <w:r w:rsidRPr="00F65B2C">
        <w:rPr>
          <w:rFonts w:ascii="Times New Roman" w:hAnsi="Times New Roman" w:cs="Times New Roman"/>
        </w:rPr>
        <w:t>European Centre for Disease Prevention and Control. (2019). </w:t>
      </w:r>
      <w:r w:rsidRPr="00F65B2C">
        <w:rPr>
          <w:rFonts w:ascii="Times New Roman" w:hAnsi="Times New Roman" w:cs="Times New Roman"/>
          <w:i/>
          <w:iCs/>
        </w:rPr>
        <w:t>Annual report of the Director 2018</w:t>
      </w:r>
      <w:r w:rsidRPr="00F65B2C">
        <w:rPr>
          <w:rFonts w:ascii="Times New Roman" w:hAnsi="Times New Roman" w:cs="Times New Roman"/>
        </w:rPr>
        <w:t>. ECDC.</w:t>
      </w:r>
    </w:p>
    <w:p w:rsidR="00A33349" w:rsidRPr="00F65B2C" w:rsidRDefault="00A33349" w:rsidP="00A33349">
      <w:pPr>
        <w:rPr>
          <w:rFonts w:ascii="Times New Roman" w:hAnsi="Times New Roman" w:cs="Times New Roman"/>
        </w:rPr>
      </w:pPr>
      <w:r w:rsidRPr="00F65B2C">
        <w:rPr>
          <w:rFonts w:ascii="Times New Roman" w:hAnsi="Times New Roman" w:cs="Times New Roman"/>
        </w:rPr>
        <w:t>Faulkner, B. (2001). Towards a framework for tourism disaster management. </w:t>
      </w:r>
      <w:r w:rsidRPr="00F65B2C">
        <w:rPr>
          <w:rFonts w:ascii="Times New Roman" w:hAnsi="Times New Roman" w:cs="Times New Roman"/>
          <w:i/>
          <w:iCs/>
        </w:rPr>
        <w:t>Tourism Management, 22</w:t>
      </w:r>
      <w:r w:rsidRPr="00F65B2C">
        <w:rPr>
          <w:rFonts w:ascii="Times New Roman" w:hAnsi="Times New Roman" w:cs="Times New Roman"/>
        </w:rPr>
        <w:t>(2), 135-147.</w:t>
      </w:r>
    </w:p>
    <w:p w:rsidR="00A33349" w:rsidRPr="00F65B2C" w:rsidRDefault="00A33349" w:rsidP="00A33349">
      <w:pPr>
        <w:rPr>
          <w:rFonts w:ascii="Times New Roman" w:hAnsi="Times New Roman" w:cs="Times New Roman"/>
        </w:rPr>
      </w:pPr>
      <w:r w:rsidRPr="00F65B2C">
        <w:rPr>
          <w:rFonts w:ascii="Times New Roman" w:hAnsi="Times New Roman" w:cs="Times New Roman"/>
        </w:rPr>
        <w:t>Glik, D. C. (2007). Risk communication for public health emergencies. </w:t>
      </w:r>
      <w:r w:rsidRPr="00F65B2C">
        <w:rPr>
          <w:rFonts w:ascii="Times New Roman" w:hAnsi="Times New Roman" w:cs="Times New Roman"/>
          <w:i/>
          <w:iCs/>
        </w:rPr>
        <w:t>Annual Review of Public Health, 28</w:t>
      </w:r>
      <w:r w:rsidRPr="00F65B2C">
        <w:rPr>
          <w:rFonts w:ascii="Times New Roman" w:hAnsi="Times New Roman" w:cs="Times New Roman"/>
        </w:rPr>
        <w:t>, 33-54.</w:t>
      </w:r>
    </w:p>
    <w:p w:rsidR="00A33349" w:rsidRPr="00F65B2C" w:rsidRDefault="00A33349" w:rsidP="00A33349">
      <w:pPr>
        <w:rPr>
          <w:rFonts w:ascii="Times New Roman" w:hAnsi="Times New Roman" w:cs="Times New Roman"/>
        </w:rPr>
      </w:pPr>
      <w:r w:rsidRPr="00F65B2C">
        <w:rPr>
          <w:rFonts w:ascii="Times New Roman" w:hAnsi="Times New Roman" w:cs="Times New Roman"/>
        </w:rPr>
        <w:t>Gostin, L. O. (2014). </w:t>
      </w:r>
      <w:r w:rsidRPr="00F65B2C">
        <w:rPr>
          <w:rFonts w:ascii="Times New Roman" w:hAnsi="Times New Roman" w:cs="Times New Roman"/>
          <w:i/>
          <w:iCs/>
        </w:rPr>
        <w:t>Global health law</w:t>
      </w:r>
      <w:r w:rsidRPr="00F65B2C">
        <w:rPr>
          <w:rFonts w:ascii="Times New Roman" w:hAnsi="Times New Roman" w:cs="Times New Roman"/>
        </w:rPr>
        <w:t>. Harvard University Press.</w:t>
      </w:r>
    </w:p>
    <w:p w:rsidR="00A33349" w:rsidRPr="00F65B2C" w:rsidRDefault="00A33349" w:rsidP="00A33349">
      <w:pPr>
        <w:rPr>
          <w:rFonts w:ascii="Times New Roman" w:hAnsi="Times New Roman" w:cs="Times New Roman"/>
        </w:rPr>
      </w:pPr>
      <w:r w:rsidRPr="00F65B2C">
        <w:rPr>
          <w:rFonts w:ascii="Times New Roman" w:hAnsi="Times New Roman" w:cs="Times New Roman"/>
        </w:rPr>
        <w:t>Gostin, L. O., &amp; Katz, R. (2016). The International Health Regulations: The governing framework for global health security. </w:t>
      </w:r>
      <w:r w:rsidRPr="00F65B2C">
        <w:rPr>
          <w:rFonts w:ascii="Times New Roman" w:hAnsi="Times New Roman" w:cs="Times New Roman"/>
          <w:i/>
          <w:iCs/>
        </w:rPr>
        <w:t>The Milbank Quarterly, 94</w:t>
      </w:r>
      <w:r w:rsidRPr="00F65B2C">
        <w:rPr>
          <w:rFonts w:ascii="Times New Roman" w:hAnsi="Times New Roman" w:cs="Times New Roman"/>
        </w:rPr>
        <w:t>(2), 264-313.</w:t>
      </w:r>
    </w:p>
    <w:p w:rsidR="00A33349" w:rsidRPr="00F65B2C" w:rsidRDefault="00A33349" w:rsidP="00A33349">
      <w:pPr>
        <w:rPr>
          <w:rFonts w:ascii="Times New Roman" w:hAnsi="Times New Roman" w:cs="Times New Roman"/>
        </w:rPr>
      </w:pPr>
      <w:r w:rsidRPr="00F65B2C">
        <w:rPr>
          <w:rFonts w:ascii="Times New Roman" w:hAnsi="Times New Roman" w:cs="Times New Roman"/>
        </w:rPr>
        <w:t xml:space="preserve">Hall, C. M., Scott, D., &amp; </w:t>
      </w:r>
      <w:proofErr w:type="spellStart"/>
      <w:r w:rsidRPr="00F65B2C">
        <w:rPr>
          <w:rFonts w:ascii="Times New Roman" w:hAnsi="Times New Roman" w:cs="Times New Roman"/>
        </w:rPr>
        <w:t>Gössling</w:t>
      </w:r>
      <w:proofErr w:type="spellEnd"/>
      <w:r w:rsidRPr="00F65B2C">
        <w:rPr>
          <w:rFonts w:ascii="Times New Roman" w:hAnsi="Times New Roman" w:cs="Times New Roman"/>
        </w:rPr>
        <w:t>, S. (2020). Pandemics, transformations and tourism: Be careful what you wish for. </w:t>
      </w:r>
      <w:r w:rsidRPr="00F65B2C">
        <w:rPr>
          <w:rFonts w:ascii="Times New Roman" w:hAnsi="Times New Roman" w:cs="Times New Roman"/>
          <w:i/>
          <w:iCs/>
        </w:rPr>
        <w:t>Tourism Geographies, 22</w:t>
      </w:r>
      <w:r w:rsidRPr="00F65B2C">
        <w:rPr>
          <w:rFonts w:ascii="Times New Roman" w:hAnsi="Times New Roman" w:cs="Times New Roman"/>
        </w:rPr>
        <w:t>(3), 577-598.</w:t>
      </w:r>
    </w:p>
    <w:p w:rsidR="00A33349" w:rsidRPr="00F65B2C" w:rsidRDefault="00A33349" w:rsidP="00A33349">
      <w:pPr>
        <w:rPr>
          <w:rFonts w:ascii="Times New Roman" w:hAnsi="Times New Roman" w:cs="Times New Roman"/>
        </w:rPr>
      </w:pPr>
      <w:r w:rsidRPr="00F65B2C">
        <w:rPr>
          <w:rFonts w:ascii="Times New Roman" w:hAnsi="Times New Roman" w:cs="Times New Roman"/>
        </w:rPr>
        <w:t>Henderson, J. C. (2007). </w:t>
      </w:r>
      <w:r w:rsidRPr="00F65B2C">
        <w:rPr>
          <w:rFonts w:ascii="Times New Roman" w:hAnsi="Times New Roman" w:cs="Times New Roman"/>
          <w:i/>
          <w:iCs/>
        </w:rPr>
        <w:t>Tourism crises: Causes, consequences and management</w:t>
      </w:r>
      <w:r w:rsidRPr="00F65B2C">
        <w:rPr>
          <w:rFonts w:ascii="Times New Roman" w:hAnsi="Times New Roman" w:cs="Times New Roman"/>
        </w:rPr>
        <w:t>. Routledge.</w:t>
      </w:r>
    </w:p>
    <w:p w:rsidR="00A33349" w:rsidRPr="00F65B2C" w:rsidRDefault="00A33349" w:rsidP="00A33349">
      <w:pPr>
        <w:rPr>
          <w:rFonts w:ascii="Times New Roman" w:hAnsi="Times New Roman" w:cs="Times New Roman"/>
        </w:rPr>
      </w:pPr>
      <w:r w:rsidRPr="00F65B2C">
        <w:rPr>
          <w:rFonts w:ascii="Times New Roman" w:hAnsi="Times New Roman" w:cs="Times New Roman"/>
        </w:rPr>
        <w:t>Katz, R., &amp; Fischer, J. (2020). The revised International Health Regulations: A framework for global health security. </w:t>
      </w:r>
      <w:r w:rsidRPr="00F65B2C">
        <w:rPr>
          <w:rFonts w:ascii="Times New Roman" w:hAnsi="Times New Roman" w:cs="Times New Roman"/>
          <w:i/>
          <w:iCs/>
        </w:rPr>
        <w:t>Global Health Governance, 3</w:t>
      </w:r>
      <w:r w:rsidRPr="00F65B2C">
        <w:rPr>
          <w:rFonts w:ascii="Times New Roman" w:hAnsi="Times New Roman" w:cs="Times New Roman"/>
        </w:rPr>
        <w:t>(2), 1-18.</w:t>
      </w:r>
    </w:p>
    <w:p w:rsidR="00A33349" w:rsidRPr="00F65B2C" w:rsidRDefault="00A33349" w:rsidP="00A33349">
      <w:pPr>
        <w:rPr>
          <w:rFonts w:ascii="Times New Roman" w:hAnsi="Times New Roman" w:cs="Times New Roman"/>
        </w:rPr>
      </w:pPr>
      <w:r w:rsidRPr="00F65B2C">
        <w:rPr>
          <w:rFonts w:ascii="Times New Roman" w:hAnsi="Times New Roman" w:cs="Times New Roman"/>
        </w:rPr>
        <w:t>Paek, H. J., &amp; Hove, T. (2020). Risk perceptions and risk communication in a pandemic crisis: A systematic review. </w:t>
      </w:r>
      <w:r w:rsidRPr="00F65B2C">
        <w:rPr>
          <w:rFonts w:ascii="Times New Roman" w:hAnsi="Times New Roman" w:cs="Times New Roman"/>
          <w:i/>
          <w:iCs/>
        </w:rPr>
        <w:t>Journal of Health Communication, 25</w:t>
      </w:r>
      <w:r w:rsidRPr="00F65B2C">
        <w:rPr>
          <w:rFonts w:ascii="Times New Roman" w:hAnsi="Times New Roman" w:cs="Times New Roman"/>
        </w:rPr>
        <w:t>(10), 739-751.</w:t>
      </w:r>
    </w:p>
    <w:p w:rsidR="00A33349" w:rsidRPr="00F65B2C" w:rsidRDefault="00A33349" w:rsidP="00A33349">
      <w:pPr>
        <w:rPr>
          <w:rFonts w:ascii="Times New Roman" w:hAnsi="Times New Roman" w:cs="Times New Roman"/>
        </w:rPr>
      </w:pPr>
      <w:r w:rsidRPr="00F65B2C">
        <w:rPr>
          <w:rFonts w:ascii="Times New Roman" w:hAnsi="Times New Roman" w:cs="Times New Roman"/>
        </w:rPr>
        <w:t>Reynolds, B., &amp; Seeger, M. W. (2005). Crisis and emergency risk communication as an integrative model. </w:t>
      </w:r>
      <w:r w:rsidRPr="00F65B2C">
        <w:rPr>
          <w:rFonts w:ascii="Times New Roman" w:hAnsi="Times New Roman" w:cs="Times New Roman"/>
          <w:i/>
          <w:iCs/>
        </w:rPr>
        <w:t>Journal of Health Communication, 10</w:t>
      </w:r>
      <w:r w:rsidRPr="00F65B2C">
        <w:rPr>
          <w:rFonts w:ascii="Times New Roman" w:hAnsi="Times New Roman" w:cs="Times New Roman"/>
        </w:rPr>
        <w:t>(1), 43-55.</w:t>
      </w:r>
    </w:p>
    <w:p w:rsidR="00A33349" w:rsidRPr="00F65B2C" w:rsidRDefault="00A33349" w:rsidP="00A33349">
      <w:pPr>
        <w:rPr>
          <w:rFonts w:ascii="Times New Roman" w:hAnsi="Times New Roman" w:cs="Times New Roman"/>
        </w:rPr>
      </w:pPr>
      <w:r w:rsidRPr="00F65B2C">
        <w:rPr>
          <w:rFonts w:ascii="Times New Roman" w:hAnsi="Times New Roman" w:cs="Times New Roman"/>
        </w:rPr>
        <w:t>Ritchie, B. W., &amp; Jiang, Y. (2019). A review of research on tourism risk, crisis and disaster management: Launching the annals of tourism research curated collection on tourism risk crisis and disaster management. </w:t>
      </w:r>
      <w:r w:rsidRPr="00F65B2C">
        <w:rPr>
          <w:rFonts w:ascii="Times New Roman" w:hAnsi="Times New Roman" w:cs="Times New Roman"/>
          <w:i/>
          <w:iCs/>
        </w:rPr>
        <w:t>Annals of Tourism Research, 79</w:t>
      </w:r>
      <w:r w:rsidRPr="00F65B2C">
        <w:rPr>
          <w:rFonts w:ascii="Times New Roman" w:hAnsi="Times New Roman" w:cs="Times New Roman"/>
        </w:rPr>
        <w:t>, 102812.</w:t>
      </w:r>
    </w:p>
    <w:p w:rsidR="00A33349" w:rsidRPr="00F65B2C" w:rsidRDefault="00A33349" w:rsidP="00A33349">
      <w:pPr>
        <w:rPr>
          <w:rFonts w:ascii="Times New Roman" w:hAnsi="Times New Roman" w:cs="Times New Roman"/>
        </w:rPr>
      </w:pPr>
      <w:proofErr w:type="spellStart"/>
      <w:r w:rsidRPr="00F65B2C">
        <w:rPr>
          <w:rFonts w:ascii="Times New Roman" w:hAnsi="Times New Roman" w:cs="Times New Roman"/>
        </w:rPr>
        <w:t>Salathé</w:t>
      </w:r>
      <w:proofErr w:type="spellEnd"/>
      <w:r w:rsidRPr="00F65B2C">
        <w:rPr>
          <w:rFonts w:ascii="Times New Roman" w:hAnsi="Times New Roman" w:cs="Times New Roman"/>
        </w:rPr>
        <w:t xml:space="preserve">, M., Althaus, C. L., Neher, R., </w:t>
      </w:r>
      <w:proofErr w:type="spellStart"/>
      <w:r w:rsidRPr="00F65B2C">
        <w:rPr>
          <w:rFonts w:ascii="Times New Roman" w:hAnsi="Times New Roman" w:cs="Times New Roman"/>
        </w:rPr>
        <w:t>Stringhini</w:t>
      </w:r>
      <w:proofErr w:type="spellEnd"/>
      <w:r w:rsidRPr="00F65B2C">
        <w:rPr>
          <w:rFonts w:ascii="Times New Roman" w:hAnsi="Times New Roman" w:cs="Times New Roman"/>
        </w:rPr>
        <w:t xml:space="preserve">, S., </w:t>
      </w:r>
      <w:proofErr w:type="spellStart"/>
      <w:r w:rsidRPr="00F65B2C">
        <w:rPr>
          <w:rFonts w:ascii="Times New Roman" w:hAnsi="Times New Roman" w:cs="Times New Roman"/>
        </w:rPr>
        <w:t>Hodcroft</w:t>
      </w:r>
      <w:proofErr w:type="spellEnd"/>
      <w:r w:rsidRPr="00F65B2C">
        <w:rPr>
          <w:rFonts w:ascii="Times New Roman" w:hAnsi="Times New Roman" w:cs="Times New Roman"/>
        </w:rPr>
        <w:t>, E., Fellay, J., ... &amp; Low, N. (2018). COVID-19 epidemic in Switzerland: On the importance of testing, contact tracing and isolation. </w:t>
      </w:r>
      <w:r w:rsidRPr="00F65B2C">
        <w:rPr>
          <w:rFonts w:ascii="Times New Roman" w:hAnsi="Times New Roman" w:cs="Times New Roman"/>
          <w:i/>
          <w:iCs/>
        </w:rPr>
        <w:t>Swiss Medical Weekly, 150</w:t>
      </w:r>
      <w:r w:rsidRPr="00F65B2C">
        <w:rPr>
          <w:rFonts w:ascii="Times New Roman" w:hAnsi="Times New Roman" w:cs="Times New Roman"/>
        </w:rPr>
        <w:t>(1112), w20225.</w:t>
      </w:r>
    </w:p>
    <w:p w:rsidR="00A33349" w:rsidRPr="00F65B2C" w:rsidRDefault="00A33349" w:rsidP="00A33349">
      <w:pPr>
        <w:rPr>
          <w:rFonts w:ascii="Times New Roman" w:hAnsi="Times New Roman" w:cs="Times New Roman"/>
        </w:rPr>
      </w:pPr>
      <w:r w:rsidRPr="00F65B2C">
        <w:rPr>
          <w:rFonts w:ascii="Times New Roman" w:hAnsi="Times New Roman" w:cs="Times New Roman"/>
        </w:rPr>
        <w:t>Santana, G. (2004). Crisis management and tourism: Beyond the rhetoric. </w:t>
      </w:r>
      <w:r w:rsidRPr="00F65B2C">
        <w:rPr>
          <w:rFonts w:ascii="Times New Roman" w:hAnsi="Times New Roman" w:cs="Times New Roman"/>
          <w:i/>
          <w:iCs/>
        </w:rPr>
        <w:t>Journal of Travel &amp; Tourism Marketing, 15</w:t>
      </w:r>
      <w:r w:rsidRPr="00F65B2C">
        <w:rPr>
          <w:rFonts w:ascii="Times New Roman" w:hAnsi="Times New Roman" w:cs="Times New Roman"/>
        </w:rPr>
        <w:t>(4), 299-321.</w:t>
      </w:r>
    </w:p>
    <w:p w:rsidR="00A33349" w:rsidRPr="00F65B2C" w:rsidRDefault="00A33349" w:rsidP="00A33349">
      <w:pPr>
        <w:rPr>
          <w:rFonts w:ascii="Times New Roman" w:hAnsi="Times New Roman" w:cs="Times New Roman"/>
        </w:rPr>
      </w:pPr>
      <w:r w:rsidRPr="00F65B2C">
        <w:rPr>
          <w:rFonts w:ascii="Times New Roman" w:hAnsi="Times New Roman" w:cs="Times New Roman"/>
        </w:rPr>
        <w:lastRenderedPageBreak/>
        <w:t>Sukma, R. (2021). ASEAN and the COVID-19 pandemic: Strengthening regional cooperation in health governance. </w:t>
      </w:r>
      <w:r w:rsidRPr="00F65B2C">
        <w:rPr>
          <w:rFonts w:ascii="Times New Roman" w:hAnsi="Times New Roman" w:cs="Times New Roman"/>
          <w:i/>
          <w:iCs/>
        </w:rPr>
        <w:t>Contemporary Southeast Asia, 43</w:t>
      </w:r>
      <w:r w:rsidRPr="00F65B2C">
        <w:rPr>
          <w:rFonts w:ascii="Times New Roman" w:hAnsi="Times New Roman" w:cs="Times New Roman"/>
        </w:rPr>
        <w:t>(1), 40-46.</w:t>
      </w:r>
    </w:p>
    <w:p w:rsidR="00A33349" w:rsidRPr="00F65B2C" w:rsidRDefault="00A33349" w:rsidP="00A33349">
      <w:pPr>
        <w:rPr>
          <w:rFonts w:ascii="Times New Roman" w:hAnsi="Times New Roman" w:cs="Times New Roman"/>
        </w:rPr>
      </w:pPr>
      <w:r w:rsidRPr="00F65B2C">
        <w:rPr>
          <w:rFonts w:ascii="Times New Roman" w:hAnsi="Times New Roman" w:cs="Times New Roman"/>
        </w:rPr>
        <w:t>Taylor, A. L. (2018). Global governance, international health law and WHO: Looking towards the future. </w:t>
      </w:r>
      <w:r w:rsidRPr="00F65B2C">
        <w:rPr>
          <w:rFonts w:ascii="Times New Roman" w:hAnsi="Times New Roman" w:cs="Times New Roman"/>
          <w:i/>
          <w:iCs/>
        </w:rPr>
        <w:t>Bulletin of the World Health Organization, 96</w:t>
      </w:r>
      <w:r w:rsidRPr="00F65B2C">
        <w:rPr>
          <w:rFonts w:ascii="Times New Roman" w:hAnsi="Times New Roman" w:cs="Times New Roman"/>
        </w:rPr>
        <w:t>(5), 321.</w:t>
      </w:r>
    </w:p>
    <w:p w:rsidR="00A33349" w:rsidRPr="00F65B2C" w:rsidRDefault="00A33349" w:rsidP="00A33349">
      <w:pPr>
        <w:rPr>
          <w:rFonts w:ascii="Times New Roman" w:hAnsi="Times New Roman" w:cs="Times New Roman"/>
        </w:rPr>
      </w:pPr>
      <w:r w:rsidRPr="00F65B2C">
        <w:rPr>
          <w:rFonts w:ascii="Times New Roman" w:hAnsi="Times New Roman" w:cs="Times New Roman"/>
        </w:rPr>
        <w:t>World Health Organization. (2005). </w:t>
      </w:r>
      <w:r w:rsidRPr="00F65B2C">
        <w:rPr>
          <w:rFonts w:ascii="Times New Roman" w:hAnsi="Times New Roman" w:cs="Times New Roman"/>
          <w:i/>
          <w:iCs/>
        </w:rPr>
        <w:t>International Health Regulations (2005)</w:t>
      </w:r>
      <w:r w:rsidRPr="00F65B2C">
        <w:rPr>
          <w:rFonts w:ascii="Times New Roman" w:hAnsi="Times New Roman" w:cs="Times New Roman"/>
        </w:rPr>
        <w:t>. WHO Press.</w:t>
      </w:r>
    </w:p>
    <w:p w:rsidR="00413730" w:rsidRPr="00F65B2C" w:rsidRDefault="00413730" w:rsidP="00A33349">
      <w:pPr>
        <w:rPr>
          <w:rFonts w:ascii="Times New Roman" w:hAnsi="Times New Roman" w:cs="Times New Roman"/>
        </w:rPr>
      </w:pPr>
    </w:p>
    <w:p w:rsidR="00A33349" w:rsidRPr="00F65B2C" w:rsidRDefault="00A33349" w:rsidP="00413730">
      <w:pPr>
        <w:pStyle w:val="Heading1"/>
        <w:rPr>
          <w:rFonts w:ascii="Times New Roman" w:hAnsi="Times New Roman" w:cs="Times New Roman"/>
          <w:b/>
          <w:bCs/>
          <w:sz w:val="32"/>
          <w:szCs w:val="32"/>
        </w:rPr>
      </w:pPr>
      <w:bookmarkStart w:id="27" w:name="_Toc201685684"/>
      <w:r w:rsidRPr="00F65B2C">
        <w:rPr>
          <w:rFonts w:ascii="Times New Roman" w:hAnsi="Times New Roman" w:cs="Times New Roman"/>
          <w:b/>
          <w:bCs/>
          <w:sz w:val="32"/>
          <w:szCs w:val="32"/>
        </w:rPr>
        <w:t>Appendices</w:t>
      </w:r>
      <w:bookmarkEnd w:id="27"/>
    </w:p>
    <w:p w:rsidR="00A33349" w:rsidRPr="00F65B2C" w:rsidRDefault="00A33349" w:rsidP="00A33349">
      <w:pPr>
        <w:rPr>
          <w:rFonts w:ascii="Times New Roman" w:hAnsi="Times New Roman" w:cs="Times New Roman"/>
          <w:b/>
          <w:bCs/>
        </w:rPr>
      </w:pPr>
      <w:r w:rsidRPr="00F65B2C">
        <w:rPr>
          <w:rFonts w:ascii="Times New Roman" w:hAnsi="Times New Roman" w:cs="Times New Roman"/>
          <w:b/>
          <w:bCs/>
        </w:rPr>
        <w:t>Health System Capacity Assessment Matrix</w:t>
      </w:r>
    </w:p>
    <w:tbl>
      <w:tblPr>
        <w:tblW w:w="0" w:type="auto"/>
        <w:tblCellSpacing w:w="15" w:type="dxa"/>
        <w:tblBorders>
          <w:top w:val="single" w:sz="2" w:space="0" w:color="auto"/>
          <w:left w:val="single" w:sz="2" w:space="0" w:color="auto"/>
          <w:bottom w:val="single" w:sz="2" w:space="0" w:color="auto"/>
          <w:right w:val="single" w:sz="2" w:space="0" w:color="auto"/>
        </w:tblBorders>
        <w:shd w:val="clear" w:color="auto" w:fill="FAF9F5"/>
        <w:tblCellMar>
          <w:top w:w="15" w:type="dxa"/>
          <w:left w:w="15" w:type="dxa"/>
          <w:bottom w:w="15" w:type="dxa"/>
          <w:right w:w="15" w:type="dxa"/>
        </w:tblCellMar>
        <w:tblLook w:val="04A0" w:firstRow="1" w:lastRow="0" w:firstColumn="1" w:lastColumn="0" w:noHBand="0" w:noVBand="1"/>
      </w:tblPr>
      <w:tblGrid>
        <w:gridCol w:w="1059"/>
        <w:gridCol w:w="1900"/>
        <w:gridCol w:w="1630"/>
        <w:gridCol w:w="1244"/>
        <w:gridCol w:w="1710"/>
        <w:gridCol w:w="1811"/>
      </w:tblGrid>
      <w:tr w:rsidR="00A33349" w:rsidRPr="00F65B2C" w:rsidTr="00A33349">
        <w:trPr>
          <w:tblHeader/>
          <w:tblCellSpacing w:w="15" w:type="dxa"/>
        </w:trPr>
        <w:tc>
          <w:tcPr>
            <w:tcW w:w="0" w:type="auto"/>
            <w:tcBorders>
              <w:top w:val="single" w:sz="2" w:space="0" w:color="auto"/>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b/>
                <w:bCs/>
              </w:rPr>
            </w:pPr>
            <w:r w:rsidRPr="00F65B2C">
              <w:rPr>
                <w:rFonts w:ascii="Times New Roman" w:hAnsi="Times New Roman" w:cs="Times New Roman"/>
                <w:b/>
                <w:bCs/>
              </w:rPr>
              <w:t>Country</w:t>
            </w:r>
          </w:p>
        </w:tc>
        <w:tc>
          <w:tcPr>
            <w:tcW w:w="0" w:type="auto"/>
            <w:tcBorders>
              <w:top w:val="single" w:sz="2" w:space="0" w:color="auto"/>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b/>
                <w:bCs/>
              </w:rPr>
            </w:pPr>
            <w:r w:rsidRPr="00F65B2C">
              <w:rPr>
                <w:rFonts w:ascii="Times New Roman" w:hAnsi="Times New Roman" w:cs="Times New Roman"/>
                <w:b/>
                <w:bCs/>
              </w:rPr>
              <w:t>Surveillance System Rating</w:t>
            </w:r>
          </w:p>
        </w:tc>
        <w:tc>
          <w:tcPr>
            <w:tcW w:w="0" w:type="auto"/>
            <w:tcBorders>
              <w:top w:val="single" w:sz="2" w:space="0" w:color="auto"/>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b/>
                <w:bCs/>
              </w:rPr>
            </w:pPr>
            <w:r w:rsidRPr="00F65B2C">
              <w:rPr>
                <w:rFonts w:ascii="Times New Roman" w:hAnsi="Times New Roman" w:cs="Times New Roman"/>
                <w:b/>
                <w:bCs/>
              </w:rPr>
              <w:t>Laboratory Capacity</w:t>
            </w:r>
          </w:p>
        </w:tc>
        <w:tc>
          <w:tcPr>
            <w:tcW w:w="0" w:type="auto"/>
            <w:tcBorders>
              <w:top w:val="single" w:sz="2" w:space="0" w:color="auto"/>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b/>
                <w:bCs/>
              </w:rPr>
            </w:pPr>
            <w:r w:rsidRPr="00F65B2C">
              <w:rPr>
                <w:rFonts w:ascii="Times New Roman" w:hAnsi="Times New Roman" w:cs="Times New Roman"/>
                <w:b/>
                <w:bCs/>
              </w:rPr>
              <w:t>Response Time</w:t>
            </w:r>
          </w:p>
        </w:tc>
        <w:tc>
          <w:tcPr>
            <w:tcW w:w="0" w:type="auto"/>
            <w:tcBorders>
              <w:top w:val="single" w:sz="2" w:space="0" w:color="auto"/>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b/>
                <w:bCs/>
              </w:rPr>
            </w:pPr>
            <w:r w:rsidRPr="00F65B2C">
              <w:rPr>
                <w:rFonts w:ascii="Times New Roman" w:hAnsi="Times New Roman" w:cs="Times New Roman"/>
                <w:b/>
                <w:bCs/>
              </w:rPr>
              <w:t>Technology Integration</w:t>
            </w:r>
          </w:p>
        </w:tc>
        <w:tc>
          <w:tcPr>
            <w:tcW w:w="0" w:type="auto"/>
            <w:tcBorders>
              <w:top w:val="single" w:sz="2" w:space="0" w:color="auto"/>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b/>
                <w:bCs/>
              </w:rPr>
            </w:pPr>
            <w:r w:rsidRPr="00F65B2C">
              <w:rPr>
                <w:rFonts w:ascii="Times New Roman" w:hAnsi="Times New Roman" w:cs="Times New Roman"/>
                <w:b/>
                <w:bCs/>
              </w:rPr>
              <w:t>Regional Coordination</w:t>
            </w:r>
          </w:p>
        </w:tc>
      </w:tr>
      <w:tr w:rsidR="00A33349" w:rsidRPr="00F65B2C" w:rsidTr="00A33349">
        <w:trPr>
          <w:tblCellSpacing w:w="15" w:type="dxa"/>
        </w:trPr>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Germany</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Advanced</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High</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&lt;24 hours</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High</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High</w:t>
            </w:r>
          </w:p>
        </w:tc>
      </w:tr>
      <w:tr w:rsidR="00A33349" w:rsidRPr="00F65B2C" w:rsidTr="00A33349">
        <w:trPr>
          <w:tblCellSpacing w:w="15" w:type="dxa"/>
        </w:trPr>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France</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Advanced</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High</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&lt;24 hours</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High</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High</w:t>
            </w:r>
          </w:p>
        </w:tc>
      </w:tr>
      <w:tr w:rsidR="00A33349" w:rsidRPr="00F65B2C" w:rsidTr="00A33349">
        <w:trPr>
          <w:tblCellSpacing w:w="15" w:type="dxa"/>
        </w:trPr>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Italy</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High</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24-48 hours</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r>
      <w:tr w:rsidR="00A33349" w:rsidRPr="00F65B2C" w:rsidTr="00A33349">
        <w:trPr>
          <w:tblCellSpacing w:w="15" w:type="dxa"/>
        </w:trPr>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Spain</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High</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24-48 hours</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r>
      <w:tr w:rsidR="00A33349" w:rsidRPr="00F65B2C" w:rsidTr="00A33349">
        <w:trPr>
          <w:tblCellSpacing w:w="15" w:type="dxa"/>
        </w:trPr>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Singapore</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Advanced</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High</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&lt;12 hours</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Very High</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High</w:t>
            </w:r>
          </w:p>
        </w:tc>
      </w:tr>
      <w:tr w:rsidR="00A33349" w:rsidRPr="00F65B2C" w:rsidTr="00A33349">
        <w:trPr>
          <w:tblCellSpacing w:w="15" w:type="dxa"/>
        </w:trPr>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Thailand</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24-48 hours</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r>
      <w:tr w:rsidR="00A33349" w:rsidRPr="00F65B2C" w:rsidTr="00A33349">
        <w:trPr>
          <w:tblCellSpacing w:w="15" w:type="dxa"/>
        </w:trPr>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Malaysia</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Basic</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Intermediate</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48-72 hours</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Basic</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Basic</w:t>
            </w:r>
          </w:p>
        </w:tc>
      </w:tr>
      <w:tr w:rsidR="00A33349" w:rsidRPr="00F65B2C" w:rsidTr="00A33349">
        <w:trPr>
          <w:tblCellSpacing w:w="15" w:type="dxa"/>
        </w:trPr>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Indonesia</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Basic</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Basic</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&gt;72 hours</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Basic</w:t>
            </w:r>
          </w:p>
        </w:tc>
        <w:tc>
          <w:tcPr>
            <w:tcW w:w="0" w:type="auto"/>
            <w:tcBorders>
              <w:left w:val="single" w:sz="2" w:space="0" w:color="auto"/>
              <w:bottom w:val="single" w:sz="2" w:space="0" w:color="auto"/>
              <w:right w:val="single" w:sz="2" w:space="0" w:color="auto"/>
            </w:tcBorders>
            <w:shd w:val="clear" w:color="auto" w:fill="FAF9F5"/>
            <w:vAlign w:val="center"/>
            <w:hideMark/>
          </w:tcPr>
          <w:p w:rsidR="00A33349" w:rsidRPr="00F65B2C" w:rsidRDefault="00A33349" w:rsidP="00A33349">
            <w:pPr>
              <w:rPr>
                <w:rFonts w:ascii="Times New Roman" w:hAnsi="Times New Roman" w:cs="Times New Roman"/>
              </w:rPr>
            </w:pPr>
            <w:r w:rsidRPr="00F65B2C">
              <w:rPr>
                <w:rFonts w:ascii="Times New Roman" w:hAnsi="Times New Roman" w:cs="Times New Roman"/>
              </w:rPr>
              <w:t>Basic</w:t>
            </w:r>
          </w:p>
        </w:tc>
      </w:tr>
    </w:tbl>
    <w:p w:rsidR="00760376" w:rsidRPr="00F65B2C" w:rsidRDefault="00760376" w:rsidP="00A33349">
      <w:pPr>
        <w:rPr>
          <w:rFonts w:ascii="Times New Roman" w:hAnsi="Times New Roman" w:cs="Times New Roman"/>
        </w:rPr>
      </w:pPr>
    </w:p>
    <w:sectPr w:rsidR="00760376" w:rsidRPr="00F65B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02397"/>
    <w:multiLevelType w:val="multilevel"/>
    <w:tmpl w:val="31DA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2D41BF"/>
    <w:multiLevelType w:val="multilevel"/>
    <w:tmpl w:val="154C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9F3478"/>
    <w:multiLevelType w:val="multilevel"/>
    <w:tmpl w:val="2412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A407EC"/>
    <w:multiLevelType w:val="multilevel"/>
    <w:tmpl w:val="2C20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021740"/>
    <w:multiLevelType w:val="multilevel"/>
    <w:tmpl w:val="5838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9345E7"/>
    <w:multiLevelType w:val="multilevel"/>
    <w:tmpl w:val="D7FC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94343E6"/>
    <w:multiLevelType w:val="multilevel"/>
    <w:tmpl w:val="0648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AFC79BA"/>
    <w:multiLevelType w:val="multilevel"/>
    <w:tmpl w:val="51662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1333010">
    <w:abstractNumId w:val="7"/>
  </w:num>
  <w:num w:numId="2" w16cid:durableId="601642680">
    <w:abstractNumId w:val="3"/>
  </w:num>
  <w:num w:numId="3" w16cid:durableId="97724829">
    <w:abstractNumId w:val="0"/>
  </w:num>
  <w:num w:numId="4" w16cid:durableId="272327998">
    <w:abstractNumId w:val="2"/>
  </w:num>
  <w:num w:numId="5" w16cid:durableId="1589803047">
    <w:abstractNumId w:val="4"/>
  </w:num>
  <w:num w:numId="6" w16cid:durableId="128668890">
    <w:abstractNumId w:val="5"/>
  </w:num>
  <w:num w:numId="7" w16cid:durableId="992291393">
    <w:abstractNumId w:val="6"/>
  </w:num>
  <w:num w:numId="8" w16cid:durableId="988443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376"/>
    <w:rsid w:val="0011485B"/>
    <w:rsid w:val="00213019"/>
    <w:rsid w:val="00413730"/>
    <w:rsid w:val="004B796A"/>
    <w:rsid w:val="005C7351"/>
    <w:rsid w:val="00760376"/>
    <w:rsid w:val="00A33349"/>
    <w:rsid w:val="00BE0C8F"/>
    <w:rsid w:val="00D50E3C"/>
    <w:rsid w:val="00F65B2C"/>
    <w:rsid w:val="00FE7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6F42"/>
  <w15:chartTrackingRefBased/>
  <w15:docId w15:val="{48F0C71C-82AD-DD49-845C-AA6E6891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3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03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3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3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3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3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3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3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3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3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03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3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3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3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3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3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3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376"/>
    <w:rPr>
      <w:rFonts w:eastAsiaTheme="majorEastAsia" w:cstheme="majorBidi"/>
      <w:color w:val="272727" w:themeColor="text1" w:themeTint="D8"/>
    </w:rPr>
  </w:style>
  <w:style w:type="paragraph" w:styleId="Title">
    <w:name w:val="Title"/>
    <w:basedOn w:val="Normal"/>
    <w:next w:val="Normal"/>
    <w:link w:val="TitleChar"/>
    <w:uiPriority w:val="10"/>
    <w:qFormat/>
    <w:rsid w:val="007603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3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3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3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376"/>
    <w:pPr>
      <w:spacing w:before="160"/>
      <w:jc w:val="center"/>
    </w:pPr>
    <w:rPr>
      <w:i/>
      <w:iCs/>
      <w:color w:val="404040" w:themeColor="text1" w:themeTint="BF"/>
    </w:rPr>
  </w:style>
  <w:style w:type="character" w:customStyle="1" w:styleId="QuoteChar">
    <w:name w:val="Quote Char"/>
    <w:basedOn w:val="DefaultParagraphFont"/>
    <w:link w:val="Quote"/>
    <w:uiPriority w:val="29"/>
    <w:rsid w:val="00760376"/>
    <w:rPr>
      <w:i/>
      <w:iCs/>
      <w:color w:val="404040" w:themeColor="text1" w:themeTint="BF"/>
    </w:rPr>
  </w:style>
  <w:style w:type="paragraph" w:styleId="ListParagraph">
    <w:name w:val="List Paragraph"/>
    <w:basedOn w:val="Normal"/>
    <w:uiPriority w:val="34"/>
    <w:qFormat/>
    <w:rsid w:val="00760376"/>
    <w:pPr>
      <w:ind w:left="720"/>
      <w:contextualSpacing/>
    </w:pPr>
  </w:style>
  <w:style w:type="character" w:styleId="IntenseEmphasis">
    <w:name w:val="Intense Emphasis"/>
    <w:basedOn w:val="DefaultParagraphFont"/>
    <w:uiPriority w:val="21"/>
    <w:qFormat/>
    <w:rsid w:val="00760376"/>
    <w:rPr>
      <w:i/>
      <w:iCs/>
      <w:color w:val="0F4761" w:themeColor="accent1" w:themeShade="BF"/>
    </w:rPr>
  </w:style>
  <w:style w:type="paragraph" w:styleId="IntenseQuote">
    <w:name w:val="Intense Quote"/>
    <w:basedOn w:val="Normal"/>
    <w:next w:val="Normal"/>
    <w:link w:val="IntenseQuoteChar"/>
    <w:uiPriority w:val="30"/>
    <w:qFormat/>
    <w:rsid w:val="007603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376"/>
    <w:rPr>
      <w:i/>
      <w:iCs/>
      <w:color w:val="0F4761" w:themeColor="accent1" w:themeShade="BF"/>
    </w:rPr>
  </w:style>
  <w:style w:type="character" w:styleId="IntenseReference">
    <w:name w:val="Intense Reference"/>
    <w:basedOn w:val="DefaultParagraphFont"/>
    <w:uiPriority w:val="32"/>
    <w:qFormat/>
    <w:rsid w:val="00760376"/>
    <w:rPr>
      <w:b/>
      <w:bCs/>
      <w:smallCaps/>
      <w:color w:val="0F4761" w:themeColor="accent1" w:themeShade="BF"/>
      <w:spacing w:val="5"/>
    </w:rPr>
  </w:style>
  <w:style w:type="paragraph" w:customStyle="1" w:styleId="p1">
    <w:name w:val="p1"/>
    <w:basedOn w:val="Normal"/>
    <w:rsid w:val="0021301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1">
    <w:name w:val="s1"/>
    <w:basedOn w:val="DefaultParagraphFont"/>
    <w:rsid w:val="00213019"/>
  </w:style>
  <w:style w:type="paragraph" w:customStyle="1" w:styleId="p3">
    <w:name w:val="p3"/>
    <w:basedOn w:val="Normal"/>
    <w:rsid w:val="0021301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4">
    <w:name w:val="p4"/>
    <w:basedOn w:val="Normal"/>
    <w:rsid w:val="0021301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F65B2C"/>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F65B2C"/>
    <w:pPr>
      <w:spacing w:before="120" w:after="0"/>
    </w:pPr>
    <w:rPr>
      <w:b/>
      <w:bCs/>
      <w:i/>
      <w:iCs/>
    </w:rPr>
  </w:style>
  <w:style w:type="paragraph" w:styleId="TOC2">
    <w:name w:val="toc 2"/>
    <w:basedOn w:val="Normal"/>
    <w:next w:val="Normal"/>
    <w:autoRedefine/>
    <w:uiPriority w:val="39"/>
    <w:unhideWhenUsed/>
    <w:rsid w:val="00F65B2C"/>
    <w:pPr>
      <w:spacing w:before="120" w:after="0"/>
      <w:ind w:left="240"/>
    </w:pPr>
    <w:rPr>
      <w:b/>
      <w:bCs/>
      <w:sz w:val="22"/>
      <w:szCs w:val="22"/>
    </w:rPr>
  </w:style>
  <w:style w:type="character" w:styleId="Hyperlink">
    <w:name w:val="Hyperlink"/>
    <w:basedOn w:val="DefaultParagraphFont"/>
    <w:uiPriority w:val="99"/>
    <w:unhideWhenUsed/>
    <w:rsid w:val="00F65B2C"/>
    <w:rPr>
      <w:color w:val="467886" w:themeColor="hyperlink"/>
      <w:u w:val="single"/>
    </w:rPr>
  </w:style>
  <w:style w:type="paragraph" w:styleId="TOC3">
    <w:name w:val="toc 3"/>
    <w:basedOn w:val="Normal"/>
    <w:next w:val="Normal"/>
    <w:autoRedefine/>
    <w:uiPriority w:val="39"/>
    <w:semiHidden/>
    <w:unhideWhenUsed/>
    <w:rsid w:val="00F65B2C"/>
    <w:pPr>
      <w:spacing w:after="0"/>
      <w:ind w:left="480"/>
    </w:pPr>
    <w:rPr>
      <w:sz w:val="20"/>
      <w:szCs w:val="20"/>
    </w:rPr>
  </w:style>
  <w:style w:type="paragraph" w:styleId="TOC4">
    <w:name w:val="toc 4"/>
    <w:basedOn w:val="Normal"/>
    <w:next w:val="Normal"/>
    <w:autoRedefine/>
    <w:uiPriority w:val="39"/>
    <w:semiHidden/>
    <w:unhideWhenUsed/>
    <w:rsid w:val="00F65B2C"/>
    <w:pPr>
      <w:spacing w:after="0"/>
      <w:ind w:left="720"/>
    </w:pPr>
    <w:rPr>
      <w:sz w:val="20"/>
      <w:szCs w:val="20"/>
    </w:rPr>
  </w:style>
  <w:style w:type="paragraph" w:styleId="TOC5">
    <w:name w:val="toc 5"/>
    <w:basedOn w:val="Normal"/>
    <w:next w:val="Normal"/>
    <w:autoRedefine/>
    <w:uiPriority w:val="39"/>
    <w:semiHidden/>
    <w:unhideWhenUsed/>
    <w:rsid w:val="00F65B2C"/>
    <w:pPr>
      <w:spacing w:after="0"/>
      <w:ind w:left="960"/>
    </w:pPr>
    <w:rPr>
      <w:sz w:val="20"/>
      <w:szCs w:val="20"/>
    </w:rPr>
  </w:style>
  <w:style w:type="paragraph" w:styleId="TOC6">
    <w:name w:val="toc 6"/>
    <w:basedOn w:val="Normal"/>
    <w:next w:val="Normal"/>
    <w:autoRedefine/>
    <w:uiPriority w:val="39"/>
    <w:semiHidden/>
    <w:unhideWhenUsed/>
    <w:rsid w:val="00F65B2C"/>
    <w:pPr>
      <w:spacing w:after="0"/>
      <w:ind w:left="1200"/>
    </w:pPr>
    <w:rPr>
      <w:sz w:val="20"/>
      <w:szCs w:val="20"/>
    </w:rPr>
  </w:style>
  <w:style w:type="paragraph" w:styleId="TOC7">
    <w:name w:val="toc 7"/>
    <w:basedOn w:val="Normal"/>
    <w:next w:val="Normal"/>
    <w:autoRedefine/>
    <w:uiPriority w:val="39"/>
    <w:semiHidden/>
    <w:unhideWhenUsed/>
    <w:rsid w:val="00F65B2C"/>
    <w:pPr>
      <w:spacing w:after="0"/>
      <w:ind w:left="1440"/>
    </w:pPr>
    <w:rPr>
      <w:sz w:val="20"/>
      <w:szCs w:val="20"/>
    </w:rPr>
  </w:style>
  <w:style w:type="paragraph" w:styleId="TOC8">
    <w:name w:val="toc 8"/>
    <w:basedOn w:val="Normal"/>
    <w:next w:val="Normal"/>
    <w:autoRedefine/>
    <w:uiPriority w:val="39"/>
    <w:semiHidden/>
    <w:unhideWhenUsed/>
    <w:rsid w:val="00F65B2C"/>
    <w:pPr>
      <w:spacing w:after="0"/>
      <w:ind w:left="1680"/>
    </w:pPr>
    <w:rPr>
      <w:sz w:val="20"/>
      <w:szCs w:val="20"/>
    </w:rPr>
  </w:style>
  <w:style w:type="paragraph" w:styleId="TOC9">
    <w:name w:val="toc 9"/>
    <w:basedOn w:val="Normal"/>
    <w:next w:val="Normal"/>
    <w:autoRedefine/>
    <w:uiPriority w:val="39"/>
    <w:semiHidden/>
    <w:unhideWhenUsed/>
    <w:rsid w:val="00F65B2C"/>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631535">
      <w:bodyDiv w:val="1"/>
      <w:marLeft w:val="0"/>
      <w:marRight w:val="0"/>
      <w:marTop w:val="0"/>
      <w:marBottom w:val="0"/>
      <w:divBdr>
        <w:top w:val="none" w:sz="0" w:space="0" w:color="auto"/>
        <w:left w:val="none" w:sz="0" w:space="0" w:color="auto"/>
        <w:bottom w:val="none" w:sz="0" w:space="0" w:color="auto"/>
        <w:right w:val="none" w:sz="0" w:space="0" w:color="auto"/>
      </w:divBdr>
      <w:divsChild>
        <w:div w:id="655260307">
          <w:marLeft w:val="0"/>
          <w:marRight w:val="0"/>
          <w:marTop w:val="0"/>
          <w:marBottom w:val="0"/>
          <w:divBdr>
            <w:top w:val="single" w:sz="2" w:space="0" w:color="auto"/>
            <w:left w:val="single" w:sz="2" w:space="0" w:color="auto"/>
            <w:bottom w:val="single" w:sz="2" w:space="0" w:color="auto"/>
            <w:right w:val="single" w:sz="2" w:space="0" w:color="auto"/>
          </w:divBdr>
          <w:divsChild>
            <w:div w:id="12854313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63681683">
      <w:bodyDiv w:val="1"/>
      <w:marLeft w:val="0"/>
      <w:marRight w:val="0"/>
      <w:marTop w:val="0"/>
      <w:marBottom w:val="0"/>
      <w:divBdr>
        <w:top w:val="none" w:sz="0" w:space="0" w:color="auto"/>
        <w:left w:val="none" w:sz="0" w:space="0" w:color="auto"/>
        <w:bottom w:val="none" w:sz="0" w:space="0" w:color="auto"/>
        <w:right w:val="none" w:sz="0" w:space="0" w:color="auto"/>
      </w:divBdr>
      <w:divsChild>
        <w:div w:id="2058703395">
          <w:marLeft w:val="0"/>
          <w:marRight w:val="0"/>
          <w:marTop w:val="0"/>
          <w:marBottom w:val="0"/>
          <w:divBdr>
            <w:top w:val="single" w:sz="2" w:space="0" w:color="auto"/>
            <w:left w:val="single" w:sz="2" w:space="0" w:color="auto"/>
            <w:bottom w:val="single" w:sz="2" w:space="0" w:color="auto"/>
            <w:right w:val="single" w:sz="2" w:space="0" w:color="auto"/>
          </w:divBdr>
          <w:divsChild>
            <w:div w:id="21130413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47465104">
      <w:bodyDiv w:val="1"/>
      <w:marLeft w:val="0"/>
      <w:marRight w:val="0"/>
      <w:marTop w:val="0"/>
      <w:marBottom w:val="0"/>
      <w:divBdr>
        <w:top w:val="none" w:sz="0" w:space="0" w:color="auto"/>
        <w:left w:val="none" w:sz="0" w:space="0" w:color="auto"/>
        <w:bottom w:val="none" w:sz="0" w:space="0" w:color="auto"/>
        <w:right w:val="none" w:sz="0" w:space="0" w:color="auto"/>
      </w:divBdr>
      <w:divsChild>
        <w:div w:id="781388258">
          <w:marLeft w:val="0"/>
          <w:marRight w:val="0"/>
          <w:marTop w:val="0"/>
          <w:marBottom w:val="0"/>
          <w:divBdr>
            <w:top w:val="single" w:sz="2" w:space="0" w:color="auto"/>
            <w:left w:val="single" w:sz="2" w:space="0" w:color="auto"/>
            <w:bottom w:val="single" w:sz="2" w:space="0" w:color="auto"/>
            <w:right w:val="single" w:sz="2" w:space="0" w:color="auto"/>
          </w:divBdr>
          <w:divsChild>
            <w:div w:id="19297308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30242765">
      <w:bodyDiv w:val="1"/>
      <w:marLeft w:val="0"/>
      <w:marRight w:val="0"/>
      <w:marTop w:val="0"/>
      <w:marBottom w:val="0"/>
      <w:divBdr>
        <w:top w:val="none" w:sz="0" w:space="0" w:color="auto"/>
        <w:left w:val="none" w:sz="0" w:space="0" w:color="auto"/>
        <w:bottom w:val="none" w:sz="0" w:space="0" w:color="auto"/>
        <w:right w:val="none" w:sz="0" w:space="0" w:color="auto"/>
      </w:divBdr>
      <w:divsChild>
        <w:div w:id="248732810">
          <w:marLeft w:val="0"/>
          <w:marRight w:val="0"/>
          <w:marTop w:val="0"/>
          <w:marBottom w:val="0"/>
          <w:divBdr>
            <w:top w:val="single" w:sz="2" w:space="0" w:color="auto"/>
            <w:left w:val="single" w:sz="2" w:space="0" w:color="auto"/>
            <w:bottom w:val="single" w:sz="2" w:space="0" w:color="auto"/>
            <w:right w:val="single" w:sz="2" w:space="0" w:color="auto"/>
          </w:divBdr>
          <w:divsChild>
            <w:div w:id="15749729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08989044">
      <w:bodyDiv w:val="1"/>
      <w:marLeft w:val="0"/>
      <w:marRight w:val="0"/>
      <w:marTop w:val="0"/>
      <w:marBottom w:val="0"/>
      <w:divBdr>
        <w:top w:val="none" w:sz="0" w:space="0" w:color="auto"/>
        <w:left w:val="none" w:sz="0" w:space="0" w:color="auto"/>
        <w:bottom w:val="none" w:sz="0" w:space="0" w:color="auto"/>
        <w:right w:val="none" w:sz="0" w:space="0" w:color="auto"/>
      </w:divBdr>
    </w:div>
    <w:div w:id="1978535458">
      <w:bodyDiv w:val="1"/>
      <w:marLeft w:val="0"/>
      <w:marRight w:val="0"/>
      <w:marTop w:val="0"/>
      <w:marBottom w:val="0"/>
      <w:divBdr>
        <w:top w:val="none" w:sz="0" w:space="0" w:color="auto"/>
        <w:left w:val="none" w:sz="0" w:space="0" w:color="auto"/>
        <w:bottom w:val="none" w:sz="0" w:space="0" w:color="auto"/>
        <w:right w:val="none" w:sz="0" w:space="0" w:color="auto"/>
      </w:divBdr>
      <w:divsChild>
        <w:div w:id="1347053265">
          <w:marLeft w:val="0"/>
          <w:marRight w:val="0"/>
          <w:marTop w:val="0"/>
          <w:marBottom w:val="0"/>
          <w:divBdr>
            <w:top w:val="single" w:sz="2" w:space="0" w:color="auto"/>
            <w:left w:val="single" w:sz="2" w:space="0" w:color="auto"/>
            <w:bottom w:val="single" w:sz="2" w:space="0" w:color="auto"/>
            <w:right w:val="single" w:sz="2" w:space="0" w:color="auto"/>
          </w:divBdr>
          <w:divsChild>
            <w:div w:id="19479973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19506109">
      <w:bodyDiv w:val="1"/>
      <w:marLeft w:val="0"/>
      <w:marRight w:val="0"/>
      <w:marTop w:val="0"/>
      <w:marBottom w:val="0"/>
      <w:divBdr>
        <w:top w:val="none" w:sz="0" w:space="0" w:color="auto"/>
        <w:left w:val="none" w:sz="0" w:space="0" w:color="auto"/>
        <w:bottom w:val="none" w:sz="0" w:space="0" w:color="auto"/>
        <w:right w:val="none" w:sz="0" w:space="0" w:color="auto"/>
      </w:divBdr>
    </w:div>
    <w:div w:id="2033417453">
      <w:bodyDiv w:val="1"/>
      <w:marLeft w:val="0"/>
      <w:marRight w:val="0"/>
      <w:marTop w:val="0"/>
      <w:marBottom w:val="0"/>
      <w:divBdr>
        <w:top w:val="none" w:sz="0" w:space="0" w:color="auto"/>
        <w:left w:val="none" w:sz="0" w:space="0" w:color="auto"/>
        <w:bottom w:val="none" w:sz="0" w:space="0" w:color="auto"/>
        <w:right w:val="none" w:sz="0" w:space="0" w:color="auto"/>
      </w:divBdr>
    </w:div>
    <w:div w:id="2069641678">
      <w:bodyDiv w:val="1"/>
      <w:marLeft w:val="0"/>
      <w:marRight w:val="0"/>
      <w:marTop w:val="0"/>
      <w:marBottom w:val="0"/>
      <w:divBdr>
        <w:top w:val="none" w:sz="0" w:space="0" w:color="auto"/>
        <w:left w:val="none" w:sz="0" w:space="0" w:color="auto"/>
        <w:bottom w:val="none" w:sz="0" w:space="0" w:color="auto"/>
        <w:right w:val="none" w:sz="0" w:space="0" w:color="auto"/>
      </w:divBdr>
      <w:divsChild>
        <w:div w:id="754253857">
          <w:marLeft w:val="0"/>
          <w:marRight w:val="0"/>
          <w:marTop w:val="0"/>
          <w:marBottom w:val="0"/>
          <w:divBdr>
            <w:top w:val="single" w:sz="2" w:space="0" w:color="auto"/>
            <w:left w:val="single" w:sz="2" w:space="0" w:color="auto"/>
            <w:bottom w:val="single" w:sz="2" w:space="0" w:color="auto"/>
            <w:right w:val="single" w:sz="2" w:space="0" w:color="auto"/>
          </w:divBdr>
          <w:divsChild>
            <w:div w:id="10387728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8241E-BDF7-3147-A456-04D0BED38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19</Pages>
  <Words>5066</Words>
  <Characters>35614</Characters>
  <Application>Microsoft Office Word</Application>
  <DocSecurity>0</DocSecurity>
  <Lines>547</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4</cp:revision>
  <dcterms:created xsi:type="dcterms:W3CDTF">2025-06-24T14:15:00Z</dcterms:created>
  <dcterms:modified xsi:type="dcterms:W3CDTF">2025-06-24T17:28:00Z</dcterms:modified>
</cp:coreProperties>
</file>