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28AE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DF61935" wp14:editId="4531E7C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8781312"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01805569"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335955A4" w14:textId="77777777" w:rsidR="0019504D" w:rsidRPr="0019504D" w:rsidRDefault="00CA2604" w:rsidP="0019504D">
      <w:pPr>
        <w:rPr>
          <w:lang w:val="en-US"/>
        </w:rPr>
      </w:pPr>
      <w:r>
        <w:rPr>
          <w:lang w:val="en-US"/>
        </w:rPr>
        <w:t>21</w:t>
      </w:r>
      <w:r w:rsidR="0019504D">
        <w:rPr>
          <w:lang w:val="en-US"/>
        </w:rPr>
        <w:t>.0</w:t>
      </w:r>
      <w:r w:rsidR="00481859">
        <w:rPr>
          <w:lang w:val="en-US"/>
        </w:rPr>
        <w:t>1</w:t>
      </w:r>
      <w:r w:rsidR="0019504D">
        <w:rPr>
          <w:lang w:val="en-US"/>
        </w:rPr>
        <w:t>.2025</w:t>
      </w:r>
    </w:p>
    <w:p w14:paraId="05374CC6" w14:textId="77777777" w:rsidR="0019504D" w:rsidRDefault="0019504D"/>
    <w:p w14:paraId="3588FEE4" w14:textId="77777777" w:rsidR="0019504D" w:rsidRDefault="0019504D"/>
    <w:p w14:paraId="63A74070" w14:textId="77777777" w:rsidR="0019504D" w:rsidRDefault="0019504D"/>
    <w:p w14:paraId="225FF57C" w14:textId="77777777" w:rsidR="0019504D" w:rsidRDefault="0019504D"/>
    <w:p w14:paraId="565965FF" w14:textId="77777777" w:rsidR="0019504D" w:rsidRDefault="0019504D"/>
    <w:p w14:paraId="3EAABA35" w14:textId="77777777" w:rsidR="00CD620A" w:rsidRDefault="00CD620A"/>
    <w:p w14:paraId="36B6638A" w14:textId="77777777" w:rsidR="00CD620A" w:rsidRDefault="00CD620A"/>
    <w:p w14:paraId="0E156846" w14:textId="77777777" w:rsidR="00CD620A" w:rsidRDefault="00CD620A"/>
    <w:p w14:paraId="664DEF50" w14:textId="77777777" w:rsidR="00CD620A" w:rsidRDefault="00CD620A"/>
    <w:p w14:paraId="56E2BE81" w14:textId="77777777" w:rsidR="00CD620A" w:rsidRDefault="00CD620A"/>
    <w:p w14:paraId="53B35106" w14:textId="77777777" w:rsidR="00EA737F" w:rsidRDefault="00EA737F"/>
    <w:p w14:paraId="21383E2E" w14:textId="77777777" w:rsidR="0019504D" w:rsidRDefault="0019504D"/>
    <w:p w14:paraId="05B62CE0" w14:textId="77777777" w:rsidR="0019504D" w:rsidRDefault="0019504D"/>
    <w:p w14:paraId="38E44FC3"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29D4C322" w14:textId="77777777" w:rsidR="00CA2604" w:rsidRDefault="00CA2604" w:rsidP="00EA737F">
      <w:pPr>
        <w:spacing w:line="276" w:lineRule="auto"/>
        <w:rPr>
          <w:b/>
          <w:bCs/>
          <w:lang w:val="en-US"/>
        </w:rPr>
      </w:pPr>
    </w:p>
    <w:p w14:paraId="624EBA47" w14:textId="77777777" w:rsidR="00CA2604" w:rsidRPr="00EA737F" w:rsidRDefault="00CA2604" w:rsidP="00EA737F">
      <w:pPr>
        <w:spacing w:line="276" w:lineRule="auto"/>
        <w:rPr>
          <w:b/>
          <w:bCs/>
          <w:lang w:val="en-US"/>
        </w:rPr>
      </w:pPr>
    </w:p>
    <w:p w14:paraId="014D2836" w14:textId="77777777" w:rsidR="00EA737F" w:rsidRDefault="00EA737F" w:rsidP="00EA737F">
      <w:pPr>
        <w:spacing w:line="276" w:lineRule="auto"/>
        <w:rPr>
          <w:lang w:val="en-US"/>
        </w:rPr>
      </w:pPr>
    </w:p>
    <w:p w14:paraId="080C611C" w14:textId="77777777" w:rsidR="00EA737F" w:rsidRDefault="00EA737F" w:rsidP="00CA2604">
      <w:pPr>
        <w:spacing w:line="276" w:lineRule="auto"/>
        <w:rPr>
          <w:lang w:val="en-US"/>
        </w:rPr>
      </w:pPr>
      <w:r>
        <w:rPr>
          <w:lang w:val="en-US"/>
        </w:rPr>
        <w:t xml:space="preserve">1- </w:t>
      </w:r>
      <w:r w:rsidR="00CA2604" w:rsidRPr="00CA2604">
        <w:rPr>
          <w:lang w:val="en-US"/>
        </w:rPr>
        <w:t>How can your own country benefit from applying the Global Code of Ethics for Tourism in practice?</w:t>
      </w:r>
    </w:p>
    <w:p w14:paraId="48A835CC" w14:textId="77777777" w:rsidR="008039ED" w:rsidRDefault="008039ED" w:rsidP="00CA2604">
      <w:pPr>
        <w:spacing w:line="276" w:lineRule="auto"/>
        <w:rPr>
          <w:lang w:val="en-US"/>
        </w:rPr>
      </w:pPr>
    </w:p>
    <w:p w14:paraId="3361C88F" w14:textId="77777777" w:rsidR="008039ED" w:rsidRDefault="008039ED" w:rsidP="00CA2604">
      <w:pPr>
        <w:spacing w:line="276" w:lineRule="auto"/>
        <w:rPr>
          <w:lang w:val="en-US"/>
        </w:rPr>
      </w:pPr>
    </w:p>
    <w:p w14:paraId="4EC79C58" w14:textId="77777777" w:rsidR="008039ED" w:rsidRDefault="008039ED" w:rsidP="00CA2604">
      <w:pPr>
        <w:spacing w:line="276" w:lineRule="auto"/>
        <w:rPr>
          <w:lang w:val="en-US"/>
        </w:rPr>
      </w:pPr>
    </w:p>
    <w:p w14:paraId="7151F009" w14:textId="77777777" w:rsidR="008039ED" w:rsidRDefault="008039ED" w:rsidP="00CA2604">
      <w:pPr>
        <w:spacing w:line="276" w:lineRule="auto"/>
        <w:rPr>
          <w:lang w:val="en-US"/>
        </w:rPr>
      </w:pPr>
    </w:p>
    <w:p w14:paraId="1780FF2C" w14:textId="77777777" w:rsidR="008039ED" w:rsidRDefault="008039ED" w:rsidP="00CA2604">
      <w:pPr>
        <w:spacing w:line="276" w:lineRule="auto"/>
        <w:rPr>
          <w:lang w:val="en-US"/>
        </w:rPr>
      </w:pPr>
    </w:p>
    <w:p w14:paraId="42ED1296" w14:textId="77777777" w:rsidR="008039ED" w:rsidRDefault="008039ED" w:rsidP="00CA2604">
      <w:pPr>
        <w:spacing w:line="276" w:lineRule="auto"/>
        <w:rPr>
          <w:lang w:val="en-US"/>
        </w:rPr>
      </w:pPr>
    </w:p>
    <w:p w14:paraId="368C2C46" w14:textId="77777777" w:rsidR="008039ED" w:rsidRDefault="008039ED" w:rsidP="00CA2604">
      <w:pPr>
        <w:spacing w:line="276" w:lineRule="auto"/>
        <w:rPr>
          <w:lang w:val="en-US"/>
        </w:rPr>
      </w:pPr>
    </w:p>
    <w:p w14:paraId="0EAD083E" w14:textId="77777777" w:rsidR="008039ED" w:rsidRDefault="008039ED" w:rsidP="00CA2604">
      <w:pPr>
        <w:spacing w:line="276" w:lineRule="auto"/>
        <w:rPr>
          <w:lang w:val="en-US"/>
        </w:rPr>
      </w:pPr>
    </w:p>
    <w:p w14:paraId="711CEFB5" w14:textId="77777777" w:rsidR="008039ED" w:rsidRDefault="008039ED" w:rsidP="00CA2604">
      <w:pPr>
        <w:spacing w:line="276" w:lineRule="auto"/>
        <w:rPr>
          <w:lang w:val="en-US"/>
        </w:rPr>
      </w:pPr>
    </w:p>
    <w:p w14:paraId="668FE088" w14:textId="77777777" w:rsidR="008039ED" w:rsidRDefault="008039ED" w:rsidP="00CA2604">
      <w:pPr>
        <w:spacing w:line="276" w:lineRule="auto"/>
        <w:rPr>
          <w:lang w:val="en-US"/>
        </w:rPr>
      </w:pPr>
    </w:p>
    <w:p w14:paraId="4566C45E" w14:textId="77777777" w:rsidR="008039ED" w:rsidRDefault="008039ED" w:rsidP="00CA2604">
      <w:pPr>
        <w:spacing w:line="276" w:lineRule="auto"/>
        <w:rPr>
          <w:lang w:val="en-US"/>
        </w:rPr>
      </w:pPr>
    </w:p>
    <w:p w14:paraId="0C077084" w14:textId="77777777" w:rsidR="008039ED" w:rsidRDefault="008039ED" w:rsidP="00CA2604">
      <w:pPr>
        <w:spacing w:line="276" w:lineRule="auto"/>
        <w:rPr>
          <w:lang w:val="en-US"/>
        </w:rPr>
      </w:pPr>
    </w:p>
    <w:p w14:paraId="493F9AC9" w14:textId="77777777" w:rsidR="008039ED" w:rsidRDefault="008039ED" w:rsidP="00CA2604">
      <w:pPr>
        <w:spacing w:line="276" w:lineRule="auto"/>
        <w:rPr>
          <w:lang w:val="en-US"/>
        </w:rPr>
      </w:pPr>
    </w:p>
    <w:p w14:paraId="392D40BB" w14:textId="77777777" w:rsidR="008039ED" w:rsidRDefault="008039ED" w:rsidP="00CA2604">
      <w:pPr>
        <w:spacing w:line="276" w:lineRule="auto"/>
        <w:rPr>
          <w:lang w:val="en-US"/>
        </w:rPr>
      </w:pPr>
    </w:p>
    <w:p w14:paraId="16B102EF" w14:textId="77777777" w:rsidR="008039ED" w:rsidRDefault="008039ED" w:rsidP="00CA2604">
      <w:pPr>
        <w:spacing w:line="276" w:lineRule="auto"/>
        <w:rPr>
          <w:lang w:val="en-US"/>
        </w:rPr>
      </w:pPr>
    </w:p>
    <w:p w14:paraId="2C51E6D2" w14:textId="77777777" w:rsidR="008039ED" w:rsidRDefault="008039ED" w:rsidP="00CA2604">
      <w:pPr>
        <w:spacing w:line="276" w:lineRule="auto"/>
        <w:rPr>
          <w:lang w:val="en-US"/>
        </w:rPr>
      </w:pPr>
    </w:p>
    <w:p w14:paraId="675712FE" w14:textId="77777777" w:rsidR="008039ED" w:rsidRDefault="008039ED" w:rsidP="00CA2604">
      <w:pPr>
        <w:spacing w:line="276" w:lineRule="auto"/>
        <w:rPr>
          <w:lang w:val="en-US"/>
        </w:rPr>
      </w:pPr>
    </w:p>
    <w:p w14:paraId="66B3BA08" w14:textId="77777777" w:rsidR="008039ED" w:rsidRDefault="008039ED" w:rsidP="00CA2604">
      <w:pPr>
        <w:spacing w:line="276" w:lineRule="auto"/>
        <w:rPr>
          <w:lang w:val="en-US"/>
        </w:rPr>
      </w:pPr>
    </w:p>
    <w:p w14:paraId="1FCE07CD" w14:textId="77777777" w:rsidR="008039ED" w:rsidRDefault="008039ED" w:rsidP="00CA2604">
      <w:pPr>
        <w:spacing w:line="276" w:lineRule="auto"/>
        <w:rPr>
          <w:lang w:val="en-US"/>
        </w:rPr>
      </w:pPr>
    </w:p>
    <w:p w14:paraId="3A938542" w14:textId="77777777" w:rsidR="008039ED" w:rsidRDefault="008039ED" w:rsidP="00CA2604">
      <w:pPr>
        <w:spacing w:line="276" w:lineRule="auto"/>
        <w:rPr>
          <w:lang w:val="en-US"/>
        </w:rPr>
      </w:pPr>
    </w:p>
    <w:p w14:paraId="60379EDC" w14:textId="77777777" w:rsidR="00BC0BEA" w:rsidRPr="00BC0BEA" w:rsidRDefault="00BC0BEA" w:rsidP="00BC0BEA">
      <w:pPr>
        <w:spacing w:line="480" w:lineRule="auto"/>
        <w:rPr>
          <w:b/>
          <w:bCs/>
          <w:lang w:val="en-GB"/>
        </w:rPr>
      </w:pPr>
      <w:r w:rsidRPr="00BC0BEA">
        <w:rPr>
          <w:b/>
          <w:bCs/>
          <w:lang w:val="en-GB"/>
        </w:rPr>
        <w:lastRenderedPageBreak/>
        <w:t>Applying the Global Code of Ethics for Tourism: Advantages for India</w:t>
      </w:r>
    </w:p>
    <w:p w14:paraId="50D65043" w14:textId="77777777" w:rsidR="00BC0BEA" w:rsidRPr="00BC0BEA" w:rsidRDefault="00BC0BEA" w:rsidP="00BC0BEA">
      <w:pPr>
        <w:spacing w:line="480" w:lineRule="auto"/>
        <w:rPr>
          <w:lang w:val="en-GB"/>
        </w:rPr>
      </w:pPr>
      <w:r w:rsidRPr="00BC0BEA">
        <w:rPr>
          <w:lang w:val="en-GB"/>
        </w:rPr>
        <w:t>India’s tourism sector plays a vital role in economic growth, cultural exchange, and employment generation. However, issues such as environmental degradation, unequal benefit distribution, and cultural exploitation threaten its sustainability. The Global Code of Ethics for Tourism (GCET) provides India with an ethical framework to address these challenges while ensuring responsible tourism development.</w:t>
      </w:r>
    </w:p>
    <w:p w14:paraId="48D1FB39" w14:textId="77777777" w:rsidR="00BC0BEA" w:rsidRPr="00BC0BEA" w:rsidRDefault="00BC0BEA" w:rsidP="00BC0BEA">
      <w:pPr>
        <w:spacing w:line="480" w:lineRule="auto"/>
        <w:rPr>
          <w:lang w:val="en-GB"/>
        </w:rPr>
      </w:pPr>
      <w:r w:rsidRPr="00BC0BEA">
        <w:rPr>
          <w:lang w:val="en-GB"/>
        </w:rPr>
        <w:t>One key benefit of applying the GCET is improved governance and policy coherence. Tourism development in India involves multiple stakeholders, including central and state governments, private enterprises, and local communities. The GCET promotes transparency, accountability, and stakeholder collaboration. Incorporating ethical principles into tourism policies can improve regulatory consistency, reduce corruption, and enhance coordination between tourism, environment, and cultural heritage authorities (Hall, 2011).</w:t>
      </w:r>
    </w:p>
    <w:p w14:paraId="3A9F8E3A" w14:textId="77777777" w:rsidR="00BC0BEA" w:rsidRPr="00BC0BEA" w:rsidRDefault="00BC0BEA" w:rsidP="00BC0BEA">
      <w:pPr>
        <w:spacing w:line="480" w:lineRule="auto"/>
        <w:rPr>
          <w:lang w:val="en-GB"/>
        </w:rPr>
      </w:pPr>
      <w:r w:rsidRPr="00BC0BEA">
        <w:rPr>
          <w:lang w:val="en-GB"/>
        </w:rPr>
        <w:t xml:space="preserve">Another major benefit is protection of cultural heritage and identity. India’s religious sites, festivals, and historical monuments attract millions of tourists annually. Without ethical safeguards, tourism can lead to commodification and loss of cultural meaning. The GCET emphasizes respect for host cultures and safeguarding intangible heritage. Applying these principles encourages heritage conservation, culturally sensitive tourism products, and respectful visitor </w:t>
      </w:r>
      <w:proofErr w:type="spellStart"/>
      <w:r w:rsidRPr="00BC0BEA">
        <w:rPr>
          <w:lang w:val="en-GB"/>
        </w:rPr>
        <w:t>behavior</w:t>
      </w:r>
      <w:proofErr w:type="spellEnd"/>
      <w:r w:rsidRPr="00BC0BEA">
        <w:rPr>
          <w:lang w:val="en-GB"/>
        </w:rPr>
        <w:t>, ensuring that tourism strengthens rather than erodes cultural identity (Timothy, 2018).</w:t>
      </w:r>
    </w:p>
    <w:p w14:paraId="16201CB7" w14:textId="77777777" w:rsidR="00BC0BEA" w:rsidRPr="00BC0BEA" w:rsidRDefault="00BC0BEA" w:rsidP="00BC0BEA">
      <w:pPr>
        <w:spacing w:line="480" w:lineRule="auto"/>
        <w:rPr>
          <w:lang w:val="en-GB"/>
        </w:rPr>
      </w:pPr>
      <w:r w:rsidRPr="00BC0BEA">
        <w:rPr>
          <w:lang w:val="en-GB"/>
        </w:rPr>
        <w:t xml:space="preserve">The GCET also supports responsible business practices and consumer trust. Ethical tourism standards encourage fair pricing, truthful marketing, and respect for consumer rights. For India, this can reduce misleading promotions, improve service standards, and enhance tourist satisfaction. Ethical business conduct builds trust among international </w:t>
      </w:r>
      <w:proofErr w:type="spellStart"/>
      <w:r w:rsidRPr="00BC0BEA">
        <w:rPr>
          <w:lang w:val="en-GB"/>
        </w:rPr>
        <w:t>travelers</w:t>
      </w:r>
      <w:proofErr w:type="spellEnd"/>
      <w:r w:rsidRPr="00BC0BEA">
        <w:rPr>
          <w:lang w:val="en-GB"/>
        </w:rPr>
        <w:t xml:space="preserve"> and </w:t>
      </w:r>
      <w:r w:rsidRPr="00BC0BEA">
        <w:rPr>
          <w:lang w:val="en-GB"/>
        </w:rPr>
        <w:lastRenderedPageBreak/>
        <w:t>tour operators, improving destination competitiveness and repeat visitation (Dodds &amp; Joppe, 2005).</w:t>
      </w:r>
    </w:p>
    <w:p w14:paraId="68FA638E" w14:textId="77777777" w:rsidR="00BC0BEA" w:rsidRPr="00BC0BEA" w:rsidRDefault="00BC0BEA" w:rsidP="00BC0BEA">
      <w:pPr>
        <w:spacing w:line="480" w:lineRule="auto"/>
        <w:rPr>
          <w:lang w:val="en-GB"/>
        </w:rPr>
      </w:pPr>
      <w:r w:rsidRPr="00BC0BEA">
        <w:rPr>
          <w:lang w:val="en-GB"/>
        </w:rPr>
        <w:t>Additionally, ethical tourism contributes to long-term economic resilience. By discouraging exploitative practices and promoting sustainability, the GCET helps India avoid the boom-and-bust cycles associated with mass tourism. Ethical tourism supports diversification, innovation, and resilience, particularly in emerging destinations and rural regions. Sustainable growth ensures that tourism remains a reliable contributor to national income over time (Bramwell &amp; Lane, 2011).</w:t>
      </w:r>
    </w:p>
    <w:p w14:paraId="68CA3EF0" w14:textId="77777777" w:rsidR="00BC0BEA" w:rsidRPr="00BC0BEA" w:rsidRDefault="00BC0BEA" w:rsidP="00BC0BEA">
      <w:pPr>
        <w:spacing w:line="480" w:lineRule="auto"/>
        <w:rPr>
          <w:lang w:val="en-GB"/>
        </w:rPr>
      </w:pPr>
      <w:r w:rsidRPr="00BC0BEA">
        <w:rPr>
          <w:lang w:val="en-GB"/>
        </w:rPr>
        <w:t>In summary, applying the Global Code of Ethics for Tourism enables India to strengthen governance, protect cultural heritage, enhance business ethics, and achieve resilient economic growth. Ethical tourism provides a balanced approach that aligns economic objectives with social responsibility and environmental sustainability.</w:t>
      </w:r>
    </w:p>
    <w:p w14:paraId="31DD5CCC" w14:textId="77777777" w:rsidR="00BC0BEA" w:rsidRPr="00BC0BEA" w:rsidRDefault="00BC0BEA" w:rsidP="00BC0BEA">
      <w:pPr>
        <w:spacing w:line="480" w:lineRule="auto"/>
        <w:rPr>
          <w:b/>
          <w:bCs/>
          <w:lang w:val="en-GB"/>
        </w:rPr>
      </w:pPr>
      <w:r w:rsidRPr="00BC0BEA">
        <w:rPr>
          <w:b/>
          <w:bCs/>
          <w:lang w:val="en-GB"/>
        </w:rPr>
        <w:t>References (DOI)</w:t>
      </w:r>
    </w:p>
    <w:p w14:paraId="143DCF42" w14:textId="77777777" w:rsidR="00BC0BEA" w:rsidRPr="00BC0BEA" w:rsidRDefault="00BC0BEA" w:rsidP="00BC0BEA">
      <w:pPr>
        <w:numPr>
          <w:ilvl w:val="0"/>
          <w:numId w:val="3"/>
        </w:numPr>
        <w:spacing w:line="480" w:lineRule="auto"/>
        <w:rPr>
          <w:b/>
          <w:bCs/>
          <w:lang w:val="en-GB"/>
        </w:rPr>
      </w:pPr>
      <w:r w:rsidRPr="00BC0BEA">
        <w:rPr>
          <w:b/>
          <w:bCs/>
          <w:lang w:val="en-GB"/>
        </w:rPr>
        <w:t xml:space="preserve">Bramwell, B., &amp; Lane, B. (2011). Critical research on governance for sustainable tourism. </w:t>
      </w:r>
      <w:r w:rsidRPr="00BC0BEA">
        <w:rPr>
          <w:b/>
          <w:bCs/>
          <w:i/>
          <w:iCs/>
          <w:lang w:val="en-GB"/>
        </w:rPr>
        <w:t>Journal of Sustainable Tourism, 19</w:t>
      </w:r>
      <w:r w:rsidRPr="00BC0BEA">
        <w:rPr>
          <w:b/>
          <w:bCs/>
          <w:lang w:val="en-GB"/>
        </w:rPr>
        <w:t xml:space="preserve">(4–5), 411–421. </w:t>
      </w:r>
      <w:hyperlink r:id="rId6" w:tgtFrame="_new" w:history="1">
        <w:r w:rsidRPr="00BC0BEA">
          <w:rPr>
            <w:rStyle w:val="Hyperlink"/>
            <w:b/>
            <w:bCs/>
            <w:lang w:val="en-GB"/>
          </w:rPr>
          <w:t>https://doi.org/10.1080/09669582.2011.580586</w:t>
        </w:r>
      </w:hyperlink>
    </w:p>
    <w:p w14:paraId="2244E5F4" w14:textId="77777777" w:rsidR="00BC0BEA" w:rsidRPr="00BC0BEA" w:rsidRDefault="00BC0BEA" w:rsidP="00BC0BEA">
      <w:pPr>
        <w:numPr>
          <w:ilvl w:val="0"/>
          <w:numId w:val="3"/>
        </w:numPr>
        <w:spacing w:line="480" w:lineRule="auto"/>
        <w:rPr>
          <w:b/>
          <w:bCs/>
          <w:lang w:val="en-GB"/>
        </w:rPr>
      </w:pPr>
      <w:r w:rsidRPr="00BC0BEA">
        <w:rPr>
          <w:b/>
          <w:bCs/>
          <w:lang w:val="en-GB"/>
        </w:rPr>
        <w:t xml:space="preserve">Dodds, R., &amp; Joppe, M. (2005). CSR in the tourism industry. </w:t>
      </w:r>
      <w:r w:rsidRPr="00BC0BEA">
        <w:rPr>
          <w:b/>
          <w:bCs/>
          <w:i/>
          <w:iCs/>
          <w:lang w:val="en-GB"/>
        </w:rPr>
        <w:t>Journal of Sustainable Tourism, 13</w:t>
      </w:r>
      <w:r w:rsidRPr="00BC0BEA">
        <w:rPr>
          <w:b/>
          <w:bCs/>
          <w:lang w:val="en-GB"/>
        </w:rPr>
        <w:t>(1), 1–19. https://doi.org/10.1080/09669580508668470</w:t>
      </w:r>
    </w:p>
    <w:p w14:paraId="4836865A" w14:textId="77777777" w:rsidR="00BC0BEA" w:rsidRPr="00BC0BEA" w:rsidRDefault="00BC0BEA" w:rsidP="00BC0BEA">
      <w:pPr>
        <w:numPr>
          <w:ilvl w:val="0"/>
          <w:numId w:val="3"/>
        </w:numPr>
        <w:spacing w:line="480" w:lineRule="auto"/>
        <w:rPr>
          <w:b/>
          <w:bCs/>
          <w:lang w:val="en-GB"/>
        </w:rPr>
      </w:pPr>
      <w:r w:rsidRPr="00BC0BEA">
        <w:rPr>
          <w:b/>
          <w:bCs/>
          <w:lang w:val="en-GB"/>
        </w:rPr>
        <w:t xml:space="preserve">Hall, C. M. (2011). Policy learning and sustainable tourism. </w:t>
      </w:r>
      <w:r w:rsidRPr="00BC0BEA">
        <w:rPr>
          <w:b/>
          <w:bCs/>
          <w:i/>
          <w:iCs/>
          <w:lang w:val="en-GB"/>
        </w:rPr>
        <w:t>Journal of Sustainable Tourism, 19</w:t>
      </w:r>
      <w:r w:rsidRPr="00BC0BEA">
        <w:rPr>
          <w:b/>
          <w:bCs/>
          <w:lang w:val="en-GB"/>
        </w:rPr>
        <w:t xml:space="preserve">(4–5), 649–671. </w:t>
      </w:r>
      <w:hyperlink r:id="rId7" w:tgtFrame="_new" w:history="1">
        <w:r w:rsidRPr="00BC0BEA">
          <w:rPr>
            <w:rStyle w:val="Hyperlink"/>
            <w:b/>
            <w:bCs/>
            <w:lang w:val="en-GB"/>
          </w:rPr>
          <w:t>https://doi.org/10.1080/09669582.2011.555555</w:t>
        </w:r>
      </w:hyperlink>
    </w:p>
    <w:p w14:paraId="6ECCF3D3" w14:textId="77777777" w:rsidR="00BC0BEA" w:rsidRPr="00BC0BEA" w:rsidRDefault="00BC0BEA" w:rsidP="00BC0BEA">
      <w:pPr>
        <w:numPr>
          <w:ilvl w:val="0"/>
          <w:numId w:val="3"/>
        </w:numPr>
        <w:spacing w:line="480" w:lineRule="auto"/>
        <w:rPr>
          <w:b/>
          <w:bCs/>
          <w:lang w:val="en-GB"/>
        </w:rPr>
      </w:pPr>
      <w:r w:rsidRPr="00BC0BEA">
        <w:rPr>
          <w:b/>
          <w:bCs/>
          <w:lang w:val="en-GB"/>
        </w:rPr>
        <w:t xml:space="preserve">Timothy, D. J. (2018). Cultural heritage and tourism. </w:t>
      </w:r>
      <w:r w:rsidRPr="00BC0BEA">
        <w:rPr>
          <w:b/>
          <w:bCs/>
          <w:i/>
          <w:iCs/>
          <w:lang w:val="en-GB"/>
        </w:rPr>
        <w:t>Tourism Management Perspectives, 26</w:t>
      </w:r>
      <w:r w:rsidRPr="00BC0BEA">
        <w:rPr>
          <w:b/>
          <w:bCs/>
          <w:lang w:val="en-GB"/>
        </w:rPr>
        <w:t>, 1–3. https://doi.org/10.1016/j.tmp.2018.01.001</w:t>
      </w:r>
    </w:p>
    <w:p w14:paraId="1BC5DD0F" w14:textId="77777777" w:rsidR="0073676E" w:rsidRPr="0073676E" w:rsidRDefault="0073676E" w:rsidP="00BC0BEA">
      <w:pPr>
        <w:spacing w:line="480" w:lineRule="auto"/>
        <w:rPr>
          <w:lang w:val="en-US"/>
        </w:rPr>
      </w:pPr>
    </w:p>
    <w:sectPr w:rsidR="0073676E" w:rsidRPr="007367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1232D882-D59D-4EE6-A01F-1E0FC78F1157}"/>
    <w:embedBold r:id="rId2" w:fontKey="{B136EB4A-BE7C-47AD-8086-814C4F4F8D62}"/>
    <w:embedBoldItalic r:id="rId3" w:fontKey="{3FE6F3B8-9682-4DE5-AC10-DC964209910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E7E7D840-45B2-4C49-ACCA-CCFC20DA46E3}"/>
  </w:font>
  <w:font w:name="Calibri Light">
    <w:panose1 w:val="020F0302020204030204"/>
    <w:charset w:val="00"/>
    <w:family w:val="swiss"/>
    <w:pitch w:val="variable"/>
    <w:sig w:usb0="E4002EFF" w:usb1="C000247B" w:usb2="00000009" w:usb3="00000000" w:csb0="000001FF" w:csb1="00000000"/>
    <w:embedRegular r:id="rId5" w:fontKey="{524A7A49-9729-4850-9A8D-1D88A77D735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B86481"/>
    <w:multiLevelType w:val="multilevel"/>
    <w:tmpl w:val="D25C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FD3AC0"/>
    <w:multiLevelType w:val="multilevel"/>
    <w:tmpl w:val="1CCA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336446"/>
    <w:multiLevelType w:val="multilevel"/>
    <w:tmpl w:val="298C6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553206">
    <w:abstractNumId w:val="0"/>
  </w:num>
  <w:num w:numId="2" w16cid:durableId="611281705">
    <w:abstractNumId w:val="1"/>
  </w:num>
  <w:num w:numId="3" w16cid:durableId="20647174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08AF"/>
    <w:rsid w:val="00203724"/>
    <w:rsid w:val="00224FD9"/>
    <w:rsid w:val="002F4AE0"/>
    <w:rsid w:val="00306D3F"/>
    <w:rsid w:val="00384E8A"/>
    <w:rsid w:val="003B0A7B"/>
    <w:rsid w:val="003D1074"/>
    <w:rsid w:val="00426865"/>
    <w:rsid w:val="00477CAA"/>
    <w:rsid w:val="00481859"/>
    <w:rsid w:val="00502E29"/>
    <w:rsid w:val="005E458B"/>
    <w:rsid w:val="00607429"/>
    <w:rsid w:val="00661030"/>
    <w:rsid w:val="006C5B28"/>
    <w:rsid w:val="00716E23"/>
    <w:rsid w:val="0073676E"/>
    <w:rsid w:val="008039ED"/>
    <w:rsid w:val="00844EC2"/>
    <w:rsid w:val="008516FE"/>
    <w:rsid w:val="008A684E"/>
    <w:rsid w:val="00903466"/>
    <w:rsid w:val="009C1D0A"/>
    <w:rsid w:val="00A044F7"/>
    <w:rsid w:val="00A8150E"/>
    <w:rsid w:val="00AA40E0"/>
    <w:rsid w:val="00B20343"/>
    <w:rsid w:val="00B85EA7"/>
    <w:rsid w:val="00BB240B"/>
    <w:rsid w:val="00BC0BEA"/>
    <w:rsid w:val="00BE65DD"/>
    <w:rsid w:val="00C21EBA"/>
    <w:rsid w:val="00C551DF"/>
    <w:rsid w:val="00C612A4"/>
    <w:rsid w:val="00CA2604"/>
    <w:rsid w:val="00CC6AD1"/>
    <w:rsid w:val="00CD620A"/>
    <w:rsid w:val="00E6778A"/>
    <w:rsid w:val="00EA737F"/>
    <w:rsid w:val="00F14EE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5FD8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8A684E"/>
    <w:rPr>
      <w:color w:val="0563C1" w:themeColor="hyperlink"/>
      <w:u w:val="single"/>
    </w:rPr>
  </w:style>
  <w:style w:type="character" w:styleId="UnresolvedMention">
    <w:name w:val="Unresolved Mention"/>
    <w:basedOn w:val="DefaultParagraphFont"/>
    <w:uiPriority w:val="99"/>
    <w:semiHidden/>
    <w:unhideWhenUsed/>
    <w:rsid w:val="008A68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80/09669582.2011.55555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09669582.2011.580586"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576</Words>
  <Characters>3289</Characters>
  <Application>Microsoft Office Word</Application>
  <DocSecurity>0</DocSecurity>
  <Lines>27</Lines>
  <Paragraphs>7</Paragraphs>
  <ScaleCrop>false</ScaleCrop>
  <Company/>
  <LinksUpToDate>false</LinksUpToDate>
  <CharactersWithSpaces>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2026-01-27T05:21:00Z</dcterms:created>
  <dcterms:modified xsi:type="dcterms:W3CDTF">2026-01-27T05:21:00Z</dcterms:modified>
</cp:coreProperties>
</file>