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D7184C">
      <w:pPr>
        <w:spacing w:line="360" w:lineRule="auto"/>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D7184C">
      <w:pPr>
        <w:spacing w:line="360" w:lineRule="auto"/>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D7184C">
      <w:pPr>
        <w:spacing w:line="360" w:lineRule="auto"/>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D7184C">
      <w:pPr>
        <w:spacing w:line="360" w:lineRule="auto"/>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rsidP="00D7184C">
      <w:pPr>
        <w:spacing w:line="360" w:lineRule="auto"/>
      </w:pPr>
    </w:p>
    <w:p w14:paraId="6AA3E2F4" w14:textId="77777777" w:rsidR="00D7184C" w:rsidRPr="00D7184C" w:rsidRDefault="00D7184C" w:rsidP="00D7184C">
      <w:pPr>
        <w:rPr>
          <w:rFonts w:ascii="Aptos Narrow" w:eastAsia="Times New Roman" w:hAnsi="Aptos Narrow" w:cs="Times New Roman"/>
          <w:color w:val="000000"/>
          <w:kern w:val="0"/>
          <w:sz w:val="22"/>
          <w:szCs w:val="22"/>
          <w:lang w:val="en-GB" w:eastAsia="en-GB" w:bidi="hi-IN"/>
          <w14:ligatures w14:val="none"/>
        </w:rPr>
      </w:pPr>
      <w:r w:rsidRPr="00D7184C">
        <w:rPr>
          <w:rFonts w:ascii="Aptos Narrow" w:eastAsia="Times New Roman" w:hAnsi="Aptos Narrow" w:cs="Times New Roman"/>
          <w:color w:val="000000"/>
          <w:kern w:val="0"/>
          <w:sz w:val="22"/>
          <w:szCs w:val="22"/>
          <w:lang w:val="en-GB" w:eastAsia="en-GB" w:bidi="hi-IN"/>
          <w14:ligatures w14:val="none"/>
        </w:rPr>
        <w:t>Prateek Mehta</w:t>
      </w:r>
    </w:p>
    <w:p w14:paraId="6683FBD1" w14:textId="77777777" w:rsidR="0019504D" w:rsidRPr="00D7184C" w:rsidRDefault="0019504D" w:rsidP="00D7184C">
      <w:pPr>
        <w:spacing w:line="360" w:lineRule="auto"/>
        <w:rPr>
          <w:lang w:val="en-US"/>
        </w:rPr>
      </w:pPr>
    </w:p>
    <w:p w14:paraId="70607A29" w14:textId="77777777" w:rsidR="00EA737F" w:rsidRPr="00FC0347" w:rsidRDefault="00CD620A" w:rsidP="00D7184C">
      <w:pPr>
        <w:spacing w:line="360"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D7184C">
      <w:pPr>
        <w:spacing w:line="360" w:lineRule="auto"/>
        <w:rPr>
          <w:lang w:val="en-US"/>
        </w:rPr>
      </w:pPr>
    </w:p>
    <w:p w14:paraId="643A0288" w14:textId="77777777" w:rsidR="00FC0347" w:rsidRDefault="00FC0347" w:rsidP="00D7184C">
      <w:pPr>
        <w:spacing w:line="360" w:lineRule="auto"/>
        <w:rPr>
          <w:b/>
          <w:bCs/>
          <w:lang w:val="en-GB"/>
        </w:rPr>
      </w:pPr>
      <w:r w:rsidRPr="00FC0347">
        <w:rPr>
          <w:b/>
          <w:bCs/>
          <w:lang w:val="en-GB"/>
        </w:rPr>
        <w:t>1. What are subsidiary bodies in international tourism governance? Explain their general role within UNWTO.</w:t>
      </w:r>
    </w:p>
    <w:p w14:paraId="44A69B15" w14:textId="77777777" w:rsidR="005C136E" w:rsidRPr="00FC0347" w:rsidRDefault="005C136E" w:rsidP="00D7184C">
      <w:pPr>
        <w:spacing w:line="360" w:lineRule="auto"/>
        <w:rPr>
          <w:b/>
          <w:bCs/>
          <w:lang w:val="en-GB"/>
        </w:rPr>
      </w:pPr>
    </w:p>
    <w:p w14:paraId="3744DD77" w14:textId="77777777" w:rsidR="00D7184C" w:rsidRPr="00D7184C" w:rsidRDefault="00D7184C" w:rsidP="00D7184C">
      <w:pPr>
        <w:spacing w:line="360" w:lineRule="auto"/>
        <w:rPr>
          <w:lang w:val="en-GB"/>
        </w:rPr>
      </w:pPr>
      <w:r w:rsidRPr="00D7184C">
        <w:rPr>
          <w:lang w:val="en-GB"/>
        </w:rPr>
        <w:t xml:space="preserve">Subsidiary bodies are organizations formed within international institutions to administer specific duties and provide expert advice to core decision-making bodies. These bodies play an important role in international tourist governance by coordinating policies, encouraging cooperation, and guaranteeing effective implementation across multiple regions. Subsidiary entities of the World Tourism Organization (UNWTO) allow for structured and democratic governance. </w:t>
      </w:r>
      <w:r w:rsidRPr="00D7184C">
        <w:rPr>
          <w:lang w:val="en-GB"/>
        </w:rPr>
        <w:br/>
      </w:r>
      <w:r w:rsidRPr="00D7184C">
        <w:rPr>
          <w:lang w:val="en-GB"/>
        </w:rPr>
        <w:br/>
        <w:t xml:space="preserve">UNWTO subsidiary bodies include regional commissions, advisory committees, and technical working groups. Each body has a specific mandate, which includes concerns such as tourist competitiveness, sustainability, innovation, ethics, and statistical measurement. This framework enables UNWTO to address complex global tourism concerns through targeted knowledge and ongoing policy involvement. </w:t>
      </w:r>
      <w:r w:rsidRPr="00D7184C">
        <w:rPr>
          <w:lang w:val="en-GB"/>
        </w:rPr>
        <w:br/>
      </w:r>
      <w:r w:rsidRPr="00D7184C">
        <w:rPr>
          <w:lang w:val="en-GB"/>
        </w:rPr>
        <w:br/>
        <w:t xml:space="preserve">Strategic advice support is a crucial function of subsidiary entities. They give analytical insights, develop policy guidelines, and provide recommendations based on global tourist trends and regional needs. Their contributions ensure that tourist governance stays flexible and in line with international development goals. </w:t>
      </w:r>
      <w:r w:rsidRPr="00D7184C">
        <w:rPr>
          <w:lang w:val="en-GB"/>
        </w:rPr>
        <w:br/>
      </w:r>
      <w:r w:rsidRPr="00D7184C">
        <w:rPr>
          <w:lang w:val="en-GB"/>
        </w:rPr>
        <w:br/>
        <w:t xml:space="preserve">Subsidiary entities provide a significant coordinating and consultation role. They foster policy harmonization, stimulate the exchange of best practices, and facilitate communication </w:t>
      </w:r>
      <w:r w:rsidRPr="00D7184C">
        <w:rPr>
          <w:lang w:val="en-GB"/>
        </w:rPr>
        <w:lastRenderedPageBreak/>
        <w:t xml:space="preserve">among member states via regular meetings and collaboration forums. This reduces fragmentation in tourism governance and promotes joint action. </w:t>
      </w:r>
      <w:r w:rsidRPr="00D7184C">
        <w:rPr>
          <w:lang w:val="en-GB"/>
        </w:rPr>
        <w:br/>
      </w:r>
      <w:r w:rsidRPr="00D7184C">
        <w:rPr>
          <w:lang w:val="en-GB"/>
        </w:rPr>
        <w:br/>
        <w:t xml:space="preserve">Another key job is to provide implementation aid and oversight. Subsidiary entities help to transform international tourist frameworks into national policy by providing technical assistance, capacity-building programs, and performance monitoring. This function is especially crucial in developing nations with inadequate institutional capability. </w:t>
      </w:r>
      <w:r w:rsidRPr="00D7184C">
        <w:rPr>
          <w:lang w:val="en-GB"/>
        </w:rPr>
        <w:br/>
      </w:r>
      <w:r w:rsidRPr="00D7184C">
        <w:rPr>
          <w:lang w:val="en-GB"/>
        </w:rPr>
        <w:br/>
        <w:t>In essence, subsidiary entities serve as operational extensions of the UNWTO, improving governance efficiency, inclusivity, and accountability in the global tourist industry.</w:t>
      </w:r>
    </w:p>
    <w:p w14:paraId="5E06CC3E" w14:textId="77777777" w:rsidR="005C136E" w:rsidRDefault="005C136E" w:rsidP="00D7184C">
      <w:pPr>
        <w:spacing w:line="360" w:lineRule="auto"/>
        <w:rPr>
          <w:lang w:val="en-GB"/>
        </w:rPr>
      </w:pPr>
    </w:p>
    <w:p w14:paraId="7BD0CEF1" w14:textId="77777777" w:rsidR="00D7184C" w:rsidRPr="005C136E" w:rsidRDefault="00D7184C" w:rsidP="00D7184C">
      <w:pPr>
        <w:spacing w:line="360" w:lineRule="auto"/>
        <w:rPr>
          <w:lang w:val="en-GB"/>
        </w:rPr>
      </w:pPr>
    </w:p>
    <w:p w14:paraId="7FEFED97" w14:textId="44E43B8C" w:rsidR="00FC0347" w:rsidRDefault="00FC0347" w:rsidP="00D7184C">
      <w:pPr>
        <w:spacing w:line="360"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D7184C">
      <w:pPr>
        <w:spacing w:line="360" w:lineRule="auto"/>
        <w:rPr>
          <w:b/>
          <w:bCs/>
          <w:lang w:val="en-GB"/>
        </w:rPr>
      </w:pPr>
    </w:p>
    <w:p w14:paraId="24ADD893" w14:textId="77777777" w:rsidR="00D7184C" w:rsidRPr="00D7184C" w:rsidRDefault="00D7184C" w:rsidP="00D7184C">
      <w:pPr>
        <w:spacing w:line="360" w:lineRule="auto"/>
        <w:rPr>
          <w:lang w:val="en-GB"/>
        </w:rPr>
      </w:pPr>
      <w:r w:rsidRPr="00D7184C">
        <w:rPr>
          <w:lang w:val="en-GB"/>
        </w:rPr>
        <w:t xml:space="preserve">The Manila Declaration on World tourist (1980) was one of the first attempts to define broad guidelines for international tourist development. The Declaration, adopted at the World Tourism Conference in Manila, defined tourism as a multidimensional activity with economic, social, cultural, and ethical ramifications. </w:t>
      </w:r>
      <w:r w:rsidRPr="00D7184C">
        <w:rPr>
          <w:lang w:val="en-GB"/>
        </w:rPr>
        <w:br/>
        <w:t xml:space="preserve">The Declaration emphasized tourism's importance in boosting economic growth, creating jobs, and promoting regional development. Importantly, it underlined that tourism growth must protect host communities' cultural identity and social values while assuring equal benefit sharing. </w:t>
      </w:r>
      <w:r w:rsidRPr="00D7184C">
        <w:rPr>
          <w:lang w:val="en-GB"/>
        </w:rPr>
        <w:br/>
        <w:t xml:space="preserve">The Manila Declaration is significant because it established an ethical and normative framework for tourist policy. Recognizing tourism as a fundamental social activity tied to human rights altered worldwide attitudes on tourism governance and legitimized governmental involvement in tourism planning. </w:t>
      </w:r>
      <w:r w:rsidRPr="00D7184C">
        <w:rPr>
          <w:lang w:val="en-GB"/>
        </w:rPr>
        <w:br/>
        <w:t xml:space="preserve">Furthermore, the Declaration paved the way for ethical tourism management by promoting environmental conservation and balanced growth. These concepts later shaped worldwide tourist ethics and sustainability frameworks. </w:t>
      </w:r>
      <w:r w:rsidRPr="00D7184C">
        <w:rPr>
          <w:lang w:val="en-GB"/>
        </w:rPr>
        <w:br/>
        <w:t xml:space="preserve">The Declaration also emphasized the importance of tourism as a vehicle for peace and international understanding, fostering collaboration among nations and cultures. </w:t>
      </w:r>
      <w:r w:rsidRPr="00D7184C">
        <w:rPr>
          <w:lang w:val="en-GB"/>
        </w:rPr>
        <w:br/>
      </w:r>
      <w:r w:rsidRPr="00D7184C">
        <w:rPr>
          <w:lang w:val="en-GB"/>
        </w:rPr>
        <w:lastRenderedPageBreak/>
        <w:t>Overall, the Manila Declaration is a foundational document that influences worldwide tourism policy and governance.</w:t>
      </w:r>
    </w:p>
    <w:p w14:paraId="5829232A" w14:textId="16964D82" w:rsidR="00C70025" w:rsidRDefault="00C70025" w:rsidP="00D7184C">
      <w:pPr>
        <w:spacing w:line="360" w:lineRule="auto"/>
        <w:rPr>
          <w:lang w:val="en-US"/>
        </w:rPr>
      </w:pPr>
    </w:p>
    <w:p w14:paraId="69A6942B" w14:textId="77777777" w:rsidR="00D7184C" w:rsidRDefault="00D7184C" w:rsidP="00D7184C">
      <w:pPr>
        <w:spacing w:line="360" w:lineRule="auto"/>
        <w:rPr>
          <w:lang w:val="en-US"/>
        </w:rPr>
      </w:pPr>
    </w:p>
    <w:p w14:paraId="2AEEE0EB" w14:textId="77777777" w:rsidR="00D7184C" w:rsidRDefault="00D7184C" w:rsidP="00D7184C">
      <w:pPr>
        <w:spacing w:line="360" w:lineRule="auto"/>
        <w:rPr>
          <w:lang w:val="en-US"/>
        </w:rPr>
      </w:pPr>
    </w:p>
    <w:p w14:paraId="4C3BD61A" w14:textId="77777777" w:rsidR="00D7184C" w:rsidRDefault="00D7184C" w:rsidP="00D7184C">
      <w:pPr>
        <w:spacing w:line="360" w:lineRule="auto"/>
        <w:rPr>
          <w:lang w:val="en-US"/>
        </w:rPr>
      </w:pPr>
    </w:p>
    <w:p w14:paraId="20E18FC7" w14:textId="77777777" w:rsidR="00D7184C" w:rsidRDefault="00D7184C" w:rsidP="00D7184C">
      <w:pPr>
        <w:spacing w:line="360" w:lineRule="auto"/>
        <w:rPr>
          <w:lang w:val="en-US"/>
        </w:rPr>
      </w:pPr>
    </w:p>
    <w:p w14:paraId="53432103" w14:textId="77777777" w:rsidR="00D7184C" w:rsidRDefault="00D7184C" w:rsidP="00D7184C">
      <w:pPr>
        <w:spacing w:line="360" w:lineRule="auto"/>
        <w:rPr>
          <w:lang w:val="en-US"/>
        </w:rPr>
      </w:pPr>
    </w:p>
    <w:p w14:paraId="775BF5C0" w14:textId="77777777" w:rsidR="00D7184C" w:rsidRDefault="00D7184C" w:rsidP="00D7184C">
      <w:pPr>
        <w:spacing w:line="360" w:lineRule="auto"/>
        <w:rPr>
          <w:lang w:val="en-US"/>
        </w:rPr>
      </w:pPr>
    </w:p>
    <w:p w14:paraId="10042F2C" w14:textId="77777777" w:rsidR="00D7184C" w:rsidRDefault="00D7184C" w:rsidP="00D7184C">
      <w:pPr>
        <w:spacing w:line="360" w:lineRule="auto"/>
        <w:rPr>
          <w:lang w:val="en-US"/>
        </w:rPr>
      </w:pPr>
    </w:p>
    <w:p w14:paraId="07BA9800" w14:textId="77777777" w:rsidR="00D7184C" w:rsidRDefault="00D7184C" w:rsidP="00D7184C">
      <w:pPr>
        <w:spacing w:line="360" w:lineRule="auto"/>
        <w:rPr>
          <w:lang w:val="en-US"/>
        </w:rPr>
      </w:pPr>
    </w:p>
    <w:p w14:paraId="0FD8F889" w14:textId="77777777" w:rsidR="00D7184C" w:rsidRDefault="00D7184C" w:rsidP="00D7184C">
      <w:pPr>
        <w:spacing w:line="360" w:lineRule="auto"/>
        <w:rPr>
          <w:lang w:val="en-US"/>
        </w:rPr>
      </w:pPr>
    </w:p>
    <w:p w14:paraId="0D82C7E1" w14:textId="77777777" w:rsidR="00D7184C" w:rsidRDefault="00D7184C" w:rsidP="00D7184C">
      <w:pPr>
        <w:spacing w:line="360" w:lineRule="auto"/>
        <w:rPr>
          <w:lang w:val="en-US"/>
        </w:rPr>
      </w:pPr>
    </w:p>
    <w:p w14:paraId="03D42678" w14:textId="77777777" w:rsidR="00D7184C" w:rsidRDefault="00D7184C" w:rsidP="00D7184C">
      <w:pPr>
        <w:spacing w:line="360" w:lineRule="auto"/>
        <w:rPr>
          <w:lang w:val="en-US"/>
        </w:rPr>
      </w:pPr>
    </w:p>
    <w:p w14:paraId="62C0F726" w14:textId="77777777" w:rsidR="005C136E" w:rsidRDefault="005C136E" w:rsidP="00D7184C">
      <w:pPr>
        <w:spacing w:line="360" w:lineRule="auto"/>
        <w:rPr>
          <w:lang w:val="en-US"/>
        </w:rPr>
      </w:pPr>
    </w:p>
    <w:p w14:paraId="7DAE1397" w14:textId="71028FF8" w:rsidR="005C136E" w:rsidRDefault="005C136E" w:rsidP="00D7184C">
      <w:pPr>
        <w:spacing w:line="360" w:lineRule="auto"/>
        <w:rPr>
          <w:lang w:val="en-US"/>
        </w:rPr>
      </w:pPr>
      <w:r>
        <w:rPr>
          <w:lang w:val="en-US"/>
        </w:rPr>
        <w:t xml:space="preserve">References </w:t>
      </w:r>
    </w:p>
    <w:p w14:paraId="39E42F3E" w14:textId="77777777" w:rsidR="005C136E" w:rsidRDefault="005C136E" w:rsidP="00D7184C">
      <w:pPr>
        <w:spacing w:line="360" w:lineRule="auto"/>
        <w:rPr>
          <w:lang w:val="en-US"/>
        </w:rPr>
      </w:pPr>
    </w:p>
    <w:p w14:paraId="2FC85F6A" w14:textId="77777777" w:rsidR="005C136E" w:rsidRPr="005C136E" w:rsidRDefault="005C136E" w:rsidP="00D7184C">
      <w:pPr>
        <w:numPr>
          <w:ilvl w:val="0"/>
          <w:numId w:val="6"/>
        </w:numPr>
        <w:spacing w:line="360" w:lineRule="auto"/>
        <w:rPr>
          <w:lang w:val="en-US"/>
        </w:rPr>
      </w:pPr>
      <w:r w:rsidRPr="005C136E">
        <w:rPr>
          <w:lang w:val="en-US"/>
        </w:rPr>
        <w:t>Fennell, D. A. (2020). Tourism ethics (2nd ed.). Channel View Publications.</w:t>
      </w:r>
    </w:p>
    <w:p w14:paraId="3501384E" w14:textId="77777777" w:rsidR="005C136E" w:rsidRPr="005C136E" w:rsidRDefault="005C136E" w:rsidP="00D7184C">
      <w:pPr>
        <w:spacing w:line="360" w:lineRule="auto"/>
        <w:rPr>
          <w:lang w:val="en-US"/>
        </w:rPr>
      </w:pPr>
    </w:p>
    <w:p w14:paraId="0AD9D72A" w14:textId="77777777" w:rsidR="005C136E" w:rsidRPr="005C136E" w:rsidRDefault="005C136E" w:rsidP="00D7184C">
      <w:pPr>
        <w:numPr>
          <w:ilvl w:val="0"/>
          <w:numId w:val="6"/>
        </w:numPr>
        <w:spacing w:line="360" w:lineRule="auto"/>
        <w:rPr>
          <w:lang w:val="en-US"/>
        </w:rPr>
      </w:pPr>
      <w:proofErr w:type="spellStart"/>
      <w:r w:rsidRPr="005C136E">
        <w:rPr>
          <w:lang w:val="en-US"/>
        </w:rPr>
        <w:t>Gössling</w:t>
      </w:r>
      <w:proofErr w:type="spellEnd"/>
      <w:r w:rsidRPr="005C136E">
        <w:rPr>
          <w:lang w:val="en-US"/>
        </w:rPr>
        <w:t>, S., Hall, C. M., &amp; Weaver, D. (2009). Sustainable tourism futures. Journal of Sustainable Tourism, 17(5), 577–595. https://doi.org/10.1080/09669580903071949</w:t>
      </w:r>
    </w:p>
    <w:p w14:paraId="62201D07" w14:textId="77777777" w:rsidR="005C136E" w:rsidRPr="005C136E" w:rsidRDefault="005C136E" w:rsidP="00D7184C">
      <w:pPr>
        <w:spacing w:line="360" w:lineRule="auto"/>
        <w:rPr>
          <w:lang w:val="en-US"/>
        </w:rPr>
      </w:pPr>
    </w:p>
    <w:p w14:paraId="05068D48" w14:textId="77777777" w:rsidR="005C136E" w:rsidRPr="005C136E" w:rsidRDefault="005C136E" w:rsidP="00D7184C">
      <w:pPr>
        <w:numPr>
          <w:ilvl w:val="0"/>
          <w:numId w:val="6"/>
        </w:numPr>
        <w:spacing w:line="360" w:lineRule="auto"/>
        <w:rPr>
          <w:lang w:val="en-US"/>
        </w:rPr>
      </w:pPr>
      <w:r w:rsidRPr="005C136E">
        <w:rPr>
          <w:lang w:val="en-US"/>
        </w:rPr>
        <w:t>United Nations World Tourism Organization (UNWTO). (1980). Manila Declaration on World Tourism. Madrid: UNWTO.</w:t>
      </w:r>
    </w:p>
    <w:p w14:paraId="6766C0AC" w14:textId="77777777" w:rsidR="005C136E" w:rsidRPr="005C136E" w:rsidRDefault="005C136E" w:rsidP="00D7184C">
      <w:pPr>
        <w:spacing w:line="360" w:lineRule="auto"/>
        <w:rPr>
          <w:lang w:val="en-US"/>
        </w:rPr>
      </w:pPr>
    </w:p>
    <w:p w14:paraId="360F2B55" w14:textId="6BFA6531" w:rsidR="005C136E" w:rsidRPr="00FC0347" w:rsidRDefault="005C136E" w:rsidP="00D7184C">
      <w:pPr>
        <w:numPr>
          <w:ilvl w:val="0"/>
          <w:numId w:val="6"/>
        </w:numPr>
        <w:spacing w:line="360" w:lineRule="auto"/>
        <w:rPr>
          <w:lang w:val="en-US"/>
        </w:rPr>
      </w:pPr>
      <w:r w:rsidRPr="005C136E">
        <w:rPr>
          <w:lang w:val="en-US"/>
        </w:rPr>
        <w:t>United Nations World Tourism Organization (UNWTO). (2021). Tourism policy and governance. Madrid: UNWTO.</w:t>
      </w:r>
    </w:p>
    <w:sectPr w:rsidR="005C136E"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14052F9-66CE-41F3-8A97-F58CB28A0EDE}"/>
    <w:embedBold r:id="rId2" w:fontKey="{F4C3CA47-04EA-42E1-AE70-5B9CB460A23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34843D5-2432-4E84-BB80-199AFF766668}"/>
  </w:font>
  <w:font w:name="Aptos Narrow">
    <w:charset w:val="00"/>
    <w:family w:val="swiss"/>
    <w:pitch w:val="variable"/>
    <w:sig w:usb0="20000287" w:usb1="00000003" w:usb2="00000000" w:usb3="00000000" w:csb0="0000019F" w:csb1="00000000"/>
    <w:embedRegular r:id="rId4" w:fontKey="{899D3281-2663-4918-B33B-90C35EBFB503}"/>
  </w:font>
  <w:font w:name="Calibri Light">
    <w:panose1 w:val="020F0302020204030204"/>
    <w:charset w:val="00"/>
    <w:family w:val="swiss"/>
    <w:pitch w:val="variable"/>
    <w:sig w:usb0="E4002EFF" w:usb1="C000247B" w:usb2="00000009" w:usb3="00000000" w:csb0="000001FF" w:csb1="00000000"/>
    <w:embedRegular r:id="rId5" w:fontKey="{3611AFA4-47A4-466D-8FE5-B7AD41E63DD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D544D"/>
    <w:multiLevelType w:val="hybridMultilevel"/>
    <w:tmpl w:val="AB5A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5"/>
  </w:num>
  <w:num w:numId="2" w16cid:durableId="1152258877">
    <w:abstractNumId w:val="1"/>
  </w:num>
  <w:num w:numId="3" w16cid:durableId="1034308017">
    <w:abstractNumId w:val="2"/>
  </w:num>
  <w:num w:numId="4" w16cid:durableId="588469606">
    <w:abstractNumId w:val="4"/>
  </w:num>
  <w:num w:numId="5" w16cid:durableId="654380923">
    <w:abstractNumId w:val="3"/>
  </w:num>
  <w:num w:numId="6" w16cid:durableId="576475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132FF"/>
    <w:rsid w:val="0003533E"/>
    <w:rsid w:val="00072276"/>
    <w:rsid w:val="000760D4"/>
    <w:rsid w:val="001700EC"/>
    <w:rsid w:val="00174BB1"/>
    <w:rsid w:val="0019504D"/>
    <w:rsid w:val="00195C08"/>
    <w:rsid w:val="00224FD9"/>
    <w:rsid w:val="0025011C"/>
    <w:rsid w:val="002565DA"/>
    <w:rsid w:val="00264E12"/>
    <w:rsid w:val="002F4AE0"/>
    <w:rsid w:val="00384E8A"/>
    <w:rsid w:val="003D1074"/>
    <w:rsid w:val="00426865"/>
    <w:rsid w:val="00477CAA"/>
    <w:rsid w:val="00481859"/>
    <w:rsid w:val="00502E29"/>
    <w:rsid w:val="00525072"/>
    <w:rsid w:val="005C136E"/>
    <w:rsid w:val="005E458B"/>
    <w:rsid w:val="005E61E7"/>
    <w:rsid w:val="00655624"/>
    <w:rsid w:val="00661030"/>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A6E6F"/>
    <w:rsid w:val="00BE65DD"/>
    <w:rsid w:val="00C21EBA"/>
    <w:rsid w:val="00C612A4"/>
    <w:rsid w:val="00C70025"/>
    <w:rsid w:val="00CC6AD1"/>
    <w:rsid w:val="00CD620A"/>
    <w:rsid w:val="00D7184C"/>
    <w:rsid w:val="00DA47A1"/>
    <w:rsid w:val="00E06B94"/>
    <w:rsid w:val="00E16E66"/>
    <w:rsid w:val="00E6778A"/>
    <w:rsid w:val="00EA737F"/>
    <w:rsid w:val="00F14B16"/>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2026-01-20T13:29:00Z</dcterms:created>
  <dcterms:modified xsi:type="dcterms:W3CDTF">2026-01-20T13:29:00Z</dcterms:modified>
</cp:coreProperties>
</file>