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848A44">
      <w:pPr>
        <w:rPr>
          <w:lang w:val="en-AU"/>
        </w:rPr>
      </w:pPr>
      <w:r>
        <w:rPr>
          <w:lang w:val="en-AU"/>
        </w:rPr>
        <w:drawing>
          <wp:anchor distT="0" distB="0" distL="114300" distR="114300" simplePos="0" relativeHeight="251659264"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anchor>
        </w:drawing>
      </w:r>
    </w:p>
    <w:p w14:paraId="71B928DE">
      <w:pPr>
        <w:rPr>
          <w:b/>
          <w:bCs/>
          <w:lang w:val="en-AU"/>
        </w:rPr>
      </w:pPr>
      <w:r>
        <w:rPr>
          <w:b/>
          <w:bCs/>
          <w:lang w:val="en-AU"/>
        </w:rPr>
        <w:t xml:space="preserve">Tourist Regions and Attractions Course </w:t>
      </w:r>
    </w:p>
    <w:p w14:paraId="6761C881">
      <w:pPr>
        <w:rPr>
          <w:lang w:val="en-AU"/>
        </w:rPr>
      </w:pPr>
      <w:r>
        <w:rPr>
          <w:lang w:val="en-AU"/>
        </w:rPr>
        <w:t>Assignment 1</w:t>
      </w:r>
    </w:p>
    <w:p w14:paraId="558474E4">
      <w:pPr>
        <w:rPr>
          <w:rFonts w:hint="default"/>
          <w:lang w:val="de-DE"/>
        </w:rPr>
      </w:pPr>
      <w:r>
        <w:rPr>
          <w:rFonts w:hint="default"/>
          <w:lang w:val="de-DE"/>
        </w:rPr>
        <w:t xml:space="preserve">Student Name - Ajay Kumar </w:t>
      </w:r>
    </w:p>
    <w:p w14:paraId="5EDF8936">
      <w:pPr>
        <w:rPr>
          <w:rFonts w:hint="default"/>
          <w:lang w:val="de-DE"/>
        </w:rPr>
      </w:pPr>
      <w:r>
        <w:rPr>
          <w:rFonts w:hint="default"/>
          <w:lang w:val="de-DE"/>
        </w:rPr>
        <w:t>Student ID - DE240022</w:t>
      </w:r>
      <w:bookmarkStart w:id="0" w:name="_GoBack"/>
      <w:bookmarkEnd w:id="0"/>
    </w:p>
    <w:p w14:paraId="2D55E072">
      <w:pPr>
        <w:rPr>
          <w:lang w:val="en-AU"/>
        </w:rPr>
      </w:pPr>
      <w:r>
        <w:rPr>
          <w:lang w:val="en-AU"/>
        </w:rPr>
        <w:t>02.05.2025</w:t>
      </w:r>
    </w:p>
    <w:p w14:paraId="52903840">
      <w:pPr>
        <w:rPr>
          <w:lang w:val="en-AU"/>
        </w:rPr>
      </w:pPr>
    </w:p>
    <w:p w14:paraId="01CAC9FE">
      <w:pPr>
        <w:rPr>
          <w:lang w:val="en-AU"/>
        </w:rPr>
      </w:pPr>
    </w:p>
    <w:p w14:paraId="5BB3C779">
      <w:pPr>
        <w:rPr>
          <w:lang w:val="en-AU"/>
        </w:rPr>
      </w:pPr>
    </w:p>
    <w:p w14:paraId="1AF861A0">
      <w:pPr>
        <w:rPr>
          <w:lang w:val="en-AU"/>
        </w:rPr>
      </w:pPr>
    </w:p>
    <w:p w14:paraId="45C5FA7C">
      <w:pPr>
        <w:rPr>
          <w:lang w:val="en-AU"/>
        </w:rPr>
      </w:pPr>
    </w:p>
    <w:p w14:paraId="57274C33">
      <w:pPr>
        <w:rPr>
          <w:lang w:val="en-AU"/>
        </w:rPr>
      </w:pPr>
    </w:p>
    <w:p w14:paraId="19A3229C">
      <w:pPr>
        <w:rPr>
          <w:lang w:val="en-AU"/>
        </w:rPr>
      </w:pPr>
    </w:p>
    <w:p w14:paraId="22738B99">
      <w:pPr>
        <w:spacing w:line="480" w:lineRule="auto"/>
        <w:jc w:val="both"/>
        <w:rPr>
          <w:rFonts w:ascii="Calibri" w:hAnsi="Calibri" w:cs="Calibri"/>
          <w:b/>
          <w:bCs/>
          <w:lang w:val="en-AU"/>
        </w:rPr>
      </w:pPr>
      <w:r>
        <w:rPr>
          <w:rFonts w:ascii="Calibri" w:hAnsi="Calibri" w:cs="Calibri"/>
          <w:b/>
          <w:bCs/>
          <w:lang w:val="en-AU"/>
        </w:rPr>
        <w:t>1- Please describe the Explorer and Charter tourist types, highlighting the core characteristics of each segment and the key differences between the two segments, according to Smith's typology of tourist.</w:t>
      </w:r>
    </w:p>
    <w:p w14:paraId="1F044688">
      <w:pPr>
        <w:spacing w:line="480" w:lineRule="auto"/>
        <w:jc w:val="both"/>
        <w:rPr>
          <w:rFonts w:ascii="Calibri" w:hAnsi="Calibri" w:cs="Calibri"/>
          <w:lang w:val="en-AU"/>
        </w:rPr>
      </w:pPr>
    </w:p>
    <w:p w14:paraId="6AB7CE46">
      <w:pPr>
        <w:spacing w:line="480" w:lineRule="auto"/>
        <w:jc w:val="both"/>
        <w:rPr>
          <w:rFonts w:ascii="Calibri" w:hAnsi="Calibri" w:cs="Calibri"/>
          <w:b/>
          <w:bCs/>
          <w:lang w:val="en-AU"/>
        </w:rPr>
      </w:pPr>
      <w:r>
        <w:rPr>
          <w:rFonts w:ascii="Calibri" w:hAnsi="Calibri" w:cs="Calibri"/>
          <w:b/>
          <w:bCs/>
          <w:lang w:val="en-AU"/>
        </w:rPr>
        <w:t>1. Explorer vs. Charter Tourists (Smith’s Typology)</w:t>
      </w:r>
    </w:p>
    <w:p w14:paraId="348F3E7B">
      <w:pPr>
        <w:spacing w:line="480" w:lineRule="auto"/>
        <w:jc w:val="both"/>
        <w:rPr>
          <w:rFonts w:ascii="Calibri" w:hAnsi="Calibri" w:cs="Calibri"/>
          <w:b/>
          <w:bCs/>
          <w:lang w:val="en-AU"/>
        </w:rPr>
      </w:pPr>
      <w:r>
        <w:rPr>
          <w:rFonts w:ascii="Calibri" w:hAnsi="Calibri" w:cs="Calibri"/>
          <w:b/>
          <w:bCs/>
          <w:lang w:val="en-AU"/>
        </w:rPr>
        <w:t>1.1 The Introduction of Smith’s Typology</w:t>
      </w:r>
    </w:p>
    <w:p w14:paraId="765CC3F4">
      <w:pPr>
        <w:spacing w:line="480" w:lineRule="auto"/>
        <w:jc w:val="both"/>
        <w:rPr>
          <w:rFonts w:ascii="Calibri" w:hAnsi="Calibri" w:cs="Calibri"/>
          <w:lang w:val="en-AU"/>
        </w:rPr>
      </w:pPr>
      <w:r>
        <w:rPr>
          <w:rFonts w:ascii="Calibri" w:hAnsi="Calibri" w:cs="Calibri"/>
          <w:lang w:val="en-AU"/>
        </w:rPr>
        <w:t>Valene L. Smith's seminal work in Hosts and Guests: The Anthropology of Tourism (1979; 1990) described a spectrum of tourist types characterised by their desire to adapt to local customs and their quest for a real experience or not, as the case may be. On the one hand, Explorers are the ones who actively interact with the locals, while on the other hand, Charter Tourists are those who are insulated in their world, within the mass-market offers (Leach &amp; Smith, 1979). According to Smith’s thesis, the interrelation between which market segment a tourist belongs to and his/her motivation, planning style, risk tolerance and cultural rapport defines the identification of a tourist character, each carrying with themselves the implications of destination development, marketing, and sustainability (Leach &amp; Smith, 1979). </w:t>
      </w:r>
    </w:p>
    <w:p w14:paraId="5FD66E96">
      <w:pPr>
        <w:spacing w:line="480" w:lineRule="auto"/>
        <w:jc w:val="both"/>
        <w:rPr>
          <w:rFonts w:ascii="Calibri" w:hAnsi="Calibri" w:cs="Calibri"/>
          <w:b/>
          <w:bCs/>
          <w:lang w:val="en-AU"/>
        </w:rPr>
      </w:pPr>
      <w:r>
        <w:rPr>
          <w:rFonts w:ascii="Calibri" w:hAnsi="Calibri" w:cs="Calibri"/>
          <w:b/>
          <w:bCs/>
          <w:lang w:val="en-AU"/>
        </w:rPr>
        <w:t>1.2 Explorer Tourists</w:t>
      </w:r>
    </w:p>
    <w:p w14:paraId="405D4F94">
      <w:pPr>
        <w:spacing w:line="480" w:lineRule="auto"/>
        <w:jc w:val="both"/>
        <w:rPr>
          <w:rFonts w:ascii="Calibri" w:hAnsi="Calibri" w:cs="Calibri"/>
          <w:lang w:val="en-AU"/>
        </w:rPr>
      </w:pPr>
      <w:r>
        <w:rPr>
          <w:rFonts w:ascii="Calibri" w:hAnsi="Calibri" w:cs="Calibri"/>
          <w:lang w:val="en-AU"/>
        </w:rPr>
        <w:t>Explorer Tourists are the ones who make their travel independently, and they always research, make reservations, and sometimes change their plans upon arrival based on local information, or serendipitously meet people. Explorers are driven by their curiosity and the need to learn about other cultures in an authentic way. They do not follow the tourist trail, i.e., they visit less-known places, dine at the house of a local or in local restaurants, use the local bus, etc. </w:t>
      </w:r>
    </w:p>
    <w:p w14:paraId="56C2A77F">
      <w:pPr>
        <w:spacing w:line="480" w:lineRule="auto"/>
        <w:jc w:val="both"/>
        <w:rPr>
          <w:rFonts w:ascii="Calibri" w:hAnsi="Calibri" w:cs="Calibri"/>
          <w:b/>
          <w:bCs/>
          <w:lang w:val="en-AU"/>
        </w:rPr>
      </w:pPr>
      <w:r>
        <w:rPr>
          <w:rFonts w:ascii="Calibri" w:hAnsi="Calibri" w:cs="Calibri"/>
          <w:b/>
          <w:bCs/>
          <w:lang w:val="en-AU"/>
        </w:rPr>
        <w:t>1.3 Charter Tourists</w:t>
      </w:r>
    </w:p>
    <w:p w14:paraId="6DF7CD21">
      <w:pPr>
        <w:spacing w:line="480" w:lineRule="auto"/>
        <w:jc w:val="both"/>
        <w:rPr>
          <w:rFonts w:ascii="Calibri" w:hAnsi="Calibri" w:cs="Calibri"/>
          <w:lang w:val="en-AU"/>
        </w:rPr>
      </w:pPr>
      <w:r>
        <w:rPr>
          <w:rFonts w:ascii="Calibri" w:hAnsi="Calibri" w:cs="Calibri"/>
          <w:lang w:val="en-AU"/>
        </w:rPr>
        <w:t>The other end of the continuum from the former type is held by Charter Tourists. These people predominantly make their travel through mass-tourism enterprises using products that are created with the tourist mindset charter flights, all-inclusive resorts, etc. The business is conducted on the plan planned by the tour operator, which includes time schedules, meals, and hotel reservations. In addition to this, the majority of the entertainment arrangements are also provided by the tour operator. Charter Tourists are the ones who require facilities at an internationally recognisable level (e.g., European-style food, shows, which are more familiar with them), fewer language puzzles, and, of course, the feeling of being in a no-risk environment (Richards &amp; Wilson, 2004). </w:t>
      </w:r>
    </w:p>
    <w:p w14:paraId="52E1DD00">
      <w:pPr>
        <w:spacing w:line="480" w:lineRule="auto"/>
        <w:jc w:val="both"/>
        <w:rPr>
          <w:rFonts w:ascii="Calibri" w:hAnsi="Calibri" w:cs="Calibri"/>
          <w:b/>
          <w:bCs/>
          <w:lang w:val="en-AU"/>
        </w:rPr>
      </w:pPr>
      <w:r>
        <w:rPr>
          <w:rFonts w:ascii="Calibri" w:hAnsi="Calibri" w:cs="Calibri"/>
          <w:b/>
          <w:bCs/>
          <w:lang w:val="en-AU"/>
        </w:rPr>
        <w:t>1.4 Comparative Analysis</w:t>
      </w:r>
    </w:p>
    <w:tbl>
      <w:tblPr>
        <w:tblStyle w:val="7"/>
        <w:tblW w:w="9065" w:type="dxa"/>
        <w:tblInd w:w="0" w:type="dxa"/>
        <w:tblLayout w:type="autofit"/>
        <w:tblCellMar>
          <w:top w:w="0" w:type="dxa"/>
          <w:left w:w="108" w:type="dxa"/>
          <w:bottom w:w="0" w:type="dxa"/>
          <w:right w:w="108" w:type="dxa"/>
        </w:tblCellMar>
      </w:tblPr>
      <w:tblGrid>
        <w:gridCol w:w="1939"/>
        <w:gridCol w:w="3411"/>
        <w:gridCol w:w="3715"/>
      </w:tblGrid>
      <w:tr w14:paraId="1201EFA9">
        <w:trPr>
          <w:trHeight w:val="555" w:hRule="atLeast"/>
        </w:trPr>
        <w:tc>
          <w:tcPr>
            <w:tcW w:w="1939" w:type="dxa"/>
            <w:tcBorders>
              <w:top w:val="single" w:color="auto" w:sz="4" w:space="0"/>
              <w:left w:val="single" w:color="auto" w:sz="4" w:space="0"/>
              <w:bottom w:val="single" w:color="auto" w:sz="4" w:space="0"/>
              <w:right w:val="single" w:color="auto" w:sz="4" w:space="0"/>
            </w:tcBorders>
            <w:shd w:val="clear" w:color="auto" w:fill="auto"/>
            <w:vAlign w:val="center"/>
          </w:tcPr>
          <w:p w14:paraId="6BC9AFEF">
            <w:pPr>
              <w:spacing w:line="480" w:lineRule="auto"/>
              <w:jc w:val="both"/>
              <w:rPr>
                <w:rFonts w:ascii="Calibri" w:hAnsi="Calibri" w:eastAsia="Times New Roman" w:cs="Calibri"/>
                <w:b/>
                <w:bCs/>
                <w:color w:val="000000"/>
                <w:kern w:val="0"/>
                <w:lang w:val="en-IN" w:eastAsia="en-IN"/>
                <w14:ligatures w14:val="none"/>
              </w:rPr>
            </w:pPr>
            <w:r>
              <w:rPr>
                <w:rFonts w:ascii="Calibri" w:hAnsi="Calibri" w:eastAsia="Times New Roman" w:cs="Calibri"/>
                <w:b/>
                <w:bCs/>
                <w:color w:val="000000"/>
                <w:kern w:val="0"/>
                <w:lang w:val="en-IN" w:eastAsia="en-IN"/>
                <w14:ligatures w14:val="none"/>
              </w:rPr>
              <w:t>Dimension</w:t>
            </w:r>
          </w:p>
        </w:tc>
        <w:tc>
          <w:tcPr>
            <w:tcW w:w="3411" w:type="dxa"/>
            <w:tcBorders>
              <w:top w:val="single" w:color="auto" w:sz="4" w:space="0"/>
              <w:left w:val="nil"/>
              <w:bottom w:val="single" w:color="auto" w:sz="4" w:space="0"/>
              <w:right w:val="single" w:color="auto" w:sz="4" w:space="0"/>
            </w:tcBorders>
            <w:shd w:val="clear" w:color="auto" w:fill="auto"/>
            <w:vAlign w:val="center"/>
          </w:tcPr>
          <w:p w14:paraId="336F63A7">
            <w:pPr>
              <w:spacing w:line="480" w:lineRule="auto"/>
              <w:jc w:val="both"/>
              <w:rPr>
                <w:rFonts w:ascii="Calibri" w:hAnsi="Calibri" w:eastAsia="Times New Roman" w:cs="Calibri"/>
                <w:b/>
                <w:bCs/>
                <w:color w:val="000000"/>
                <w:kern w:val="0"/>
                <w:lang w:val="en-IN" w:eastAsia="en-IN"/>
                <w14:ligatures w14:val="none"/>
              </w:rPr>
            </w:pPr>
            <w:r>
              <w:rPr>
                <w:rFonts w:ascii="Calibri" w:hAnsi="Calibri" w:eastAsia="Times New Roman" w:cs="Calibri"/>
                <w:b/>
                <w:bCs/>
                <w:color w:val="000000"/>
                <w:kern w:val="0"/>
                <w:lang w:val="en-IN" w:eastAsia="en-IN"/>
                <w14:ligatures w14:val="none"/>
              </w:rPr>
              <w:t>Explorer Tourists</w:t>
            </w:r>
          </w:p>
        </w:tc>
        <w:tc>
          <w:tcPr>
            <w:tcW w:w="3715" w:type="dxa"/>
            <w:tcBorders>
              <w:top w:val="single" w:color="auto" w:sz="4" w:space="0"/>
              <w:left w:val="nil"/>
              <w:bottom w:val="single" w:color="auto" w:sz="4" w:space="0"/>
              <w:right w:val="single" w:color="auto" w:sz="4" w:space="0"/>
            </w:tcBorders>
            <w:shd w:val="clear" w:color="auto" w:fill="auto"/>
            <w:vAlign w:val="center"/>
          </w:tcPr>
          <w:p w14:paraId="534ED303">
            <w:pPr>
              <w:spacing w:line="480" w:lineRule="auto"/>
              <w:jc w:val="both"/>
              <w:rPr>
                <w:rFonts w:ascii="Calibri" w:hAnsi="Calibri" w:eastAsia="Times New Roman" w:cs="Calibri"/>
                <w:b/>
                <w:bCs/>
                <w:color w:val="000000"/>
                <w:kern w:val="0"/>
                <w:lang w:val="en-IN" w:eastAsia="en-IN"/>
                <w14:ligatures w14:val="none"/>
              </w:rPr>
            </w:pPr>
            <w:r>
              <w:rPr>
                <w:rFonts w:ascii="Calibri" w:hAnsi="Calibri" w:eastAsia="Times New Roman" w:cs="Calibri"/>
                <w:b/>
                <w:bCs/>
                <w:color w:val="000000"/>
                <w:kern w:val="0"/>
                <w:lang w:val="en-IN" w:eastAsia="en-IN"/>
                <w14:ligatures w14:val="none"/>
              </w:rPr>
              <w:t>Charter Tourists</w:t>
            </w:r>
          </w:p>
        </w:tc>
      </w:tr>
      <w:tr w14:paraId="680141F8">
        <w:trPr>
          <w:trHeight w:val="555" w:hRule="atLeast"/>
        </w:trPr>
        <w:tc>
          <w:tcPr>
            <w:tcW w:w="1939" w:type="dxa"/>
            <w:tcBorders>
              <w:top w:val="nil"/>
              <w:left w:val="single" w:color="auto" w:sz="4" w:space="0"/>
              <w:bottom w:val="single" w:color="auto" w:sz="4" w:space="0"/>
              <w:right w:val="single" w:color="auto" w:sz="4" w:space="0"/>
            </w:tcBorders>
            <w:shd w:val="clear" w:color="auto" w:fill="auto"/>
            <w:vAlign w:val="center"/>
          </w:tcPr>
          <w:p w14:paraId="6F53EA80">
            <w:pPr>
              <w:spacing w:line="480" w:lineRule="auto"/>
              <w:jc w:val="both"/>
              <w:rPr>
                <w:rFonts w:ascii="Calibri" w:hAnsi="Calibri" w:eastAsia="Times New Roman" w:cs="Calibri"/>
                <w:b/>
                <w:bCs/>
                <w:color w:val="000000"/>
                <w:kern w:val="0"/>
                <w:lang w:val="en-IN" w:eastAsia="en-IN"/>
                <w14:ligatures w14:val="none"/>
              </w:rPr>
            </w:pPr>
            <w:r>
              <w:rPr>
                <w:rFonts w:ascii="Calibri" w:hAnsi="Calibri" w:eastAsia="Times New Roman" w:cs="Calibri"/>
                <w:b/>
                <w:bCs/>
                <w:color w:val="000000"/>
                <w:kern w:val="0"/>
                <w:lang w:val="en-IN" w:eastAsia="en-IN"/>
                <w14:ligatures w14:val="none"/>
              </w:rPr>
              <w:t>Motivation</w:t>
            </w:r>
          </w:p>
        </w:tc>
        <w:tc>
          <w:tcPr>
            <w:tcW w:w="3411" w:type="dxa"/>
            <w:tcBorders>
              <w:top w:val="nil"/>
              <w:left w:val="nil"/>
              <w:bottom w:val="single" w:color="auto" w:sz="4" w:space="0"/>
              <w:right w:val="single" w:color="auto" w:sz="4" w:space="0"/>
            </w:tcBorders>
            <w:shd w:val="clear" w:color="auto" w:fill="auto"/>
            <w:vAlign w:val="center"/>
          </w:tcPr>
          <w:p w14:paraId="015834FA">
            <w:pPr>
              <w:spacing w:line="480" w:lineRule="auto"/>
              <w:rPr>
                <w:rFonts w:ascii="Calibri" w:hAnsi="Calibri" w:eastAsia="Times New Roman" w:cs="Calibri"/>
                <w:color w:val="000000"/>
                <w:kern w:val="0"/>
                <w:lang w:val="en-IN" w:eastAsia="en-IN"/>
                <w14:ligatures w14:val="none"/>
              </w:rPr>
            </w:pPr>
            <w:r>
              <w:rPr>
                <w:rFonts w:ascii="Calibri" w:hAnsi="Calibri" w:eastAsia="Times New Roman" w:cs="Calibri"/>
                <w:color w:val="000000"/>
                <w:kern w:val="0"/>
                <w:lang w:val="en-IN" w:eastAsia="en-IN"/>
                <w14:ligatures w14:val="none"/>
              </w:rPr>
              <w:t>Authenticity, learning, cultural exchange</w:t>
            </w:r>
          </w:p>
        </w:tc>
        <w:tc>
          <w:tcPr>
            <w:tcW w:w="3715" w:type="dxa"/>
            <w:tcBorders>
              <w:top w:val="nil"/>
              <w:left w:val="nil"/>
              <w:bottom w:val="single" w:color="auto" w:sz="4" w:space="0"/>
              <w:right w:val="single" w:color="auto" w:sz="4" w:space="0"/>
            </w:tcBorders>
            <w:shd w:val="clear" w:color="auto" w:fill="auto"/>
            <w:vAlign w:val="center"/>
          </w:tcPr>
          <w:p w14:paraId="2FF513B1">
            <w:pPr>
              <w:spacing w:line="480" w:lineRule="auto"/>
              <w:rPr>
                <w:rFonts w:ascii="Calibri" w:hAnsi="Calibri" w:eastAsia="Times New Roman" w:cs="Calibri"/>
                <w:color w:val="000000"/>
                <w:kern w:val="0"/>
                <w:lang w:val="en-IN" w:eastAsia="en-IN"/>
                <w14:ligatures w14:val="none"/>
              </w:rPr>
            </w:pPr>
            <w:r>
              <w:rPr>
                <w:rFonts w:ascii="Calibri" w:hAnsi="Calibri" w:eastAsia="Times New Roman" w:cs="Calibri"/>
                <w:color w:val="000000"/>
                <w:kern w:val="0"/>
                <w:lang w:val="en-IN" w:eastAsia="en-IN"/>
                <w14:ligatures w14:val="none"/>
              </w:rPr>
              <w:t>Relaxation, convenience, escape</w:t>
            </w:r>
          </w:p>
        </w:tc>
      </w:tr>
      <w:tr w14:paraId="0B8A1EB4">
        <w:trPr>
          <w:trHeight w:val="555" w:hRule="atLeast"/>
        </w:trPr>
        <w:tc>
          <w:tcPr>
            <w:tcW w:w="1939" w:type="dxa"/>
            <w:tcBorders>
              <w:top w:val="nil"/>
              <w:left w:val="single" w:color="auto" w:sz="4" w:space="0"/>
              <w:bottom w:val="single" w:color="auto" w:sz="4" w:space="0"/>
              <w:right w:val="single" w:color="auto" w:sz="4" w:space="0"/>
            </w:tcBorders>
            <w:shd w:val="clear" w:color="auto" w:fill="auto"/>
            <w:vAlign w:val="center"/>
          </w:tcPr>
          <w:p w14:paraId="134CB62E">
            <w:pPr>
              <w:spacing w:line="480" w:lineRule="auto"/>
              <w:jc w:val="both"/>
              <w:rPr>
                <w:rFonts w:ascii="Calibri" w:hAnsi="Calibri" w:eastAsia="Times New Roman" w:cs="Calibri"/>
                <w:b/>
                <w:bCs/>
                <w:color w:val="000000"/>
                <w:kern w:val="0"/>
                <w:lang w:val="en-IN" w:eastAsia="en-IN"/>
                <w14:ligatures w14:val="none"/>
              </w:rPr>
            </w:pPr>
            <w:r>
              <w:rPr>
                <w:rFonts w:ascii="Calibri" w:hAnsi="Calibri" w:eastAsia="Times New Roman" w:cs="Calibri"/>
                <w:b/>
                <w:bCs/>
                <w:color w:val="000000"/>
                <w:kern w:val="0"/>
                <w:lang w:val="en-IN" w:eastAsia="en-IN"/>
                <w14:ligatures w14:val="none"/>
              </w:rPr>
              <w:t>Planning Style</w:t>
            </w:r>
          </w:p>
        </w:tc>
        <w:tc>
          <w:tcPr>
            <w:tcW w:w="3411" w:type="dxa"/>
            <w:tcBorders>
              <w:top w:val="nil"/>
              <w:left w:val="nil"/>
              <w:bottom w:val="single" w:color="auto" w:sz="4" w:space="0"/>
              <w:right w:val="single" w:color="auto" w:sz="4" w:space="0"/>
            </w:tcBorders>
            <w:shd w:val="clear" w:color="auto" w:fill="auto"/>
            <w:vAlign w:val="center"/>
          </w:tcPr>
          <w:p w14:paraId="00F5ADE0">
            <w:pPr>
              <w:spacing w:line="480" w:lineRule="auto"/>
              <w:rPr>
                <w:rFonts w:ascii="Calibri" w:hAnsi="Calibri" w:eastAsia="Times New Roman" w:cs="Calibri"/>
                <w:color w:val="000000"/>
                <w:kern w:val="0"/>
                <w:lang w:val="en-IN" w:eastAsia="en-IN"/>
                <w14:ligatures w14:val="none"/>
              </w:rPr>
            </w:pPr>
            <w:r>
              <w:rPr>
                <w:rFonts w:ascii="Calibri" w:hAnsi="Calibri" w:eastAsia="Times New Roman" w:cs="Calibri"/>
                <w:color w:val="000000"/>
                <w:kern w:val="0"/>
                <w:lang w:val="en-IN" w:eastAsia="en-IN"/>
                <w14:ligatures w14:val="none"/>
              </w:rPr>
              <w:t>Self‐organized, flexible, adaptive</w:t>
            </w:r>
          </w:p>
        </w:tc>
        <w:tc>
          <w:tcPr>
            <w:tcW w:w="3715" w:type="dxa"/>
            <w:tcBorders>
              <w:top w:val="nil"/>
              <w:left w:val="nil"/>
              <w:bottom w:val="single" w:color="auto" w:sz="4" w:space="0"/>
              <w:right w:val="single" w:color="auto" w:sz="4" w:space="0"/>
            </w:tcBorders>
            <w:shd w:val="clear" w:color="auto" w:fill="auto"/>
            <w:vAlign w:val="center"/>
          </w:tcPr>
          <w:p w14:paraId="6C1C0F76">
            <w:pPr>
              <w:spacing w:line="480" w:lineRule="auto"/>
              <w:rPr>
                <w:rFonts w:ascii="Calibri" w:hAnsi="Calibri" w:eastAsia="Times New Roman" w:cs="Calibri"/>
                <w:color w:val="000000"/>
                <w:kern w:val="0"/>
                <w:lang w:val="en-IN" w:eastAsia="en-IN"/>
                <w14:ligatures w14:val="none"/>
              </w:rPr>
            </w:pPr>
            <w:r>
              <w:rPr>
                <w:rFonts w:ascii="Calibri" w:hAnsi="Calibri" w:eastAsia="Times New Roman" w:cs="Calibri"/>
                <w:color w:val="000000"/>
                <w:kern w:val="0"/>
                <w:lang w:val="en-IN" w:eastAsia="en-IN"/>
                <w14:ligatures w14:val="none"/>
              </w:rPr>
              <w:t>Operator‐organized, fixed, standardized</w:t>
            </w:r>
          </w:p>
        </w:tc>
      </w:tr>
      <w:tr w14:paraId="6CB1C103">
        <w:trPr>
          <w:trHeight w:val="555" w:hRule="atLeast"/>
        </w:trPr>
        <w:tc>
          <w:tcPr>
            <w:tcW w:w="1939" w:type="dxa"/>
            <w:tcBorders>
              <w:top w:val="nil"/>
              <w:left w:val="single" w:color="auto" w:sz="4" w:space="0"/>
              <w:bottom w:val="single" w:color="auto" w:sz="4" w:space="0"/>
              <w:right w:val="single" w:color="auto" w:sz="4" w:space="0"/>
            </w:tcBorders>
            <w:shd w:val="clear" w:color="auto" w:fill="auto"/>
            <w:vAlign w:val="center"/>
          </w:tcPr>
          <w:p w14:paraId="4CC88F92">
            <w:pPr>
              <w:spacing w:line="480" w:lineRule="auto"/>
              <w:jc w:val="both"/>
              <w:rPr>
                <w:rFonts w:ascii="Calibri" w:hAnsi="Calibri" w:eastAsia="Times New Roman" w:cs="Calibri"/>
                <w:b/>
                <w:bCs/>
                <w:color w:val="000000"/>
                <w:kern w:val="0"/>
                <w:lang w:val="en-IN" w:eastAsia="en-IN"/>
                <w14:ligatures w14:val="none"/>
              </w:rPr>
            </w:pPr>
            <w:r>
              <w:rPr>
                <w:rFonts w:ascii="Calibri" w:hAnsi="Calibri" w:eastAsia="Times New Roman" w:cs="Calibri"/>
                <w:b/>
                <w:bCs/>
                <w:color w:val="000000"/>
                <w:kern w:val="0"/>
                <w:lang w:val="en-IN" w:eastAsia="en-IN"/>
                <w14:ligatures w14:val="none"/>
              </w:rPr>
              <w:t>Risk Tolerance</w:t>
            </w:r>
          </w:p>
        </w:tc>
        <w:tc>
          <w:tcPr>
            <w:tcW w:w="3411" w:type="dxa"/>
            <w:tcBorders>
              <w:top w:val="nil"/>
              <w:left w:val="nil"/>
              <w:bottom w:val="single" w:color="auto" w:sz="4" w:space="0"/>
              <w:right w:val="single" w:color="auto" w:sz="4" w:space="0"/>
            </w:tcBorders>
            <w:shd w:val="clear" w:color="auto" w:fill="auto"/>
            <w:vAlign w:val="center"/>
          </w:tcPr>
          <w:p w14:paraId="4538A603">
            <w:pPr>
              <w:spacing w:line="480" w:lineRule="auto"/>
              <w:rPr>
                <w:rFonts w:ascii="Calibri" w:hAnsi="Calibri" w:eastAsia="Times New Roman" w:cs="Calibri"/>
                <w:color w:val="000000"/>
                <w:kern w:val="0"/>
                <w:lang w:val="en-IN" w:eastAsia="en-IN"/>
                <w14:ligatures w14:val="none"/>
              </w:rPr>
            </w:pPr>
            <w:r>
              <w:rPr>
                <w:rFonts w:ascii="Calibri" w:hAnsi="Calibri" w:eastAsia="Times New Roman" w:cs="Calibri"/>
                <w:color w:val="000000"/>
                <w:kern w:val="0"/>
                <w:lang w:val="en-IN" w:eastAsia="en-IN"/>
                <w14:ligatures w14:val="none"/>
              </w:rPr>
              <w:t>High embraces uncertainty as part of the experience</w:t>
            </w:r>
          </w:p>
        </w:tc>
        <w:tc>
          <w:tcPr>
            <w:tcW w:w="3715" w:type="dxa"/>
            <w:tcBorders>
              <w:top w:val="nil"/>
              <w:left w:val="nil"/>
              <w:bottom w:val="single" w:color="auto" w:sz="4" w:space="0"/>
              <w:right w:val="single" w:color="auto" w:sz="4" w:space="0"/>
            </w:tcBorders>
            <w:shd w:val="clear" w:color="auto" w:fill="auto"/>
            <w:vAlign w:val="center"/>
          </w:tcPr>
          <w:p w14:paraId="29458FFE">
            <w:pPr>
              <w:spacing w:line="480" w:lineRule="auto"/>
              <w:rPr>
                <w:rFonts w:ascii="Calibri" w:hAnsi="Calibri" w:eastAsia="Times New Roman" w:cs="Calibri"/>
                <w:color w:val="000000"/>
                <w:kern w:val="0"/>
                <w:lang w:val="en-IN" w:eastAsia="en-IN"/>
                <w14:ligatures w14:val="none"/>
              </w:rPr>
            </w:pPr>
            <w:r>
              <w:rPr>
                <w:rFonts w:ascii="Calibri" w:hAnsi="Calibri" w:eastAsia="Times New Roman" w:cs="Calibri"/>
                <w:color w:val="000000"/>
                <w:kern w:val="0"/>
                <w:lang w:val="en-IN" w:eastAsia="en-IN"/>
                <w14:ligatures w14:val="none"/>
              </w:rPr>
              <w:t>Low – seeks predictability and controlled environments</w:t>
            </w:r>
          </w:p>
        </w:tc>
      </w:tr>
      <w:tr w14:paraId="104E4CD7">
        <w:trPr>
          <w:trHeight w:val="555" w:hRule="atLeast"/>
        </w:trPr>
        <w:tc>
          <w:tcPr>
            <w:tcW w:w="1939" w:type="dxa"/>
            <w:tcBorders>
              <w:top w:val="nil"/>
              <w:left w:val="single" w:color="auto" w:sz="4" w:space="0"/>
              <w:bottom w:val="single" w:color="auto" w:sz="4" w:space="0"/>
              <w:right w:val="single" w:color="auto" w:sz="4" w:space="0"/>
            </w:tcBorders>
            <w:shd w:val="clear" w:color="auto" w:fill="auto"/>
            <w:vAlign w:val="center"/>
          </w:tcPr>
          <w:p w14:paraId="7A4683B3">
            <w:pPr>
              <w:spacing w:line="480" w:lineRule="auto"/>
              <w:jc w:val="both"/>
              <w:rPr>
                <w:rFonts w:ascii="Calibri" w:hAnsi="Calibri" w:eastAsia="Times New Roman" w:cs="Calibri"/>
                <w:b/>
                <w:bCs/>
                <w:color w:val="000000"/>
                <w:kern w:val="0"/>
                <w:lang w:val="en-IN" w:eastAsia="en-IN"/>
                <w14:ligatures w14:val="none"/>
              </w:rPr>
            </w:pPr>
            <w:r>
              <w:rPr>
                <w:rFonts w:ascii="Calibri" w:hAnsi="Calibri" w:eastAsia="Times New Roman" w:cs="Calibri"/>
                <w:b/>
                <w:bCs/>
                <w:color w:val="000000"/>
                <w:kern w:val="0"/>
                <w:lang w:val="en-IN" w:eastAsia="en-IN"/>
                <w14:ligatures w14:val="none"/>
              </w:rPr>
              <w:t>Cultural Contact</w:t>
            </w:r>
          </w:p>
        </w:tc>
        <w:tc>
          <w:tcPr>
            <w:tcW w:w="3411" w:type="dxa"/>
            <w:tcBorders>
              <w:top w:val="nil"/>
              <w:left w:val="nil"/>
              <w:bottom w:val="single" w:color="auto" w:sz="4" w:space="0"/>
              <w:right w:val="single" w:color="auto" w:sz="4" w:space="0"/>
            </w:tcBorders>
            <w:shd w:val="clear" w:color="auto" w:fill="auto"/>
            <w:vAlign w:val="center"/>
          </w:tcPr>
          <w:p w14:paraId="7E3774B7">
            <w:pPr>
              <w:spacing w:line="480" w:lineRule="auto"/>
              <w:rPr>
                <w:rFonts w:ascii="Calibri" w:hAnsi="Calibri" w:eastAsia="Times New Roman" w:cs="Calibri"/>
                <w:color w:val="000000"/>
                <w:kern w:val="0"/>
                <w:lang w:val="en-IN" w:eastAsia="en-IN"/>
                <w14:ligatures w14:val="none"/>
              </w:rPr>
            </w:pPr>
            <w:r>
              <w:rPr>
                <w:rFonts w:ascii="Calibri" w:hAnsi="Calibri" w:eastAsia="Times New Roman" w:cs="Calibri"/>
                <w:color w:val="000000"/>
                <w:kern w:val="0"/>
                <w:lang w:val="en-IN" w:eastAsia="en-IN"/>
                <w14:ligatures w14:val="none"/>
              </w:rPr>
              <w:t>Deep, informal interactions with local people and customs</w:t>
            </w:r>
          </w:p>
        </w:tc>
        <w:tc>
          <w:tcPr>
            <w:tcW w:w="3715" w:type="dxa"/>
            <w:tcBorders>
              <w:top w:val="nil"/>
              <w:left w:val="nil"/>
              <w:bottom w:val="single" w:color="auto" w:sz="4" w:space="0"/>
              <w:right w:val="single" w:color="auto" w:sz="4" w:space="0"/>
            </w:tcBorders>
            <w:shd w:val="clear" w:color="auto" w:fill="auto"/>
            <w:vAlign w:val="center"/>
          </w:tcPr>
          <w:p w14:paraId="30859913">
            <w:pPr>
              <w:spacing w:line="480" w:lineRule="auto"/>
              <w:rPr>
                <w:rFonts w:ascii="Calibri" w:hAnsi="Calibri" w:eastAsia="Times New Roman" w:cs="Calibri"/>
                <w:color w:val="000000"/>
                <w:kern w:val="0"/>
                <w:lang w:val="en-IN" w:eastAsia="en-IN"/>
                <w14:ligatures w14:val="none"/>
              </w:rPr>
            </w:pPr>
            <w:r>
              <w:rPr>
                <w:rFonts w:ascii="Calibri" w:hAnsi="Calibri" w:eastAsia="Times New Roman" w:cs="Calibri"/>
                <w:color w:val="000000"/>
                <w:kern w:val="0"/>
                <w:lang w:val="en-IN" w:eastAsia="en-IN"/>
                <w14:ligatures w14:val="none"/>
              </w:rPr>
              <w:t>Superficial, mediated through service staff in tourist enclaves</w:t>
            </w:r>
          </w:p>
        </w:tc>
      </w:tr>
      <w:tr w14:paraId="589387E8">
        <w:trPr>
          <w:trHeight w:val="833" w:hRule="atLeast"/>
        </w:trPr>
        <w:tc>
          <w:tcPr>
            <w:tcW w:w="1939" w:type="dxa"/>
            <w:tcBorders>
              <w:top w:val="nil"/>
              <w:left w:val="single" w:color="auto" w:sz="4" w:space="0"/>
              <w:bottom w:val="single" w:color="auto" w:sz="4" w:space="0"/>
              <w:right w:val="single" w:color="auto" w:sz="4" w:space="0"/>
            </w:tcBorders>
            <w:shd w:val="clear" w:color="auto" w:fill="auto"/>
            <w:vAlign w:val="center"/>
          </w:tcPr>
          <w:p w14:paraId="26E68CE7">
            <w:pPr>
              <w:spacing w:line="480" w:lineRule="auto"/>
              <w:jc w:val="both"/>
              <w:rPr>
                <w:rFonts w:ascii="Calibri" w:hAnsi="Calibri" w:eastAsia="Times New Roman" w:cs="Calibri"/>
                <w:b/>
                <w:bCs/>
                <w:color w:val="000000"/>
                <w:kern w:val="0"/>
                <w:lang w:val="en-IN" w:eastAsia="en-IN"/>
                <w14:ligatures w14:val="none"/>
              </w:rPr>
            </w:pPr>
            <w:r>
              <w:rPr>
                <w:rFonts w:ascii="Calibri" w:hAnsi="Calibri" w:eastAsia="Times New Roman" w:cs="Calibri"/>
                <w:b/>
                <w:bCs/>
                <w:color w:val="000000"/>
                <w:kern w:val="0"/>
                <w:lang w:val="en-IN" w:eastAsia="en-IN"/>
                <w14:ligatures w14:val="none"/>
              </w:rPr>
              <w:t>Comfort Level</w:t>
            </w:r>
          </w:p>
        </w:tc>
        <w:tc>
          <w:tcPr>
            <w:tcW w:w="3411" w:type="dxa"/>
            <w:tcBorders>
              <w:top w:val="nil"/>
              <w:left w:val="nil"/>
              <w:bottom w:val="single" w:color="auto" w:sz="4" w:space="0"/>
              <w:right w:val="single" w:color="auto" w:sz="4" w:space="0"/>
            </w:tcBorders>
            <w:shd w:val="clear" w:color="auto" w:fill="auto"/>
            <w:vAlign w:val="center"/>
          </w:tcPr>
          <w:p w14:paraId="75B8479E">
            <w:pPr>
              <w:spacing w:line="480" w:lineRule="auto"/>
              <w:rPr>
                <w:rFonts w:ascii="Calibri" w:hAnsi="Calibri" w:eastAsia="Times New Roman" w:cs="Calibri"/>
                <w:color w:val="000000"/>
                <w:kern w:val="0"/>
                <w:lang w:val="en-IN" w:eastAsia="en-IN"/>
                <w14:ligatures w14:val="none"/>
              </w:rPr>
            </w:pPr>
            <w:r>
              <w:rPr>
                <w:rFonts w:ascii="Calibri" w:hAnsi="Calibri" w:eastAsia="Times New Roman" w:cs="Calibri"/>
                <w:color w:val="000000"/>
                <w:kern w:val="0"/>
                <w:lang w:val="en-IN" w:eastAsia="en-IN"/>
                <w14:ligatures w14:val="none"/>
              </w:rPr>
              <w:t>Willing to forgo amenities for authenticity</w:t>
            </w:r>
          </w:p>
        </w:tc>
        <w:tc>
          <w:tcPr>
            <w:tcW w:w="3715" w:type="dxa"/>
            <w:tcBorders>
              <w:top w:val="nil"/>
              <w:left w:val="nil"/>
              <w:bottom w:val="single" w:color="auto" w:sz="4" w:space="0"/>
              <w:right w:val="single" w:color="auto" w:sz="4" w:space="0"/>
            </w:tcBorders>
            <w:shd w:val="clear" w:color="auto" w:fill="auto"/>
            <w:vAlign w:val="center"/>
          </w:tcPr>
          <w:p w14:paraId="39A0601A">
            <w:pPr>
              <w:spacing w:line="480" w:lineRule="auto"/>
              <w:rPr>
                <w:rFonts w:ascii="Calibri" w:hAnsi="Calibri" w:eastAsia="Times New Roman" w:cs="Calibri"/>
                <w:color w:val="000000"/>
                <w:kern w:val="0"/>
                <w:lang w:val="en-IN" w:eastAsia="en-IN"/>
                <w14:ligatures w14:val="none"/>
              </w:rPr>
            </w:pPr>
            <w:r>
              <w:rPr>
                <w:rFonts w:ascii="Calibri" w:hAnsi="Calibri" w:eastAsia="Times New Roman" w:cs="Calibri"/>
                <w:color w:val="000000"/>
                <w:kern w:val="0"/>
                <w:lang w:val="en-IN" w:eastAsia="en-IN"/>
                <w14:ligatures w14:val="none"/>
              </w:rPr>
              <w:t>High – expects international standards for food, lodging, transport</w:t>
            </w:r>
          </w:p>
        </w:tc>
      </w:tr>
    </w:tbl>
    <w:p w14:paraId="20FF0575">
      <w:pPr>
        <w:spacing w:line="480" w:lineRule="auto"/>
        <w:jc w:val="both"/>
        <w:rPr>
          <w:rFonts w:ascii="Calibri" w:hAnsi="Calibri" w:cs="Calibri"/>
          <w:lang w:val="en-AU"/>
        </w:rPr>
      </w:pPr>
    </w:p>
    <w:p w14:paraId="728114EB">
      <w:pPr>
        <w:spacing w:line="480" w:lineRule="auto"/>
        <w:jc w:val="both"/>
        <w:rPr>
          <w:rFonts w:ascii="Calibri" w:hAnsi="Calibri" w:cs="Calibri"/>
          <w:b/>
          <w:bCs/>
          <w:lang w:val="en-AU"/>
        </w:rPr>
      </w:pPr>
      <w:r>
        <w:rPr>
          <w:rFonts w:ascii="Calibri" w:hAnsi="Calibri" w:cs="Calibri"/>
          <w:b/>
          <w:bCs/>
          <w:lang w:val="en-AU"/>
        </w:rPr>
        <w:t>1.5 Implications for Destination Management</w:t>
      </w:r>
    </w:p>
    <w:p w14:paraId="5D0C7D25">
      <w:pPr>
        <w:spacing w:line="480" w:lineRule="auto"/>
        <w:jc w:val="both"/>
        <w:rPr>
          <w:rFonts w:ascii="Calibri" w:hAnsi="Calibri" w:cs="Calibri"/>
          <w:lang w:val="en-AU"/>
        </w:rPr>
      </w:pPr>
      <w:r>
        <w:rPr>
          <w:rFonts w:ascii="Calibri" w:hAnsi="Calibri" w:cs="Calibri"/>
          <w:lang w:val="en-AU"/>
        </w:rPr>
        <w:t>The difference between Explorers and Charter Tourists is understandable. Therefore, the destinations can use this knowledge to match product development and marketing strategies. Destinations willing to draw Explorers should uplift the community with tourism initiatives, build homestay networks, raise awareness of ethical local guiding services and tour operators and entice people with language or cultural immersion programs. In contrast, markets aiming at Charter Tourists usually concentrate on the operation of all-inclusive resorts, theme parks, worldwide standards for transportation and excursions, and finding the best-fitting tour itineraries to reduce visitor-host friction (Richards &amp; Wilson, 2004). </w:t>
      </w:r>
    </w:p>
    <w:p w14:paraId="4329E55C">
      <w:pPr>
        <w:spacing w:line="480" w:lineRule="auto"/>
        <w:jc w:val="both"/>
        <w:rPr>
          <w:rFonts w:ascii="Calibri" w:hAnsi="Calibri" w:cs="Calibri"/>
          <w:lang w:val="en-AU"/>
        </w:rPr>
      </w:pPr>
    </w:p>
    <w:p w14:paraId="46EC4B3F">
      <w:pPr>
        <w:spacing w:line="480" w:lineRule="auto"/>
        <w:jc w:val="both"/>
        <w:rPr>
          <w:rFonts w:ascii="Calibri" w:hAnsi="Calibri" w:cs="Calibri"/>
          <w:lang w:val="en-AU"/>
        </w:rPr>
      </w:pPr>
    </w:p>
    <w:p w14:paraId="1E222806">
      <w:pPr>
        <w:spacing w:line="480" w:lineRule="auto"/>
        <w:jc w:val="both"/>
        <w:rPr>
          <w:rFonts w:ascii="Calibri" w:hAnsi="Calibri" w:cs="Calibri"/>
          <w:lang w:val="en-AU"/>
        </w:rPr>
      </w:pPr>
    </w:p>
    <w:p w14:paraId="2BDE35F1">
      <w:pPr>
        <w:spacing w:line="480" w:lineRule="auto"/>
        <w:jc w:val="both"/>
        <w:rPr>
          <w:rFonts w:ascii="Calibri" w:hAnsi="Calibri" w:cs="Calibri"/>
          <w:lang w:val="en-AU"/>
        </w:rPr>
      </w:pPr>
    </w:p>
    <w:p w14:paraId="513AA5BD">
      <w:pPr>
        <w:spacing w:line="480" w:lineRule="auto"/>
        <w:jc w:val="both"/>
        <w:rPr>
          <w:rFonts w:ascii="Calibri" w:hAnsi="Calibri" w:cs="Calibri"/>
          <w:lang w:val="en-AU"/>
        </w:rPr>
      </w:pPr>
    </w:p>
    <w:p w14:paraId="18133809">
      <w:pPr>
        <w:spacing w:line="480" w:lineRule="auto"/>
        <w:jc w:val="both"/>
        <w:rPr>
          <w:rFonts w:ascii="Calibri" w:hAnsi="Calibri" w:cs="Calibri"/>
          <w:lang w:val="en-AU"/>
        </w:rPr>
      </w:pPr>
    </w:p>
    <w:p w14:paraId="68BF13EA">
      <w:pPr>
        <w:spacing w:line="480" w:lineRule="auto"/>
        <w:jc w:val="both"/>
        <w:rPr>
          <w:rFonts w:ascii="Calibri" w:hAnsi="Calibri" w:cs="Calibri"/>
          <w:lang w:val="en-AU"/>
        </w:rPr>
      </w:pPr>
    </w:p>
    <w:p w14:paraId="189063B9">
      <w:pPr>
        <w:spacing w:line="480" w:lineRule="auto"/>
        <w:jc w:val="both"/>
        <w:rPr>
          <w:rFonts w:ascii="Calibri" w:hAnsi="Calibri" w:cs="Calibri"/>
          <w:lang w:val="en-AU"/>
        </w:rPr>
      </w:pPr>
    </w:p>
    <w:p w14:paraId="3A8F0883">
      <w:pPr>
        <w:spacing w:line="480" w:lineRule="auto"/>
        <w:jc w:val="both"/>
        <w:rPr>
          <w:rFonts w:ascii="Calibri" w:hAnsi="Calibri" w:cs="Calibri"/>
          <w:lang w:val="en-AU"/>
        </w:rPr>
      </w:pPr>
    </w:p>
    <w:p w14:paraId="51281E3D">
      <w:pPr>
        <w:spacing w:line="480" w:lineRule="auto"/>
        <w:jc w:val="both"/>
        <w:rPr>
          <w:rFonts w:ascii="Calibri" w:hAnsi="Calibri" w:cs="Calibri"/>
          <w:lang w:val="en-AU"/>
        </w:rPr>
      </w:pPr>
    </w:p>
    <w:p w14:paraId="51F53207">
      <w:pPr>
        <w:spacing w:line="480" w:lineRule="auto"/>
        <w:jc w:val="both"/>
        <w:rPr>
          <w:rFonts w:ascii="Calibri" w:hAnsi="Calibri" w:cs="Calibri"/>
          <w:b/>
          <w:bCs/>
          <w:lang w:val="en-AU"/>
        </w:rPr>
      </w:pPr>
      <w:r>
        <w:rPr>
          <w:rFonts w:ascii="Calibri" w:hAnsi="Calibri" w:cs="Calibri"/>
          <w:b/>
          <w:bCs/>
          <w:lang w:val="en-AU"/>
        </w:rPr>
        <w:t xml:space="preserve">2- Based on the forms of tourism by destination type, explain one form of tourism in no more than 500 words. </w:t>
      </w:r>
    </w:p>
    <w:p w14:paraId="3387B702">
      <w:pPr>
        <w:spacing w:line="480" w:lineRule="auto"/>
        <w:jc w:val="both"/>
        <w:rPr>
          <w:rFonts w:ascii="Calibri" w:hAnsi="Calibri" w:cs="Calibri"/>
          <w:lang w:val="en-AU"/>
        </w:rPr>
      </w:pPr>
    </w:p>
    <w:p w14:paraId="4EE753ED">
      <w:pPr>
        <w:spacing w:line="480" w:lineRule="auto"/>
        <w:jc w:val="both"/>
        <w:rPr>
          <w:rFonts w:ascii="Calibri" w:hAnsi="Calibri" w:cs="Calibri"/>
          <w:b/>
          <w:bCs/>
          <w:lang w:val="en-AU"/>
        </w:rPr>
      </w:pPr>
      <w:r>
        <w:rPr>
          <w:rFonts w:ascii="Calibri" w:hAnsi="Calibri" w:cs="Calibri"/>
          <w:b/>
          <w:bCs/>
          <w:lang w:val="en-AU"/>
        </w:rPr>
        <w:t>2. Urban Tourism</w:t>
      </w:r>
    </w:p>
    <w:p w14:paraId="1B8B8012">
      <w:pPr>
        <w:spacing w:line="480" w:lineRule="auto"/>
        <w:jc w:val="both"/>
        <w:rPr>
          <w:rFonts w:ascii="Calibri" w:hAnsi="Calibri" w:cs="Calibri"/>
          <w:b/>
          <w:bCs/>
          <w:lang w:val="en-AU"/>
        </w:rPr>
      </w:pPr>
      <w:r>
        <w:rPr>
          <w:rFonts w:ascii="Calibri" w:hAnsi="Calibri" w:cs="Calibri"/>
          <w:b/>
          <w:bCs/>
          <w:lang w:val="en-AU"/>
        </w:rPr>
        <w:t>2.1 Definition and Scope</w:t>
      </w:r>
    </w:p>
    <w:p w14:paraId="51BCE544">
      <w:pPr>
        <w:spacing w:line="480" w:lineRule="auto"/>
        <w:jc w:val="both"/>
        <w:rPr>
          <w:rFonts w:ascii="Calibri" w:hAnsi="Calibri" w:cs="Calibri"/>
          <w:lang w:val="en-AU"/>
        </w:rPr>
      </w:pPr>
      <w:r>
        <w:rPr>
          <w:rFonts w:ascii="Calibri" w:hAnsi="Calibri" w:cs="Calibri"/>
          <w:lang w:val="en-AU"/>
        </w:rPr>
        <w:t>Urban tourism is the travel to cities, known for their dense population, multifaceted economies, and significant transport interchange. According to UNWTO, it includes "a broad and heterogeneous range of cultural, architectural, technological, social and natural experiences and products for leisure and business" within urban spaces (</w:t>
      </w:r>
      <w:r>
        <w:rPr>
          <w:rFonts w:ascii="Calibri" w:hAnsi="Calibri" w:cs="Calibri"/>
          <w:kern w:val="0"/>
          <w:lang w:val="en-AU"/>
          <w14:ligatures w14:val="none"/>
        </w:rPr>
        <w:t>UNWTO</w:t>
      </w:r>
      <w:r>
        <w:rPr>
          <w:rFonts w:ascii="Calibri" w:hAnsi="Calibri" w:cs="Calibri"/>
          <w:lang w:val="en-AU"/>
        </w:rPr>
        <w:t>, 2008).</w:t>
      </w:r>
    </w:p>
    <w:p w14:paraId="56B43A6B">
      <w:pPr>
        <w:spacing w:line="480" w:lineRule="auto"/>
        <w:jc w:val="both"/>
        <w:rPr>
          <w:rFonts w:ascii="Calibri" w:hAnsi="Calibri" w:cs="Calibri"/>
          <w:b/>
          <w:bCs/>
          <w:lang w:val="en-AU"/>
        </w:rPr>
      </w:pPr>
      <w:r>
        <w:rPr>
          <w:rFonts w:ascii="Calibri" w:hAnsi="Calibri" w:cs="Calibri"/>
          <w:b/>
          <w:bCs/>
          <w:lang w:val="en-AU"/>
        </w:rPr>
        <w:t>2.2 Main Attractions and Activities</w:t>
      </w:r>
    </w:p>
    <w:p w14:paraId="5B31F71B">
      <w:pPr>
        <w:spacing w:line="480" w:lineRule="auto"/>
        <w:jc w:val="both"/>
        <w:rPr>
          <w:rFonts w:ascii="Calibri" w:hAnsi="Calibri" w:cs="Calibri"/>
          <w:lang w:val="en-AU"/>
        </w:rPr>
      </w:pPr>
      <w:r>
        <w:rPr>
          <w:rFonts w:ascii="Calibri" w:hAnsi="Calibri" w:cs="Calibri"/>
          <w:lang w:val="en-AU"/>
        </w:rPr>
        <w:t>Urban tourists perform diverse activities such as:</w:t>
      </w:r>
    </w:p>
    <w:p w14:paraId="26E1B7A7">
      <w:pPr>
        <w:spacing w:line="480" w:lineRule="auto"/>
        <w:jc w:val="both"/>
        <w:rPr>
          <w:rFonts w:ascii="Calibri" w:hAnsi="Calibri" w:cs="Calibri"/>
          <w:lang w:val="en-AU"/>
        </w:rPr>
      </w:pPr>
      <w:r>
        <w:rPr>
          <w:rFonts w:ascii="Calibri" w:hAnsi="Calibri" w:cs="Calibri"/>
          <w:lang w:val="en-AU"/>
        </w:rPr>
        <w:t>Cultural and Heritage Tourism: Going to places like museums, worship sites, heritage sites, universities, etc.</w:t>
      </w:r>
    </w:p>
    <w:p w14:paraId="3C4F4A46">
      <w:pPr>
        <w:pStyle w:val="15"/>
        <w:numPr>
          <w:ilvl w:val="0"/>
          <w:numId w:val="1"/>
        </w:numPr>
        <w:spacing w:line="480" w:lineRule="auto"/>
        <w:jc w:val="both"/>
        <w:rPr>
          <w:rFonts w:ascii="Calibri" w:hAnsi="Calibri" w:cs="Calibri"/>
          <w:lang w:val="en-AU"/>
        </w:rPr>
      </w:pPr>
      <w:r>
        <w:rPr>
          <w:rFonts w:ascii="Calibri" w:hAnsi="Calibri" w:cs="Calibri"/>
          <w:b/>
          <w:bCs/>
          <w:i/>
          <w:iCs/>
          <w:lang w:val="en-AU"/>
        </w:rPr>
        <w:t>Business &amp; MICE Tourism</w:t>
      </w:r>
      <w:r>
        <w:rPr>
          <w:rFonts w:ascii="Calibri" w:hAnsi="Calibri" w:cs="Calibri"/>
          <w:lang w:val="en-AU"/>
        </w:rPr>
        <w:t>: Organising and attending expos, meetings, conventions, incentive travels, and trade fairs in convention centres.</w:t>
      </w:r>
    </w:p>
    <w:p w14:paraId="48E139A5">
      <w:pPr>
        <w:pStyle w:val="15"/>
        <w:numPr>
          <w:ilvl w:val="0"/>
          <w:numId w:val="1"/>
        </w:numPr>
        <w:spacing w:line="480" w:lineRule="auto"/>
        <w:jc w:val="both"/>
        <w:rPr>
          <w:rFonts w:ascii="Calibri" w:hAnsi="Calibri" w:cs="Calibri"/>
          <w:lang w:val="en-AU"/>
        </w:rPr>
      </w:pPr>
      <w:r>
        <w:rPr>
          <w:rFonts w:ascii="Calibri" w:hAnsi="Calibri" w:cs="Calibri"/>
          <w:b/>
          <w:bCs/>
          <w:i/>
          <w:iCs/>
          <w:lang w:val="en-AU"/>
        </w:rPr>
        <w:t>Events &amp; Festivals:</w:t>
      </w:r>
      <w:r>
        <w:rPr>
          <w:rFonts w:ascii="Calibri" w:hAnsi="Calibri" w:cs="Calibri"/>
          <w:lang w:val="en-AU"/>
        </w:rPr>
        <w:t xml:space="preserve"> Events that take place in open spaces like wide squares and stadiums, such as city festivals, concerts, carnivals, sports events and others that make people move around and enjoy the different spots.</w:t>
      </w:r>
    </w:p>
    <w:p w14:paraId="036D3D18">
      <w:pPr>
        <w:pStyle w:val="15"/>
        <w:numPr>
          <w:ilvl w:val="0"/>
          <w:numId w:val="1"/>
        </w:numPr>
        <w:spacing w:line="480" w:lineRule="auto"/>
        <w:jc w:val="both"/>
        <w:rPr>
          <w:rFonts w:ascii="Calibri" w:hAnsi="Calibri" w:cs="Calibri"/>
          <w:lang w:val="en-AU"/>
        </w:rPr>
      </w:pPr>
      <w:r>
        <w:rPr>
          <w:rFonts w:ascii="Calibri" w:hAnsi="Calibri" w:cs="Calibri"/>
          <w:b/>
          <w:bCs/>
          <w:i/>
          <w:iCs/>
          <w:lang w:val="en-AU"/>
        </w:rPr>
        <w:t>Nightlife &amp; Entertainment:</w:t>
      </w:r>
      <w:r>
        <w:rPr>
          <w:rFonts w:ascii="Calibri" w:hAnsi="Calibri" w:cs="Calibri"/>
          <w:lang w:val="en-AU"/>
        </w:rPr>
        <w:t xml:space="preserve"> Hitting clubs, theatres and live music venues are the regular delights of the people who are into leisure activities with music and live entertainment.</w:t>
      </w:r>
    </w:p>
    <w:p w14:paraId="10CD8682">
      <w:pPr>
        <w:pStyle w:val="15"/>
        <w:numPr>
          <w:ilvl w:val="0"/>
          <w:numId w:val="1"/>
        </w:numPr>
        <w:spacing w:line="480" w:lineRule="auto"/>
        <w:jc w:val="both"/>
        <w:rPr>
          <w:rFonts w:ascii="Calibri" w:hAnsi="Calibri" w:cs="Calibri"/>
          <w:lang w:val="en-AU"/>
        </w:rPr>
      </w:pPr>
      <w:r>
        <w:rPr>
          <w:rFonts w:ascii="Calibri" w:hAnsi="Calibri" w:cs="Calibri"/>
          <w:b/>
          <w:bCs/>
          <w:i/>
          <w:iCs/>
          <w:lang w:val="en-AU"/>
        </w:rPr>
        <w:t>Urban Nature &amp; Recreation:</w:t>
      </w:r>
      <w:r>
        <w:rPr>
          <w:rFonts w:ascii="Calibri" w:hAnsi="Calibri" w:cs="Calibri"/>
          <w:lang w:val="en-AU"/>
        </w:rPr>
        <w:t xml:space="preserve"> Treading on streets, bike-riding, outdoor sports, playing in parks, and all the other activities in nature that they can do on their own and without organised or purchased activities.</w:t>
      </w:r>
    </w:p>
    <w:p w14:paraId="37ADD2F6">
      <w:pPr>
        <w:spacing w:line="480" w:lineRule="auto"/>
        <w:jc w:val="both"/>
        <w:rPr>
          <w:rFonts w:ascii="Calibri" w:hAnsi="Calibri" w:cs="Calibri"/>
          <w:b/>
          <w:bCs/>
          <w:lang w:val="en-AU"/>
        </w:rPr>
      </w:pPr>
      <w:r>
        <w:rPr>
          <w:rFonts w:ascii="Calibri" w:hAnsi="Calibri" w:cs="Calibri"/>
          <w:b/>
          <w:bCs/>
          <w:lang w:val="en-AU"/>
        </w:rPr>
        <w:t>2.3 Economic and Social Benefits</w:t>
      </w:r>
    </w:p>
    <w:p w14:paraId="228307E0">
      <w:pPr>
        <w:spacing w:line="480" w:lineRule="auto"/>
        <w:jc w:val="both"/>
        <w:rPr>
          <w:rFonts w:ascii="Calibri" w:hAnsi="Calibri" w:cs="Calibri"/>
          <w:lang w:val="en-AU"/>
        </w:rPr>
      </w:pPr>
      <w:r>
        <w:rPr>
          <w:rFonts w:ascii="Calibri" w:hAnsi="Calibri" w:cs="Calibri"/>
          <w:lang w:val="en-AU"/>
        </w:rPr>
        <w:t xml:space="preserve">Urban tourism brings in a huge number of economic benefits through services like hotel accommodation, food, shopping, transport, and entertainment that make huge contributions to the local government revenue. It also helps create jobs in the various service sectors such as hotels, tour operators, cultural institutions, and hospitality services. Socially, it encourages cross-cultural exchange and urban renewal, as what was once a wrecked industrial zone or a heritage district is being resuscitated to be a tourism hub, becoming not only a possibility but also a reality (Gössling &amp; Hall, 2006). </w:t>
      </w:r>
    </w:p>
    <w:p w14:paraId="17D1F46B">
      <w:pPr>
        <w:spacing w:line="480" w:lineRule="auto"/>
        <w:jc w:val="both"/>
        <w:rPr>
          <w:rFonts w:ascii="Calibri" w:hAnsi="Calibri" w:cs="Calibri"/>
          <w:lang w:val="en-AU"/>
        </w:rPr>
      </w:pPr>
    </w:p>
    <w:p w14:paraId="6C9A70C1">
      <w:pPr>
        <w:spacing w:line="480" w:lineRule="auto"/>
        <w:jc w:val="both"/>
        <w:rPr>
          <w:rFonts w:ascii="Calibri" w:hAnsi="Calibri" w:cs="Calibri"/>
          <w:b/>
          <w:bCs/>
          <w:lang w:val="en-AU"/>
        </w:rPr>
      </w:pPr>
      <w:r>
        <w:rPr>
          <w:rFonts w:ascii="Calibri" w:hAnsi="Calibri" w:cs="Calibri"/>
          <w:b/>
          <w:bCs/>
          <w:lang w:val="en-AU"/>
        </w:rPr>
        <w:t>2.4 Challenges and Sustainable Practices</w:t>
      </w:r>
    </w:p>
    <w:p w14:paraId="7BE48BAE">
      <w:pPr>
        <w:spacing w:line="480" w:lineRule="auto"/>
        <w:jc w:val="both"/>
        <w:rPr>
          <w:rFonts w:ascii="Calibri" w:hAnsi="Calibri" w:cs="Calibri"/>
          <w:lang w:val="en-AU"/>
        </w:rPr>
      </w:pPr>
      <w:r>
        <w:rPr>
          <w:rFonts w:ascii="Calibri" w:hAnsi="Calibri" w:cs="Calibri"/>
          <w:lang w:val="en-AU"/>
        </w:rPr>
        <w:t xml:space="preserve">A rapid influx of visitors can eventually lead to the problem of over tourism, which forces people to use the overburdened public transport, makes homeless people find it unaffordable to live in the tourist-occupied sections of the city and lowers the living standards of inhabitants. Air pollution, waste production, and energy use are threats that require nature-friendly infrastructure and circular economic practices (Helms &amp; Smith, 1990). </w:t>
      </w:r>
    </w:p>
    <w:p w14:paraId="09CF7DE3">
      <w:pPr>
        <w:spacing w:line="480" w:lineRule="auto"/>
        <w:jc w:val="both"/>
        <w:rPr>
          <w:rFonts w:ascii="Calibri" w:hAnsi="Calibri" w:cs="Calibri"/>
          <w:lang w:val="en-AU"/>
        </w:rPr>
      </w:pPr>
      <w:r>
        <w:rPr>
          <w:rFonts w:ascii="Calibri" w:hAnsi="Calibri" w:cs="Calibri"/>
          <w:lang w:val="en-AU"/>
        </w:rPr>
        <w:t>Sustainable urban tourism strategies cover:</w:t>
      </w:r>
    </w:p>
    <w:p w14:paraId="781D21B0">
      <w:pPr>
        <w:spacing w:line="480" w:lineRule="auto"/>
        <w:jc w:val="both"/>
        <w:rPr>
          <w:rFonts w:ascii="Calibri" w:hAnsi="Calibri" w:cs="Calibri"/>
          <w:lang w:val="en-AU"/>
        </w:rPr>
      </w:pPr>
      <w:r>
        <w:rPr>
          <w:rFonts w:ascii="Calibri" w:hAnsi="Calibri" w:cs="Calibri"/>
          <w:lang w:val="en-AU"/>
        </w:rPr>
        <w:t>Carrying‐Capacity Management: Limiting the number of visitors to protected spots, pricing that is dynamic, and tickets booked by the appointment.</w:t>
      </w:r>
    </w:p>
    <w:p w14:paraId="10A24DEF">
      <w:pPr>
        <w:spacing w:line="480" w:lineRule="auto"/>
        <w:jc w:val="both"/>
        <w:rPr>
          <w:rFonts w:ascii="Calibri" w:hAnsi="Calibri" w:cs="Calibri"/>
          <w:lang w:val="en-AU"/>
        </w:rPr>
      </w:pPr>
      <w:r>
        <w:rPr>
          <w:rFonts w:ascii="Calibri" w:hAnsi="Calibri" w:cs="Calibri"/>
          <w:lang w:val="en-AU"/>
        </w:rPr>
        <w:t>Off‐Peak and Dispersal Promotion: Promotion through the marketing of undisclosed locations and changes in tourist travel during the season.</w:t>
      </w:r>
    </w:p>
    <w:p w14:paraId="3D947A01">
      <w:pPr>
        <w:spacing w:line="480" w:lineRule="auto"/>
        <w:jc w:val="both"/>
        <w:rPr>
          <w:rFonts w:ascii="Calibri" w:hAnsi="Calibri" w:cs="Calibri"/>
          <w:b/>
          <w:bCs/>
          <w:lang w:val="en-AU"/>
        </w:rPr>
      </w:pPr>
      <w:r>
        <w:rPr>
          <w:rFonts w:ascii="Calibri" w:hAnsi="Calibri" w:cs="Calibri"/>
          <w:b/>
          <w:bCs/>
          <w:lang w:val="en-AU"/>
        </w:rPr>
        <w:t>2.5 Future Trends</w:t>
      </w:r>
    </w:p>
    <w:p w14:paraId="04194A57">
      <w:pPr>
        <w:spacing w:line="480" w:lineRule="auto"/>
        <w:jc w:val="both"/>
        <w:rPr>
          <w:rFonts w:ascii="Calibri" w:hAnsi="Calibri" w:cs="Calibri"/>
          <w:lang w:val="en-AU"/>
        </w:rPr>
      </w:pPr>
      <w:r>
        <w:rPr>
          <w:rFonts w:ascii="Calibri" w:hAnsi="Calibri" w:cs="Calibri"/>
          <w:lang w:val="en-AU"/>
        </w:rPr>
        <w:t>The emerging trends in urban tourism are:</w:t>
      </w:r>
    </w:p>
    <w:p w14:paraId="59459424">
      <w:pPr>
        <w:pStyle w:val="15"/>
        <w:numPr>
          <w:ilvl w:val="0"/>
          <w:numId w:val="2"/>
        </w:numPr>
        <w:spacing w:line="480" w:lineRule="auto"/>
        <w:jc w:val="both"/>
        <w:rPr>
          <w:rFonts w:ascii="Calibri" w:hAnsi="Calibri" w:cs="Calibri"/>
          <w:lang w:val="en-AU"/>
        </w:rPr>
      </w:pPr>
      <w:r>
        <w:rPr>
          <w:rFonts w:ascii="Calibri" w:hAnsi="Calibri" w:cs="Calibri"/>
          <w:b/>
          <w:bCs/>
          <w:i/>
          <w:iCs/>
          <w:lang w:val="en-AU"/>
        </w:rPr>
        <w:t>Urban Ecotourism:</w:t>
      </w:r>
      <w:r>
        <w:rPr>
          <w:rFonts w:ascii="Calibri" w:hAnsi="Calibri" w:cs="Calibri"/>
          <w:lang w:val="en-AU"/>
        </w:rPr>
        <w:t xml:space="preserve"> Green lanes, green roofs, and sustainable building reused as tourist attractions, can be associated with and positively affect ecosystem urban sustainability and visitor attraction and enable them to know how things operate.</w:t>
      </w:r>
    </w:p>
    <w:p w14:paraId="5D510D2E">
      <w:pPr>
        <w:pStyle w:val="15"/>
        <w:numPr>
          <w:ilvl w:val="0"/>
          <w:numId w:val="2"/>
        </w:numPr>
        <w:spacing w:line="480" w:lineRule="auto"/>
        <w:jc w:val="both"/>
        <w:rPr>
          <w:rFonts w:ascii="Calibri" w:hAnsi="Calibri" w:cs="Calibri"/>
          <w:lang w:val="en-AU"/>
        </w:rPr>
      </w:pPr>
      <w:r>
        <w:rPr>
          <w:rFonts w:ascii="Calibri" w:hAnsi="Calibri" w:cs="Calibri"/>
          <w:b/>
          <w:bCs/>
          <w:i/>
          <w:iCs/>
          <w:lang w:val="en-AU"/>
        </w:rPr>
        <w:t>Digital and Smart Tourism:</w:t>
      </w:r>
      <w:r>
        <w:rPr>
          <w:rFonts w:ascii="Calibri" w:hAnsi="Calibri" w:cs="Calibri"/>
          <w:lang w:val="en-AU"/>
        </w:rPr>
        <w:t xml:space="preserve"> Utilisation of apps, virtual reality for creating interest in historical buildings, real-time surveillance of the crowd, and data analytics to identify the behaviour of visitors (Richards &amp; Wilson, 2004).</w:t>
      </w:r>
    </w:p>
    <w:p w14:paraId="11991BF9">
      <w:pPr>
        <w:pStyle w:val="15"/>
        <w:numPr>
          <w:ilvl w:val="0"/>
          <w:numId w:val="2"/>
        </w:numPr>
        <w:spacing w:line="480" w:lineRule="auto"/>
        <w:jc w:val="both"/>
        <w:rPr>
          <w:rFonts w:ascii="Calibri" w:hAnsi="Calibri" w:cs="Calibri"/>
          <w:lang w:val="en-AU"/>
        </w:rPr>
      </w:pPr>
      <w:r>
        <w:rPr>
          <w:rFonts w:ascii="Calibri" w:hAnsi="Calibri" w:cs="Calibri"/>
          <w:b/>
          <w:bCs/>
          <w:i/>
          <w:iCs/>
          <w:lang w:val="en-AU"/>
        </w:rPr>
        <w:t>Cultural and Creative Tourism</w:t>
      </w:r>
      <w:r>
        <w:rPr>
          <w:rFonts w:ascii="Calibri" w:hAnsi="Calibri" w:cs="Calibri"/>
          <w:lang w:val="en-AU"/>
        </w:rPr>
        <w:t>: Boosting local cultural industries can breathe new life into areas that have not been utilised for a long time.</w:t>
      </w:r>
    </w:p>
    <w:p w14:paraId="7F0252BD">
      <w:pPr>
        <w:spacing w:line="480" w:lineRule="auto"/>
        <w:jc w:val="both"/>
        <w:rPr>
          <w:rFonts w:ascii="Calibri" w:hAnsi="Calibri" w:cs="Calibri"/>
          <w:lang w:val="en-AU"/>
        </w:rPr>
      </w:pPr>
    </w:p>
    <w:p w14:paraId="25E40B73">
      <w:pPr>
        <w:jc w:val="center"/>
        <w:rPr>
          <w:rFonts w:ascii="Helvetica" w:hAnsi="Helvetica" w:eastAsia="Times New Roman" w:cs="Times New Roman"/>
          <w:color w:val="000000"/>
          <w:kern w:val="0"/>
          <w:sz w:val="27"/>
          <w:szCs w:val="27"/>
          <w:lang w:val="en-IN" w:eastAsia="en-IN"/>
          <w14:ligatures w14:val="none"/>
        </w:rPr>
      </w:pPr>
      <w:r>
        <w:rPr>
          <w:rFonts w:ascii="Helvetica" w:hAnsi="Helvetica" w:eastAsia="Times New Roman" w:cs="Times New Roman"/>
          <w:color w:val="000000"/>
          <w:kern w:val="0"/>
          <w:sz w:val="27"/>
          <w:szCs w:val="27"/>
          <w:lang w:val="en-IN" w:eastAsia="en-IN"/>
          <w14:ligatures w14:val="none"/>
        </w:rPr>
        <w:t>References</w:t>
      </w:r>
    </w:p>
    <w:p w14:paraId="389803C2">
      <w:pPr>
        <w:spacing w:before="100" w:beforeAutospacing="1" w:line="480" w:lineRule="auto"/>
        <w:ind w:left="720" w:hanging="720"/>
        <w:rPr>
          <w:rFonts w:ascii="Georgia" w:hAnsi="Georgia" w:eastAsia="Times New Roman" w:cs="Times New Roman"/>
          <w:color w:val="000000"/>
          <w:kern w:val="0"/>
          <w:lang w:val="en-IN" w:eastAsia="en-IN"/>
          <w14:ligatures w14:val="none"/>
        </w:rPr>
      </w:pPr>
      <w:r>
        <w:rPr>
          <w:rFonts w:ascii="Georgia" w:hAnsi="Georgia" w:eastAsia="Times New Roman" w:cs="Times New Roman"/>
          <w:color w:val="000000"/>
          <w:kern w:val="0"/>
          <w:lang w:val="en-IN" w:eastAsia="en-IN"/>
          <w14:ligatures w14:val="none"/>
        </w:rPr>
        <w:t>Gössling, S., &amp; Hall, C. M. (2006). </w:t>
      </w:r>
      <w:r>
        <w:rPr>
          <w:rFonts w:ascii="Georgia" w:hAnsi="Georgia" w:eastAsia="Times New Roman" w:cs="Times New Roman"/>
          <w:i/>
          <w:iCs/>
          <w:color w:val="000000"/>
          <w:kern w:val="0"/>
          <w:lang w:val="en-IN" w:eastAsia="en-IN"/>
          <w14:ligatures w14:val="none"/>
        </w:rPr>
        <w:t>Tourism and Global Environmental Change: Ecological, Social, Economic and Political Interrelationships</w:t>
      </w:r>
      <w:r>
        <w:rPr>
          <w:rFonts w:ascii="Georgia" w:hAnsi="Georgia" w:eastAsia="Times New Roman" w:cs="Times New Roman"/>
          <w:color w:val="000000"/>
          <w:kern w:val="0"/>
          <w:lang w:val="en-IN" w:eastAsia="en-IN"/>
          <w14:ligatures w14:val="none"/>
        </w:rPr>
        <w:t>.</w:t>
      </w:r>
    </w:p>
    <w:p w14:paraId="3AD5002B">
      <w:pPr>
        <w:spacing w:before="100" w:beforeAutospacing="1" w:line="480" w:lineRule="auto"/>
        <w:ind w:left="720" w:hanging="720"/>
        <w:rPr>
          <w:rFonts w:ascii="Georgia" w:hAnsi="Georgia" w:eastAsia="Times New Roman" w:cs="Times New Roman"/>
          <w:color w:val="000000"/>
          <w:kern w:val="0"/>
          <w:lang w:val="en-IN" w:eastAsia="en-IN"/>
          <w14:ligatures w14:val="none"/>
        </w:rPr>
      </w:pPr>
      <w:r>
        <w:rPr>
          <w:rFonts w:ascii="Georgia" w:hAnsi="Georgia" w:eastAsia="Times New Roman" w:cs="Times New Roman"/>
          <w:color w:val="000000"/>
          <w:kern w:val="0"/>
          <w:lang w:val="en-IN" w:eastAsia="en-IN"/>
          <w14:ligatures w14:val="none"/>
        </w:rPr>
        <w:t>Helms, M. W., &amp; Smith, V. (1990). Hosts and guests: The anthropology of tourism. </w:t>
      </w:r>
      <w:r>
        <w:rPr>
          <w:rFonts w:ascii="Georgia" w:hAnsi="Georgia" w:eastAsia="Times New Roman" w:cs="Times New Roman"/>
          <w:i/>
          <w:iCs/>
          <w:color w:val="000000"/>
          <w:kern w:val="0"/>
          <w:lang w:val="en-IN" w:eastAsia="en-IN"/>
          <w14:ligatures w14:val="none"/>
        </w:rPr>
        <w:t>Man; a Monthly Record of Anthropological Science</w:t>
      </w:r>
      <w:r>
        <w:rPr>
          <w:rFonts w:ascii="Georgia" w:hAnsi="Georgia" w:eastAsia="Times New Roman" w:cs="Times New Roman"/>
          <w:color w:val="000000"/>
          <w:kern w:val="0"/>
          <w:lang w:val="en-IN" w:eastAsia="en-IN"/>
          <w14:ligatures w14:val="none"/>
        </w:rPr>
        <w:t>, </w:t>
      </w:r>
      <w:r>
        <w:rPr>
          <w:rFonts w:ascii="Georgia" w:hAnsi="Georgia" w:eastAsia="Times New Roman" w:cs="Times New Roman"/>
          <w:i/>
          <w:iCs/>
          <w:color w:val="000000"/>
          <w:kern w:val="0"/>
          <w:lang w:val="en-IN" w:eastAsia="en-IN"/>
          <w14:ligatures w14:val="none"/>
        </w:rPr>
        <w:t>25</w:t>
      </w:r>
      <w:r>
        <w:rPr>
          <w:rFonts w:ascii="Georgia" w:hAnsi="Georgia" w:eastAsia="Times New Roman" w:cs="Times New Roman"/>
          <w:color w:val="000000"/>
          <w:kern w:val="0"/>
          <w:lang w:val="en-IN" w:eastAsia="en-IN"/>
          <w14:ligatures w14:val="none"/>
        </w:rPr>
        <w:t>(1), 176. https://doi.org/10.2307/2804157</w:t>
      </w:r>
    </w:p>
    <w:p w14:paraId="18745188">
      <w:pPr>
        <w:spacing w:before="100" w:beforeAutospacing="1" w:line="480" w:lineRule="auto"/>
        <w:ind w:left="720" w:hanging="720"/>
        <w:rPr>
          <w:rFonts w:ascii="Georgia" w:hAnsi="Georgia" w:eastAsia="Times New Roman" w:cs="Times New Roman"/>
          <w:color w:val="000000"/>
          <w:kern w:val="0"/>
          <w:lang w:val="en-IN" w:eastAsia="en-IN"/>
          <w14:ligatures w14:val="none"/>
        </w:rPr>
      </w:pPr>
      <w:r>
        <w:rPr>
          <w:rFonts w:ascii="Georgia" w:hAnsi="Georgia" w:eastAsia="Times New Roman" w:cs="Times New Roman"/>
          <w:color w:val="000000"/>
          <w:kern w:val="0"/>
          <w:lang w:val="en-IN" w:eastAsia="en-IN"/>
          <w14:ligatures w14:val="none"/>
        </w:rPr>
        <w:t>Leach, J., &amp; Smith, V. L. (1979). Hosts and guests: The anthropology of tourism. </w:t>
      </w:r>
      <w:r>
        <w:rPr>
          <w:rFonts w:ascii="Georgia" w:hAnsi="Georgia" w:eastAsia="Times New Roman" w:cs="Times New Roman"/>
          <w:i/>
          <w:iCs/>
          <w:color w:val="000000"/>
          <w:kern w:val="0"/>
          <w:lang w:val="en-IN" w:eastAsia="en-IN"/>
          <w14:ligatures w14:val="none"/>
        </w:rPr>
        <w:t>RAIN</w:t>
      </w:r>
      <w:r>
        <w:rPr>
          <w:rFonts w:ascii="Georgia" w:hAnsi="Georgia" w:eastAsia="Times New Roman" w:cs="Times New Roman"/>
          <w:color w:val="000000"/>
          <w:kern w:val="0"/>
          <w:lang w:val="en-IN" w:eastAsia="en-IN"/>
          <w14:ligatures w14:val="none"/>
        </w:rPr>
        <w:t>, </w:t>
      </w:r>
      <w:r>
        <w:rPr>
          <w:rFonts w:ascii="Georgia" w:hAnsi="Georgia" w:eastAsia="Times New Roman" w:cs="Times New Roman"/>
          <w:i/>
          <w:iCs/>
          <w:color w:val="000000"/>
          <w:kern w:val="0"/>
          <w:lang w:val="en-IN" w:eastAsia="en-IN"/>
          <w14:ligatures w14:val="none"/>
        </w:rPr>
        <w:t>32</w:t>
      </w:r>
      <w:r>
        <w:rPr>
          <w:rFonts w:ascii="Georgia" w:hAnsi="Georgia" w:eastAsia="Times New Roman" w:cs="Times New Roman"/>
          <w:color w:val="000000"/>
          <w:kern w:val="0"/>
          <w:lang w:val="en-IN" w:eastAsia="en-IN"/>
          <w14:ligatures w14:val="none"/>
        </w:rPr>
        <w:t>, 9. https://doi.org/10.2307/3032002</w:t>
      </w:r>
    </w:p>
    <w:p w14:paraId="41689510">
      <w:pPr>
        <w:spacing w:before="100" w:beforeAutospacing="1" w:line="480" w:lineRule="auto"/>
        <w:ind w:left="720" w:hanging="720"/>
        <w:rPr>
          <w:rFonts w:ascii="Georgia" w:hAnsi="Georgia" w:eastAsia="Times New Roman" w:cs="Times New Roman"/>
          <w:color w:val="000000"/>
          <w:kern w:val="0"/>
          <w:lang w:val="en-IN" w:eastAsia="en-IN"/>
          <w14:ligatures w14:val="none"/>
        </w:rPr>
      </w:pPr>
      <w:r>
        <w:rPr>
          <w:rFonts w:ascii="Georgia" w:hAnsi="Georgia" w:eastAsia="Times New Roman" w:cs="Times New Roman"/>
          <w:color w:val="000000"/>
          <w:kern w:val="0"/>
          <w:lang w:val="en-IN" w:eastAsia="en-IN"/>
          <w14:ligatures w14:val="none"/>
        </w:rPr>
        <w:t>Richards, G., &amp; Wilson, J. (2004). The impact of cultural events on city image: Rotterdam, Cultural Capital of Europe 2001. </w:t>
      </w:r>
      <w:r>
        <w:rPr>
          <w:rFonts w:ascii="Georgia" w:hAnsi="Georgia" w:eastAsia="Times New Roman" w:cs="Times New Roman"/>
          <w:i/>
          <w:iCs/>
          <w:color w:val="000000"/>
          <w:kern w:val="0"/>
          <w:lang w:val="en-IN" w:eastAsia="en-IN"/>
          <w14:ligatures w14:val="none"/>
        </w:rPr>
        <w:t>Urban Studies (Edinburgh, Scotland)</w:t>
      </w:r>
      <w:r>
        <w:rPr>
          <w:rFonts w:ascii="Georgia" w:hAnsi="Georgia" w:eastAsia="Times New Roman" w:cs="Times New Roman"/>
          <w:color w:val="000000"/>
          <w:kern w:val="0"/>
          <w:lang w:val="en-IN" w:eastAsia="en-IN"/>
          <w14:ligatures w14:val="none"/>
        </w:rPr>
        <w:t>, </w:t>
      </w:r>
      <w:r>
        <w:rPr>
          <w:rFonts w:ascii="Georgia" w:hAnsi="Georgia" w:eastAsia="Times New Roman" w:cs="Times New Roman"/>
          <w:i/>
          <w:iCs/>
          <w:color w:val="000000"/>
          <w:kern w:val="0"/>
          <w:lang w:val="en-IN" w:eastAsia="en-IN"/>
          <w14:ligatures w14:val="none"/>
        </w:rPr>
        <w:t>41</w:t>
      </w:r>
      <w:r>
        <w:rPr>
          <w:rFonts w:ascii="Georgia" w:hAnsi="Georgia" w:eastAsia="Times New Roman" w:cs="Times New Roman"/>
          <w:color w:val="000000"/>
          <w:kern w:val="0"/>
          <w:lang w:val="en-IN" w:eastAsia="en-IN"/>
          <w14:ligatures w14:val="none"/>
        </w:rPr>
        <w:t>(10), 1931–1951. https://doi.org/10.1080/0042098042000256323</w:t>
      </w:r>
    </w:p>
    <w:p w14:paraId="1B48A3F0">
      <w:pPr>
        <w:spacing w:before="100" w:beforeAutospacing="1" w:line="480" w:lineRule="auto"/>
        <w:ind w:left="720" w:hanging="720"/>
        <w:rPr>
          <w:rFonts w:ascii="Georgia" w:hAnsi="Georgia" w:eastAsia="Times New Roman" w:cs="Times New Roman"/>
          <w:color w:val="000000"/>
          <w:kern w:val="0"/>
          <w:lang w:val="en-IN" w:eastAsia="en-IN"/>
          <w14:ligatures w14:val="none"/>
        </w:rPr>
      </w:pPr>
      <w:r>
        <w:rPr>
          <w:rFonts w:ascii="Georgia" w:hAnsi="Georgia" w:eastAsia="Times New Roman" w:cs="Times New Roman"/>
          <w:color w:val="000000"/>
          <w:kern w:val="0"/>
          <w:lang w:val="en-IN" w:eastAsia="en-IN"/>
          <w14:ligatures w14:val="none"/>
        </w:rPr>
        <w:t>United Nations World Tourism Organization. (2008). </w:t>
      </w:r>
      <w:r>
        <w:rPr>
          <w:rFonts w:ascii="Georgia" w:hAnsi="Georgia" w:eastAsia="Times New Roman" w:cs="Times New Roman"/>
          <w:i/>
          <w:iCs/>
          <w:color w:val="000000"/>
          <w:kern w:val="0"/>
          <w:lang w:val="en-IN" w:eastAsia="en-IN"/>
          <w14:ligatures w14:val="none"/>
        </w:rPr>
        <w:t>Glossary of Tourism Terms (2nd ed.). UNWTO</w:t>
      </w:r>
      <w:r>
        <w:rPr>
          <w:rFonts w:ascii="Georgia" w:hAnsi="Georgia" w:eastAsia="Times New Roman" w:cs="Times New Roman"/>
          <w:color w:val="000000"/>
          <w:kern w:val="0"/>
          <w:lang w:val="en-IN" w:eastAsia="en-IN"/>
          <w14:ligatures w14:val="none"/>
        </w:rPr>
        <w:t>.</w:t>
      </w: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embedRegular r:id="rId1" w:fontKey="{8344064C-7D45-C2D7-05B9-306837E3F775}"/>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embedRegular r:id="rId2" w:fontKey="{6B7646F7-7FEE-43C2-06B9-3068689AE519}"/>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embedRegular r:id="rId3" w:fontKey="{44A816D3-7BBE-DD13-06B9-3068B0C91077}"/>
  </w:font>
  <w:font w:name="SimSun">
    <w:altName w:val="汉仪书宋二KW"/>
    <w:panose1 w:val="02010600030101010101"/>
    <w:charset w:val="86"/>
    <w:family w:val="auto"/>
    <w:pitch w:val="default"/>
    <w:sig w:usb0="00000000" w:usb1="00000000" w:usb2="00000016" w:usb3="00000000" w:csb0="00040001" w:csb1="00000000"/>
  </w:font>
  <w:font w:name="Calibri">
    <w:panose1 w:val="020F0502020204030204"/>
    <w:charset w:val="00"/>
    <w:family w:val="auto"/>
    <w:pitch w:val="default"/>
    <w:sig w:usb0="E4002EFF" w:usb1="C000247B" w:usb2="00000009" w:usb3="00000000" w:csb0="200001FF" w:csb1="00000000"/>
    <w:embedRegular r:id="rId4" w:fontKey="{1008577C-BB21-DAFA-06B9-3068CCC453F6}"/>
  </w:font>
  <w:font w:name="Cambria">
    <w:panose1 w:val="02040503050406030204"/>
    <w:charset w:val="00"/>
    <w:family w:val="roman"/>
    <w:pitch w:val="default"/>
    <w:sig w:usb0="E00006FF" w:usb1="420024FF" w:usb2="02000000" w:usb3="00000000" w:csb0="2000019F" w:csb1="00000000"/>
  </w:font>
  <w:font w:name="等线 Light">
    <w:altName w:val="汉仪中等线KW"/>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Helvetica">
    <w:panose1 w:val="00000000000000000000"/>
    <w:charset w:val="00"/>
    <w:family w:val="swiss"/>
    <w:pitch w:val="default"/>
    <w:sig w:usb0="E00002FF" w:usb1="5000785B" w:usb2="00000000" w:usb3="00000000" w:csb0="2000019F" w:csb1="4F010000"/>
  </w:font>
  <w:font w:name="Georgia">
    <w:panose1 w:val="02040502050405090303"/>
    <w:charset w:val="00"/>
    <w:family w:val="roman"/>
    <w:pitch w:val="default"/>
    <w:sig w:usb0="00000287" w:usb1="00000000" w:usb2="00000000" w:usb3="00000000" w:csb0="2000009F" w:csb1="00000000"/>
    <w:embedRegular r:id="rId5" w:fontKey="{3F248E33-55B5-FFE9-06B9-306886045EAD}"/>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汉仪中等线KW">
    <w:panose1 w:val="01010104010101010101"/>
    <w:charset w:val="86"/>
    <w:family w:val="auto"/>
    <w:pitch w:val="default"/>
    <w:sig w:usb0="800002BF" w:usb1="004F7CFA"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1C6FDE"/>
    <w:multiLevelType w:val="multilevel"/>
    <w:tmpl w:val="0B1C6FD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61012B1B"/>
    <w:multiLevelType w:val="multilevel"/>
    <w:tmpl w:val="61012B1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8"/>
  <w:removePersonalInformation/>
  <w:embedTrueTypeFonts/>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15135E"/>
    <w:rsid w:val="001700EC"/>
    <w:rsid w:val="00174BB1"/>
    <w:rsid w:val="0019504D"/>
    <w:rsid w:val="00224FD9"/>
    <w:rsid w:val="002F4AE0"/>
    <w:rsid w:val="00384E8A"/>
    <w:rsid w:val="003D1074"/>
    <w:rsid w:val="00426865"/>
    <w:rsid w:val="00477CAA"/>
    <w:rsid w:val="00502E29"/>
    <w:rsid w:val="005E458B"/>
    <w:rsid w:val="00844EC2"/>
    <w:rsid w:val="008516FE"/>
    <w:rsid w:val="00903466"/>
    <w:rsid w:val="009624F3"/>
    <w:rsid w:val="009C1D0A"/>
    <w:rsid w:val="00A044F7"/>
    <w:rsid w:val="00A05BE2"/>
    <w:rsid w:val="00A8150E"/>
    <w:rsid w:val="00B20343"/>
    <w:rsid w:val="00B20A64"/>
    <w:rsid w:val="00B85EA7"/>
    <w:rsid w:val="00BB4DAD"/>
    <w:rsid w:val="00BE65DD"/>
    <w:rsid w:val="00C612A4"/>
    <w:rsid w:val="00C80822"/>
    <w:rsid w:val="00CC6AD1"/>
    <w:rsid w:val="00E6778A"/>
    <w:rsid w:val="00F25F5B"/>
    <w:rsid w:val="00F837B1"/>
    <w:rsid w:val="799A40B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HAnsi" w:cstheme="minorBidi"/>
      <w:kern w:val="2"/>
      <w:sz w:val="24"/>
      <w:szCs w:val="24"/>
      <w:lang w:eastAsia="en-US" w:bidi="ar-SA"/>
      <w14:ligatures w14:val="standardContextual"/>
    </w:rPr>
  </w:style>
  <w:style w:type="paragraph" w:styleId="2">
    <w:name w:val="heading 1"/>
    <w:basedOn w:val="3"/>
    <w:next w:val="1"/>
    <w:link w:val="12"/>
    <w:autoRedefine/>
    <w:qFormat/>
    <w:uiPriority w:val="9"/>
    <w:pPr>
      <w:keepNext/>
      <w:keepLines/>
      <w:spacing w:before="480"/>
      <w:outlineLvl w:val="0"/>
    </w:pPr>
    <w:rPr>
      <w:rFonts w:ascii="Cambria" w:hAnsi="Cambria" w:eastAsiaTheme="majorEastAsia" w:cstheme="majorBidi"/>
      <w:bCs/>
      <w:sz w:val="28"/>
      <w:szCs w:val="28"/>
      <w:lang w:val="en-US"/>
    </w:rPr>
  </w:style>
  <w:style w:type="paragraph" w:styleId="4">
    <w:name w:val="heading 2"/>
    <w:basedOn w:val="1"/>
    <w:next w:val="1"/>
    <w:link w:val="13"/>
    <w:autoRedefine/>
    <w:unhideWhenUsed/>
    <w:qFormat/>
    <w:uiPriority w:val="9"/>
    <w:pPr>
      <w:keepNext/>
      <w:keepLines/>
      <w:spacing w:before="40" w:line="276" w:lineRule="auto"/>
      <w:outlineLvl w:val="1"/>
    </w:pPr>
    <w:rPr>
      <w:rFonts w:ascii="Cambria" w:hAnsi="Cambria" w:eastAsiaTheme="majorEastAsia" w:cstheme="majorBidi"/>
      <w:color w:val="000000" w:themeColor="text1"/>
      <w:sz w:val="26"/>
      <w:szCs w:val="26"/>
      <w:lang w:val="en-US"/>
      <w14:textFill>
        <w14:solidFill>
          <w14:schemeClr w14:val="tx1"/>
        </w14:solidFill>
      </w14:textFill>
    </w:rPr>
  </w:style>
  <w:style w:type="paragraph" w:styleId="5">
    <w:name w:val="heading 3"/>
    <w:basedOn w:val="1"/>
    <w:next w:val="1"/>
    <w:link w:val="14"/>
    <w:autoRedefine/>
    <w:unhideWhenUsed/>
    <w:qFormat/>
    <w:uiPriority w:val="9"/>
    <w:pPr>
      <w:keepNext/>
      <w:keepLines/>
      <w:spacing w:before="40" w:line="276" w:lineRule="auto"/>
      <w:outlineLvl w:val="2"/>
    </w:pPr>
    <w:rPr>
      <w:rFonts w:ascii="Cambria" w:hAnsi="Cambria" w:eastAsiaTheme="majorEastAsia" w:cstheme="majorBidi"/>
      <w:color w:val="000000" w:themeColor="text1"/>
      <w:lang w:val="en-US"/>
      <w14:textFill>
        <w14:solidFill>
          <w14:schemeClr w14:val="tx1"/>
        </w14:solidFill>
      </w14:textFill>
    </w:rPr>
  </w:style>
  <w:style w:type="character" w:default="1" w:styleId="6">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No Spacing"/>
    <w:qFormat/>
    <w:uiPriority w:val="1"/>
    <w:rPr>
      <w:rFonts w:asciiTheme="minorHAnsi" w:hAnsiTheme="minorHAnsi" w:eastAsiaTheme="minorHAnsi" w:cstheme="minorBidi"/>
      <w:kern w:val="2"/>
      <w:sz w:val="24"/>
      <w:szCs w:val="24"/>
      <w:lang w:eastAsia="en-US" w:bidi="ar-SA"/>
      <w14:ligatures w14:val="standardContextual"/>
    </w:rPr>
  </w:style>
  <w:style w:type="paragraph" w:styleId="8">
    <w:name w:val="footer"/>
    <w:basedOn w:val="1"/>
    <w:link w:val="17"/>
    <w:unhideWhenUsed/>
    <w:uiPriority w:val="99"/>
    <w:pPr>
      <w:tabs>
        <w:tab w:val="center" w:pos="4513"/>
        <w:tab w:val="right" w:pos="9026"/>
      </w:tabs>
    </w:pPr>
  </w:style>
  <w:style w:type="paragraph" w:styleId="9">
    <w:name w:val="header"/>
    <w:basedOn w:val="1"/>
    <w:link w:val="16"/>
    <w:unhideWhenUsed/>
    <w:uiPriority w:val="99"/>
    <w:pPr>
      <w:tabs>
        <w:tab w:val="center" w:pos="4513"/>
        <w:tab w:val="right" w:pos="9026"/>
      </w:tabs>
    </w:pPr>
  </w:style>
  <w:style w:type="paragraph" w:styleId="10">
    <w:name w:val="Normal (Web)"/>
    <w:basedOn w:val="1"/>
    <w:semiHidden/>
    <w:unhideWhenUsed/>
    <w:uiPriority w:val="99"/>
    <w:pPr>
      <w:spacing w:before="100" w:beforeAutospacing="1" w:after="100" w:afterAutospacing="1"/>
    </w:pPr>
    <w:rPr>
      <w:rFonts w:ascii="Times New Roman" w:hAnsi="Times New Roman" w:eastAsia="Times New Roman" w:cs="Times New Roman"/>
      <w:kern w:val="0"/>
      <w:lang w:val="en-IN" w:eastAsia="en-IN"/>
      <w14:ligatures w14:val="none"/>
    </w:rPr>
  </w:style>
  <w:style w:type="paragraph" w:styleId="11">
    <w:name w:val="table of figures"/>
    <w:basedOn w:val="1"/>
    <w:next w:val="1"/>
    <w:autoRedefine/>
    <w:unhideWhenUsed/>
    <w:qFormat/>
    <w:uiPriority w:val="99"/>
    <w:pPr>
      <w:spacing w:line="276" w:lineRule="auto"/>
    </w:pPr>
    <w:rPr>
      <w:rFonts w:ascii="Cambria" w:hAnsi="Cambria"/>
      <w:sz w:val="20"/>
      <w:szCs w:val="22"/>
      <w:lang w:val="en-US"/>
    </w:rPr>
  </w:style>
  <w:style w:type="character" w:customStyle="1" w:styleId="12">
    <w:name w:val="Heading 1 Char"/>
    <w:basedOn w:val="6"/>
    <w:link w:val="2"/>
    <w:uiPriority w:val="9"/>
    <w:rPr>
      <w:rFonts w:ascii="Cambria" w:hAnsi="Cambria" w:eastAsiaTheme="majorEastAsia" w:cstheme="majorBidi"/>
      <w:bCs/>
      <w:sz w:val="28"/>
      <w:szCs w:val="28"/>
      <w:lang w:val="en-US"/>
    </w:rPr>
  </w:style>
  <w:style w:type="character" w:customStyle="1" w:styleId="13">
    <w:name w:val="Heading 2 Char"/>
    <w:basedOn w:val="6"/>
    <w:link w:val="4"/>
    <w:uiPriority w:val="9"/>
    <w:rPr>
      <w:rFonts w:ascii="Cambria" w:hAnsi="Cambria" w:eastAsiaTheme="majorEastAsia" w:cstheme="majorBidi"/>
      <w:color w:val="000000" w:themeColor="text1"/>
      <w:sz w:val="26"/>
      <w:szCs w:val="26"/>
      <w:lang w:val="en-US"/>
      <w14:textFill>
        <w14:solidFill>
          <w14:schemeClr w14:val="tx1"/>
        </w14:solidFill>
      </w14:textFill>
    </w:rPr>
  </w:style>
  <w:style w:type="character" w:customStyle="1" w:styleId="14">
    <w:name w:val="Heading 3 Char"/>
    <w:basedOn w:val="6"/>
    <w:link w:val="5"/>
    <w:uiPriority w:val="9"/>
    <w:rPr>
      <w:rFonts w:ascii="Cambria" w:hAnsi="Cambria" w:eastAsiaTheme="majorEastAsia" w:cstheme="majorBidi"/>
      <w:color w:val="000000" w:themeColor="text1"/>
      <w:lang w:val="en-US"/>
      <w14:textFill>
        <w14:solidFill>
          <w14:schemeClr w14:val="tx1"/>
        </w14:solidFill>
      </w14:textFill>
    </w:rPr>
  </w:style>
  <w:style w:type="paragraph" w:styleId="15">
    <w:name w:val="List Paragraph"/>
    <w:basedOn w:val="1"/>
    <w:qFormat/>
    <w:uiPriority w:val="34"/>
    <w:pPr>
      <w:ind w:left="720"/>
      <w:contextualSpacing/>
    </w:pPr>
  </w:style>
  <w:style w:type="character" w:customStyle="1" w:styleId="16">
    <w:name w:val="Header Char"/>
    <w:basedOn w:val="6"/>
    <w:link w:val="9"/>
    <w:uiPriority w:val="99"/>
  </w:style>
  <w:style w:type="character" w:customStyle="1" w:styleId="17">
    <w:name w:val="Footer Char"/>
    <w:basedOn w:val="6"/>
    <w:link w:val="8"/>
    <w:uiPriority w:val="99"/>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1231</Words>
  <Characters>7018</Characters>
  <Lines>58</Lines>
  <Paragraphs>16</Paragraphs>
  <TotalTime>13</TotalTime>
  <ScaleCrop>false</ScaleCrop>
  <LinksUpToDate>false</LinksUpToDate>
  <CharactersWithSpaces>8233</CharactersWithSpaces>
  <Application>WPS Office_6.13.1.8710_F1E327BC-269C-435d-A152-05C5408002CA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2025-05-23T17:20:00Z</dcterms:created>
  <dcterms:modified xsi:type="dcterms:W3CDTF">2025-05-23T20:05:57Z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1033-6.13.1.8710</vt:lpwstr>
  </property>
  <property fmtid="{D5CDD505-2E9C-101B-9397-08002B2CF9AE}" pid="3" name="ICV">
    <vt:lpwstr>D42D5296D903253905B930685FDA75FC_42</vt:lpwstr>
  </property>
</Properties>
</file>