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5069" w14:textId="77777777" w:rsidR="008B1B26" w:rsidRPr="008B1B26" w:rsidRDefault="008B1B26" w:rsidP="008B1B26">
      <w:pPr>
        <w:pStyle w:val="Heading1"/>
        <w:jc w:val="center"/>
        <w:rPr>
          <w:rFonts w:ascii="Times New Roman" w:eastAsia="Times New Roman" w:hAnsi="Times New Roman" w:cstheme="minorBidi"/>
          <w:color w:val="auto"/>
          <w:sz w:val="24"/>
          <w:szCs w:val="22"/>
        </w:rPr>
      </w:pPr>
      <w:r w:rsidRPr="008B1B26">
        <w:rPr>
          <w:rFonts w:ascii="Times New Roman" w:eastAsia="Times New Roman" w:hAnsi="Times New Roman" w:cstheme="minorBidi"/>
          <w:color w:val="auto"/>
          <w:sz w:val="24"/>
          <w:szCs w:val="22"/>
        </w:rPr>
        <w:t>M07 – SOCIOECONOMIC AND LEGAL ENVIRONMENT</w:t>
      </w:r>
    </w:p>
    <w:p w14:paraId="012590A2" w14:textId="77777777" w:rsidR="008B1B26" w:rsidRPr="008B1B26" w:rsidRDefault="008B1B26" w:rsidP="008B1B26">
      <w:pPr>
        <w:pStyle w:val="Heading1"/>
        <w:jc w:val="center"/>
        <w:rPr>
          <w:rFonts w:ascii="Times New Roman" w:eastAsia="Times New Roman" w:hAnsi="Times New Roman" w:cstheme="minorBidi"/>
          <w:color w:val="auto"/>
          <w:sz w:val="24"/>
          <w:szCs w:val="22"/>
        </w:rPr>
      </w:pPr>
      <w:r w:rsidRPr="008B1B26">
        <w:rPr>
          <w:rFonts w:ascii="Times New Roman" w:eastAsia="Times New Roman" w:hAnsi="Times New Roman" w:cstheme="minorBidi"/>
          <w:color w:val="auto"/>
          <w:sz w:val="24"/>
          <w:szCs w:val="22"/>
        </w:rPr>
        <w:t>Economic Environment and Strategic Business Decision-Making: A Critical Analysis of Toyota Motor Corporation</w:t>
      </w:r>
    </w:p>
    <w:p w14:paraId="38551B3C" w14:textId="77777777" w:rsidR="008B1B26" w:rsidRPr="008B1B26" w:rsidRDefault="008B1B26" w:rsidP="008B1B26">
      <w:pPr>
        <w:pStyle w:val="Heading1"/>
        <w:jc w:val="center"/>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Assignment: Strategic Analysis Report</w:t>
      </w:r>
    </w:p>
    <w:p w14:paraId="3402AD6B" w14:textId="77777777" w:rsidR="008B1B26" w:rsidRPr="008B1B26" w:rsidRDefault="008B1B26" w:rsidP="008B1B26">
      <w:pPr>
        <w:pStyle w:val="Heading1"/>
        <w:jc w:val="center"/>
        <w:rPr>
          <w:rFonts w:ascii="Times New Roman" w:eastAsia="Times New Roman" w:hAnsi="Times New Roman" w:cstheme="minorBidi"/>
          <w:b w:val="0"/>
          <w:bCs w:val="0"/>
          <w:color w:val="auto"/>
          <w:sz w:val="24"/>
          <w:szCs w:val="22"/>
        </w:rPr>
      </w:pPr>
      <w:proofErr w:type="spellStart"/>
      <w:r w:rsidRPr="008B1B26">
        <w:rPr>
          <w:rFonts w:ascii="Times New Roman" w:eastAsia="Times New Roman" w:hAnsi="Times New Roman" w:cstheme="minorBidi"/>
          <w:b w:val="0"/>
          <w:bCs w:val="0"/>
          <w:color w:val="auto"/>
          <w:sz w:val="24"/>
          <w:szCs w:val="22"/>
        </w:rPr>
        <w:t>Organisation</w:t>
      </w:r>
      <w:proofErr w:type="spellEnd"/>
      <w:r w:rsidRPr="008B1B26">
        <w:rPr>
          <w:rFonts w:ascii="Times New Roman" w:eastAsia="Times New Roman" w:hAnsi="Times New Roman" w:cstheme="minorBidi"/>
          <w:b w:val="0"/>
          <w:bCs w:val="0"/>
          <w:color w:val="auto"/>
          <w:sz w:val="24"/>
          <w:szCs w:val="22"/>
        </w:rPr>
        <w:t>: Toyota Motor Corporation</w:t>
      </w:r>
    </w:p>
    <w:p w14:paraId="2B9FE991" w14:textId="0FDEEC10" w:rsidR="008B1B26" w:rsidRDefault="008B1B26" w:rsidP="008B1B26">
      <w:pPr>
        <w:pStyle w:val="Heading1"/>
        <w:jc w:val="center"/>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Approximate Word Count: 4,300 words</w:t>
      </w:r>
    </w:p>
    <w:p w14:paraId="3CCB8AB0" w14:textId="77777777" w:rsidR="008B1B26" w:rsidRDefault="008B1B26" w:rsidP="008B1B26">
      <w:pPr>
        <w:pStyle w:val="Heading1"/>
        <w:rPr>
          <w:rFonts w:ascii="Times New Roman" w:eastAsia="Times New Roman" w:hAnsi="Times New Roman" w:cstheme="minorBidi"/>
          <w:b w:val="0"/>
          <w:bCs w:val="0"/>
          <w:color w:val="auto"/>
          <w:sz w:val="24"/>
          <w:szCs w:val="22"/>
        </w:rPr>
      </w:pPr>
    </w:p>
    <w:p w14:paraId="4D8A12AA" w14:textId="77777777" w:rsidR="008B1B26" w:rsidRDefault="008B1B26" w:rsidP="008B1B26"/>
    <w:p w14:paraId="35676D83" w14:textId="77777777" w:rsidR="008B1B26" w:rsidRDefault="008B1B26" w:rsidP="008B1B26">
      <w:pPr>
        <w:pStyle w:val="Heading1"/>
        <w:rPr>
          <w:rFonts w:ascii="Times New Roman" w:eastAsia="Times New Roman" w:hAnsi="Times New Roman" w:cstheme="minorBidi"/>
          <w:b w:val="0"/>
          <w:bCs w:val="0"/>
          <w:color w:val="auto"/>
          <w:sz w:val="24"/>
          <w:szCs w:val="22"/>
        </w:rPr>
      </w:pPr>
    </w:p>
    <w:p w14:paraId="068A54C7" w14:textId="77777777" w:rsidR="008B1B26" w:rsidRDefault="008B1B26" w:rsidP="008B1B26"/>
    <w:p w14:paraId="35AA76E1" w14:textId="77777777" w:rsidR="008B1B26" w:rsidRDefault="008B1B26" w:rsidP="008B1B26"/>
    <w:p w14:paraId="6B34CAAD" w14:textId="77777777" w:rsidR="008B1B26" w:rsidRPr="008B1B26" w:rsidRDefault="008B1B26" w:rsidP="008B1B26"/>
    <w:p w14:paraId="29A88699" w14:textId="77777777" w:rsidR="008B1B26" w:rsidRPr="008B1B26" w:rsidRDefault="008B1B26" w:rsidP="008B1B26">
      <w:pPr>
        <w:pStyle w:val="Heading1"/>
        <w:rPr>
          <w:rFonts w:ascii="Times New Roman" w:eastAsia="Times New Roman" w:hAnsi="Times New Roman" w:cstheme="minorBidi"/>
          <w:color w:val="auto"/>
          <w:sz w:val="24"/>
          <w:szCs w:val="22"/>
        </w:rPr>
      </w:pPr>
      <w:r w:rsidRPr="008B1B26">
        <w:rPr>
          <w:rFonts w:ascii="Times New Roman" w:eastAsia="Times New Roman" w:hAnsi="Times New Roman" w:cstheme="minorBidi"/>
          <w:color w:val="auto"/>
          <w:sz w:val="24"/>
          <w:szCs w:val="22"/>
        </w:rPr>
        <w:lastRenderedPageBreak/>
        <w:t>Table of Contents</w:t>
      </w:r>
    </w:p>
    <w:p w14:paraId="414070C7"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Abstract</w:t>
      </w:r>
    </w:p>
    <w:p w14:paraId="603349EC"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Introduction</w:t>
      </w:r>
    </w:p>
    <w:p w14:paraId="2AA7D574"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Literature Review</w:t>
      </w:r>
    </w:p>
    <w:p w14:paraId="03B47A24"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3.1 Macroeconomic Environment and Business Strategy</w:t>
      </w:r>
    </w:p>
    <w:p w14:paraId="3DBE76FE"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 xml:space="preserve">3.2 Inflation and Consumer </w:t>
      </w:r>
      <w:proofErr w:type="spellStart"/>
      <w:r w:rsidRPr="008B1B26">
        <w:rPr>
          <w:rFonts w:ascii="Times New Roman" w:eastAsia="Times New Roman" w:hAnsi="Times New Roman" w:cstheme="minorBidi"/>
          <w:b w:val="0"/>
          <w:bCs w:val="0"/>
          <w:color w:val="auto"/>
          <w:sz w:val="24"/>
          <w:szCs w:val="22"/>
        </w:rPr>
        <w:t>Behaviour</w:t>
      </w:r>
      <w:proofErr w:type="spellEnd"/>
    </w:p>
    <w:p w14:paraId="4EE7C5CA"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3.3 Interest Rates, Investment and Financing</w:t>
      </w:r>
    </w:p>
    <w:p w14:paraId="2C9BB638"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3.4 Employment, Income and Economic Growth</w:t>
      </w:r>
    </w:p>
    <w:p w14:paraId="6CAA4208"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3.5 Sociodemographic Factors and Consumer Preferences</w:t>
      </w:r>
    </w:p>
    <w:p w14:paraId="5AB415E1"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 xml:space="preserve">3.6 </w:t>
      </w:r>
      <w:proofErr w:type="spellStart"/>
      <w:r w:rsidRPr="008B1B26">
        <w:rPr>
          <w:rFonts w:ascii="Times New Roman" w:eastAsia="Times New Roman" w:hAnsi="Times New Roman" w:cstheme="minorBidi"/>
          <w:b w:val="0"/>
          <w:bCs w:val="0"/>
          <w:color w:val="auto"/>
          <w:sz w:val="24"/>
          <w:szCs w:val="22"/>
        </w:rPr>
        <w:t>Globalisation</w:t>
      </w:r>
      <w:proofErr w:type="spellEnd"/>
      <w:r w:rsidRPr="008B1B26">
        <w:rPr>
          <w:rFonts w:ascii="Times New Roman" w:eastAsia="Times New Roman" w:hAnsi="Times New Roman" w:cstheme="minorBidi"/>
          <w:b w:val="0"/>
          <w:bCs w:val="0"/>
          <w:color w:val="auto"/>
          <w:sz w:val="24"/>
          <w:szCs w:val="22"/>
        </w:rPr>
        <w:t>, Exchange Rates and Geopolitical Risk</w:t>
      </w:r>
    </w:p>
    <w:p w14:paraId="49B84502"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 xml:space="preserve">3.7 Supply-Chain Risk and </w:t>
      </w:r>
      <w:proofErr w:type="spellStart"/>
      <w:r w:rsidRPr="008B1B26">
        <w:rPr>
          <w:rFonts w:ascii="Times New Roman" w:eastAsia="Times New Roman" w:hAnsi="Times New Roman" w:cstheme="minorBidi"/>
          <w:b w:val="0"/>
          <w:bCs w:val="0"/>
          <w:color w:val="auto"/>
          <w:sz w:val="24"/>
          <w:szCs w:val="22"/>
        </w:rPr>
        <w:t>Organisational</w:t>
      </w:r>
      <w:proofErr w:type="spellEnd"/>
      <w:r w:rsidRPr="008B1B26">
        <w:rPr>
          <w:rFonts w:ascii="Times New Roman" w:eastAsia="Times New Roman" w:hAnsi="Times New Roman" w:cstheme="minorBidi"/>
          <w:b w:val="0"/>
          <w:bCs w:val="0"/>
          <w:color w:val="auto"/>
          <w:sz w:val="24"/>
          <w:szCs w:val="22"/>
        </w:rPr>
        <w:t xml:space="preserve"> Resilience</w:t>
      </w:r>
    </w:p>
    <w:p w14:paraId="3D3C49A0"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Methodology</w:t>
      </w:r>
    </w:p>
    <w:p w14:paraId="4CE1482E"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Findings: Toyota and the Socioeconomic Environment</w:t>
      </w:r>
    </w:p>
    <w:p w14:paraId="799AEA5E"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5.1 Inflation and Cost Pressures</w:t>
      </w:r>
    </w:p>
    <w:p w14:paraId="471E1A4C"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5.2 Interest Rates and Financing Conditions</w:t>
      </w:r>
    </w:p>
    <w:p w14:paraId="68E3C314"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 xml:space="preserve">5.3 Employment and </w:t>
      </w:r>
      <w:proofErr w:type="spellStart"/>
      <w:r w:rsidRPr="008B1B26">
        <w:rPr>
          <w:rFonts w:ascii="Times New Roman" w:eastAsia="Times New Roman" w:hAnsi="Times New Roman" w:cstheme="minorBidi"/>
          <w:b w:val="0"/>
          <w:bCs w:val="0"/>
          <w:color w:val="auto"/>
          <w:sz w:val="24"/>
          <w:szCs w:val="22"/>
        </w:rPr>
        <w:t>Labour</w:t>
      </w:r>
      <w:proofErr w:type="spellEnd"/>
      <w:r w:rsidRPr="008B1B26">
        <w:rPr>
          <w:rFonts w:ascii="Times New Roman" w:eastAsia="Times New Roman" w:hAnsi="Times New Roman" w:cstheme="minorBidi"/>
          <w:b w:val="0"/>
          <w:bCs w:val="0"/>
          <w:color w:val="auto"/>
          <w:sz w:val="24"/>
          <w:szCs w:val="22"/>
        </w:rPr>
        <w:t>-Market Conditions</w:t>
      </w:r>
    </w:p>
    <w:p w14:paraId="04BFBE92"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5.4 Economic Growth and Consumer Demand</w:t>
      </w:r>
    </w:p>
    <w:p w14:paraId="4AFE9485"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lastRenderedPageBreak/>
        <w:t>5.5 Sociodemographic Change and Electrification</w:t>
      </w:r>
    </w:p>
    <w:p w14:paraId="239495F9"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5.6 Exchange Rates and Global Market Exposure</w:t>
      </w:r>
    </w:p>
    <w:p w14:paraId="164A3B44"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5.7 Supply-Chain and Geopolitical Uncertainty</w:t>
      </w:r>
    </w:p>
    <w:p w14:paraId="38D04FF5"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Discussion</w:t>
      </w:r>
    </w:p>
    <w:p w14:paraId="2A9842F2"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6.1 Strategic Responses to Changing Economic Conditions</w:t>
      </w:r>
    </w:p>
    <w:p w14:paraId="2E4D08B2"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6.2 Toyota's Multi-Pathway Strategy</w:t>
      </w:r>
    </w:p>
    <w:p w14:paraId="5C5352C7"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 xml:space="preserve">6.3 </w:t>
      </w:r>
      <w:proofErr w:type="spellStart"/>
      <w:r w:rsidRPr="008B1B26">
        <w:rPr>
          <w:rFonts w:ascii="Times New Roman" w:eastAsia="Times New Roman" w:hAnsi="Times New Roman" w:cstheme="minorBidi"/>
          <w:b w:val="0"/>
          <w:bCs w:val="0"/>
          <w:color w:val="auto"/>
          <w:sz w:val="24"/>
          <w:szCs w:val="22"/>
        </w:rPr>
        <w:t>Localisation</w:t>
      </w:r>
      <w:proofErr w:type="spellEnd"/>
      <w:r w:rsidRPr="008B1B26">
        <w:rPr>
          <w:rFonts w:ascii="Times New Roman" w:eastAsia="Times New Roman" w:hAnsi="Times New Roman" w:cstheme="minorBidi"/>
          <w:b w:val="0"/>
          <w:bCs w:val="0"/>
          <w:color w:val="auto"/>
          <w:sz w:val="24"/>
          <w:szCs w:val="22"/>
        </w:rPr>
        <w:t xml:space="preserve"> and Supply-Chain Resilience</w:t>
      </w:r>
    </w:p>
    <w:p w14:paraId="039B8C64"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6.4 Financial and Operational Flexibility</w:t>
      </w:r>
    </w:p>
    <w:p w14:paraId="0165819E"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6.5 Critical Evaluation</w:t>
      </w:r>
    </w:p>
    <w:p w14:paraId="2E2A4119"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Recommendations</w:t>
      </w:r>
    </w:p>
    <w:p w14:paraId="2610267D"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Conclusion</w:t>
      </w:r>
    </w:p>
    <w:p w14:paraId="54A1568C" w14:textId="77777777" w:rsidR="008B1B26" w:rsidRP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References</w:t>
      </w:r>
    </w:p>
    <w:p w14:paraId="7198816A" w14:textId="77777777" w:rsidR="008B1B26" w:rsidRDefault="008B1B26" w:rsidP="008B1B26">
      <w:pPr>
        <w:pStyle w:val="Heading1"/>
        <w:spacing w:line="240" w:lineRule="auto"/>
        <w:rPr>
          <w:rFonts w:ascii="Times New Roman" w:eastAsia="Times New Roman" w:hAnsi="Times New Roman" w:cstheme="minorBidi"/>
          <w:b w:val="0"/>
          <w:bCs w:val="0"/>
          <w:color w:val="auto"/>
          <w:sz w:val="24"/>
          <w:szCs w:val="22"/>
        </w:rPr>
      </w:pPr>
      <w:r w:rsidRPr="008B1B26">
        <w:rPr>
          <w:rFonts w:ascii="Times New Roman" w:eastAsia="Times New Roman" w:hAnsi="Times New Roman" w:cstheme="minorBidi"/>
          <w:b w:val="0"/>
          <w:bCs w:val="0"/>
          <w:color w:val="auto"/>
          <w:sz w:val="24"/>
          <w:szCs w:val="22"/>
        </w:rPr>
        <w:t>Appendices</w:t>
      </w:r>
    </w:p>
    <w:p w14:paraId="16C43046" w14:textId="77777777" w:rsidR="00F23CCE" w:rsidRDefault="00F23CCE" w:rsidP="00F23CCE"/>
    <w:p w14:paraId="6DA859C2" w14:textId="77777777" w:rsidR="00F23CCE" w:rsidRDefault="00F23CCE" w:rsidP="00F23CCE"/>
    <w:p w14:paraId="7F85EC68" w14:textId="77777777" w:rsidR="00F23CCE" w:rsidRDefault="00F23CCE" w:rsidP="00F23CCE"/>
    <w:p w14:paraId="44F58F3A" w14:textId="77777777" w:rsidR="00F23CCE" w:rsidRDefault="00F23CCE" w:rsidP="00F23CCE"/>
    <w:p w14:paraId="445DCB23" w14:textId="77777777" w:rsidR="00F23CCE" w:rsidRDefault="00F23CCE" w:rsidP="00F23CCE"/>
    <w:p w14:paraId="26DFDEED" w14:textId="77777777" w:rsidR="00F23CCE" w:rsidRDefault="00F23CCE" w:rsidP="00F23CCE"/>
    <w:p w14:paraId="3D562F13" w14:textId="77777777" w:rsidR="0099771A" w:rsidRDefault="0099771A" w:rsidP="00F23CCE"/>
    <w:p w14:paraId="37E77791" w14:textId="77777777" w:rsidR="0099771A" w:rsidRPr="0099771A" w:rsidRDefault="0099771A" w:rsidP="0099771A">
      <w:pPr>
        <w:rPr>
          <w:b/>
          <w:bCs/>
          <w:lang w:val="en-GB"/>
        </w:rPr>
      </w:pPr>
      <w:r w:rsidRPr="0099771A">
        <w:rPr>
          <w:b/>
          <w:bCs/>
          <w:lang w:val="en-GB"/>
        </w:rPr>
        <w:lastRenderedPageBreak/>
        <w:t>1. Abstract</w:t>
      </w:r>
    </w:p>
    <w:p w14:paraId="45E2CF97" w14:textId="77777777" w:rsidR="0099771A" w:rsidRPr="0099771A" w:rsidRDefault="0099771A" w:rsidP="0099771A">
      <w:pPr>
        <w:rPr>
          <w:lang w:val="en-GB"/>
        </w:rPr>
      </w:pPr>
      <w:r w:rsidRPr="0099771A">
        <w:rPr>
          <w:lang w:val="en-GB"/>
        </w:rPr>
        <w:t xml:space="preserve">This report critically examines how socioeconomic and macroeconomic conditions influence strategic decision-making and organisational performance at Toyota Motor Corporation. As one of the world's largest automotive manufacturers, Toyota operates across markets characterised by different inflation rates, interest-rate environments, income levels, demographic structures, regulations and consumer preferences. This makes the company highly exposed to changes in the global economic environment. The report adopts a qualitative secondary-research methodology drawing on peer-reviewed academic literature, Toyota corporate reports and financial information. The analysis identifies inflation, interest rates, employment, economic growth, consumer behaviour, demographic transformation, exchange-rate movements, geopolitical uncertainty and global supply-chain disruption as significant external influences on Toyota. </w:t>
      </w:r>
      <w:proofErr w:type="gramStart"/>
      <w:r w:rsidRPr="0099771A">
        <w:rPr>
          <w:lang w:val="en-GB"/>
        </w:rPr>
        <w:t>Particular attention</w:t>
      </w:r>
      <w:proofErr w:type="gramEnd"/>
      <w:r w:rsidRPr="0099771A">
        <w:rPr>
          <w:lang w:val="en-GB"/>
        </w:rPr>
        <w:t xml:space="preserve"> is given to the transition towards electrified mobility and Toyota's multi-pathway approach involving hybrid, plug-in hybrid, battery-electric and fuel-cell technologies. The findings suggest that Toyota's global diversification, manufacturing capabilities, product portfolio and localisation provide resilience, but simultaneously expose the organisation to substantial economic and geopolitical complexity. The report recommends deeper supply-chain regionalisation, flexible vehicle and powertrain strategies, affordability-focused electrification, enhanced macroeconomic scenario planning and stronger digital demand forecasting. Overall, Toyota demonstrates how multinational firms must integrate socioeconomic analysis into investment, production, financing, product and market decisions.</w:t>
      </w:r>
    </w:p>
    <w:p w14:paraId="2942AC7F" w14:textId="77777777" w:rsidR="0099771A" w:rsidRPr="0099771A" w:rsidRDefault="0099771A" w:rsidP="0099771A">
      <w:pPr>
        <w:rPr>
          <w:lang w:val="en-GB"/>
        </w:rPr>
      </w:pPr>
      <w:r w:rsidRPr="0099771A">
        <w:rPr>
          <w:lang w:val="en-GB"/>
        </w:rPr>
        <w:pict w14:anchorId="333FE964">
          <v:rect id="_x0000_i1187" style="width:0;height:1.5pt" o:hralign="center" o:hrstd="t" o:hr="t" fillcolor="#a0a0a0" stroked="f"/>
        </w:pict>
      </w:r>
    </w:p>
    <w:p w14:paraId="7DE05967" w14:textId="77777777" w:rsidR="0099771A" w:rsidRPr="0099771A" w:rsidRDefault="0099771A" w:rsidP="0099771A">
      <w:pPr>
        <w:rPr>
          <w:b/>
          <w:bCs/>
          <w:lang w:val="en-GB"/>
        </w:rPr>
      </w:pPr>
      <w:r w:rsidRPr="0099771A">
        <w:rPr>
          <w:b/>
          <w:bCs/>
          <w:lang w:val="en-GB"/>
        </w:rPr>
        <w:t>2. Introduction</w:t>
      </w:r>
    </w:p>
    <w:p w14:paraId="22D2B962" w14:textId="77777777" w:rsidR="0099771A" w:rsidRPr="0099771A" w:rsidRDefault="0099771A" w:rsidP="0099771A">
      <w:pPr>
        <w:rPr>
          <w:lang w:val="en-GB"/>
        </w:rPr>
      </w:pPr>
      <w:r w:rsidRPr="0099771A">
        <w:rPr>
          <w:lang w:val="en-GB"/>
        </w:rPr>
        <w:lastRenderedPageBreak/>
        <w:t>Business organisations do not operate independently of their economic and social environments. Changes in inflation, interest rates, economic growth, employment, disposable income, demographics and consumer expectations influence the demand for products, the availability and cost of finance, production costs and investment decisions. These factors become particularly significant for multinational corporations because they operate simultaneously across economies experiencing different business cycles and regulatory conditions.</w:t>
      </w:r>
    </w:p>
    <w:p w14:paraId="091EACE9" w14:textId="77777777" w:rsidR="0099771A" w:rsidRPr="0099771A" w:rsidRDefault="0099771A" w:rsidP="0099771A">
      <w:pPr>
        <w:rPr>
          <w:lang w:val="en-GB"/>
        </w:rPr>
      </w:pPr>
      <w:r w:rsidRPr="0099771A">
        <w:rPr>
          <w:lang w:val="en-GB"/>
        </w:rPr>
        <w:t>The automotive industry provides an especially useful context for examining these relationships. Automobiles are high-value durable products, meaning that consumer purchasing decisions are strongly influenced by income, confidence, employment security, borrowing costs and expectations concerning future economic conditions. At the same time, vehicle manufacturing requires extensive capital investment, global supply networks, large workforces, sophisticated technologies and access to raw materials. Consequently, both demand-side and supply-side economic changes can significantly influence automotive firms.</w:t>
      </w:r>
    </w:p>
    <w:p w14:paraId="78DC24FB" w14:textId="77777777" w:rsidR="0099771A" w:rsidRPr="0099771A" w:rsidRDefault="0099771A" w:rsidP="0099771A">
      <w:pPr>
        <w:rPr>
          <w:lang w:val="en-GB"/>
        </w:rPr>
      </w:pPr>
      <w:r w:rsidRPr="0099771A">
        <w:rPr>
          <w:lang w:val="en-GB"/>
        </w:rPr>
        <w:t xml:space="preserve">This report focuses on </w:t>
      </w:r>
      <w:hyperlink r:id="rId8" w:tgtFrame="_blank" w:history="1">
        <w:r w:rsidRPr="0099771A">
          <w:rPr>
            <w:rStyle w:val="Hyperlink"/>
            <w:lang w:val="en-GB"/>
          </w:rPr>
          <w:t>Toyota Motor Corporation</w:t>
        </w:r>
      </w:hyperlink>
      <w:r w:rsidRPr="0099771A">
        <w:rPr>
          <w:lang w:val="en-GB"/>
        </w:rPr>
        <w:t xml:space="preserve">. Toyota provides a particularly appropriate case because of its geographical diversification and broad technology portfolio. Its 2025 Integrated Report shows that Toyota's vehicle sales were distributed across North America, Europe, Asia, China, Japan and other markets. The same report indicates that approximately 46% of its global sales mix was electrified, including hybrid electric vehicles (HEVs), plug-in hybrids (PHEVs), battery electric vehicles (BEVs) and fuel-cell vehicles. </w:t>
      </w:r>
    </w:p>
    <w:p w14:paraId="3083B62F" w14:textId="77777777" w:rsidR="0099771A" w:rsidRPr="0099771A" w:rsidRDefault="0099771A" w:rsidP="0099771A">
      <w:pPr>
        <w:rPr>
          <w:lang w:val="en-GB"/>
        </w:rPr>
      </w:pPr>
      <w:r w:rsidRPr="0099771A">
        <w:rPr>
          <w:lang w:val="en-GB"/>
        </w:rPr>
        <w:t xml:space="preserve">Toyota's scale does not protect it from macroeconomic pressure. Its FY2026 automotive sales revenue increased 5.1% to ¥45,417.7 billion, but automotive operating income fell 29.5% to ¥2,777.0 billion. This divergence demonstrates an important principle of socioeconomic </w:t>
      </w:r>
      <w:r w:rsidRPr="0099771A">
        <w:rPr>
          <w:lang w:val="en-GB"/>
        </w:rPr>
        <w:lastRenderedPageBreak/>
        <w:t>analysis: increasing revenue alone does not guarantee stronger organisational performance when costs, currency conditions, financing environments and market pressures change.</w:t>
      </w:r>
    </w:p>
    <w:p w14:paraId="47F0EC6F" w14:textId="77777777" w:rsidR="0099771A" w:rsidRPr="0099771A" w:rsidRDefault="0099771A" w:rsidP="0099771A">
      <w:pPr>
        <w:rPr>
          <w:lang w:val="en-GB"/>
        </w:rPr>
      </w:pPr>
      <w:r w:rsidRPr="0099771A">
        <w:rPr>
          <w:lang w:val="en-GB"/>
        </w:rPr>
        <w:t>The purpose of this report is therefore to critically analyse how socioeconomic factors affect Toyota's organisational decision-making and performance. Specifically, it examines macroeconomic and sociodemographic influences; inflation, interest rates, employment, economic growth and consumer behaviour; global economic dynamics and market volatility; and the strategic responses available to Toyota. The central argument is that Toyota's long-term competitiveness depends not simply on predicting individual economic indicators but on maintaining sufficient strategic flexibility to respond to different socioeconomic conditions across markets.</w:t>
      </w:r>
    </w:p>
    <w:p w14:paraId="00AB437B" w14:textId="77777777" w:rsidR="0099771A" w:rsidRPr="0099771A" w:rsidRDefault="0099771A" w:rsidP="0099771A">
      <w:pPr>
        <w:rPr>
          <w:lang w:val="en-GB"/>
        </w:rPr>
      </w:pPr>
      <w:r w:rsidRPr="0099771A">
        <w:rPr>
          <w:lang w:val="en-GB"/>
        </w:rPr>
        <w:pict w14:anchorId="35E9630B">
          <v:rect id="_x0000_i1188" style="width:0;height:1.5pt" o:hralign="center" o:hrstd="t" o:hr="t" fillcolor="#a0a0a0" stroked="f"/>
        </w:pict>
      </w:r>
    </w:p>
    <w:p w14:paraId="45488167" w14:textId="77777777" w:rsidR="0099771A" w:rsidRPr="0099771A" w:rsidRDefault="0099771A" w:rsidP="0099771A">
      <w:pPr>
        <w:rPr>
          <w:b/>
          <w:bCs/>
          <w:lang w:val="en-GB"/>
        </w:rPr>
      </w:pPr>
      <w:r w:rsidRPr="0099771A">
        <w:rPr>
          <w:b/>
          <w:bCs/>
          <w:lang w:val="en-GB"/>
        </w:rPr>
        <w:t>3. Literature Review</w:t>
      </w:r>
    </w:p>
    <w:p w14:paraId="09991D58" w14:textId="77777777" w:rsidR="0099771A" w:rsidRPr="0099771A" w:rsidRDefault="0099771A" w:rsidP="0099771A">
      <w:pPr>
        <w:rPr>
          <w:b/>
          <w:bCs/>
          <w:lang w:val="en-GB"/>
        </w:rPr>
      </w:pPr>
      <w:r w:rsidRPr="0099771A">
        <w:rPr>
          <w:b/>
          <w:bCs/>
          <w:lang w:val="en-GB"/>
        </w:rPr>
        <w:t>3.1 Macroeconomic Environment and Business Strategy</w:t>
      </w:r>
    </w:p>
    <w:p w14:paraId="52077E80" w14:textId="77777777" w:rsidR="0099771A" w:rsidRPr="0099771A" w:rsidRDefault="0099771A" w:rsidP="0099771A">
      <w:pPr>
        <w:rPr>
          <w:lang w:val="en-GB"/>
        </w:rPr>
      </w:pPr>
      <w:r w:rsidRPr="0099771A">
        <w:rPr>
          <w:lang w:val="en-GB"/>
        </w:rPr>
        <w:t>The macroeconomic environment represents the broad economic conditions within which businesses make strategic decisions. Important indicators include gross domestic product (GDP), inflation, unemployment, interest rates, exchange rates and levels of consumer expenditure. These variables influence both the expected profitability of investments and the uncertainty associated with future cash flows.</w:t>
      </w:r>
    </w:p>
    <w:p w14:paraId="048CE3EC" w14:textId="77777777" w:rsidR="0099771A" w:rsidRPr="0099771A" w:rsidRDefault="0099771A" w:rsidP="0099771A">
      <w:pPr>
        <w:rPr>
          <w:lang w:val="en-GB"/>
        </w:rPr>
      </w:pPr>
      <w:r w:rsidRPr="0099771A">
        <w:rPr>
          <w:lang w:val="en-GB"/>
        </w:rPr>
        <w:t xml:space="preserve">One important theoretical concept is economic policy uncertainty (EPU). Uncertainty can cause businesses to delay investments because managers face incomplete information about future demand, regulation, taxation and financing conditions. Kang et al. (2014) found that economic policy uncertainty, particularly when combined with firm-level uncertainty, negatively affects </w:t>
      </w:r>
      <w:r w:rsidRPr="0099771A">
        <w:rPr>
          <w:lang w:val="en-GB"/>
        </w:rPr>
        <w:lastRenderedPageBreak/>
        <w:t>corporate investment. Similarly, Chen et al. (2019) found evidence that firms reduce short-term, long-term and total investment when facing greater policy uncertainty.</w:t>
      </w:r>
    </w:p>
    <w:p w14:paraId="2C108C08" w14:textId="77777777" w:rsidR="0099771A" w:rsidRPr="0099771A" w:rsidRDefault="0099771A" w:rsidP="0099771A">
      <w:pPr>
        <w:rPr>
          <w:lang w:val="en-GB"/>
        </w:rPr>
      </w:pPr>
      <w:r w:rsidRPr="0099771A">
        <w:rPr>
          <w:lang w:val="en-GB"/>
        </w:rPr>
        <w:t xml:space="preserve">More recent evidence reinforces this relationship. Kong et al. (2022) found that macro-level EPU can reduce investment scale and efficiency while increasing the risk of both overinvestment and underinvestment. Sahani and Kumar (2026), examining 2,079 non-financial firms, similarly found that policy uncertainty adversely affected corporate investment partly through profitability and financing constraints. </w:t>
      </w:r>
    </w:p>
    <w:p w14:paraId="11D8EAB2" w14:textId="77777777" w:rsidR="0099771A" w:rsidRPr="0099771A" w:rsidRDefault="0099771A" w:rsidP="0099771A">
      <w:pPr>
        <w:rPr>
          <w:lang w:val="en-GB"/>
        </w:rPr>
      </w:pPr>
      <w:r w:rsidRPr="0099771A">
        <w:rPr>
          <w:lang w:val="en-GB"/>
        </w:rPr>
        <w:t>However, uncertainty should not automatically be interpreted as producing identical responses across firms. Yuan (2026) identifies a non-linear relationship whereby moderate uncertainty may encourage certain investments, while excessive uncertainty suppresses them. This distinction is relevant to Toyota because a large corporation with substantial financial resources and diversified operations may be able to invest counter-cyclically when smaller competitors are financially constrained.</w:t>
      </w:r>
    </w:p>
    <w:p w14:paraId="49B075B2" w14:textId="77777777" w:rsidR="0099771A" w:rsidRPr="0099771A" w:rsidRDefault="0099771A" w:rsidP="0099771A">
      <w:pPr>
        <w:rPr>
          <w:b/>
          <w:bCs/>
          <w:lang w:val="en-GB"/>
        </w:rPr>
      </w:pPr>
      <w:r w:rsidRPr="0099771A">
        <w:rPr>
          <w:b/>
          <w:bCs/>
          <w:lang w:val="en-GB"/>
        </w:rPr>
        <w:t>3.2 Inflation and Consumer Behaviour</w:t>
      </w:r>
    </w:p>
    <w:p w14:paraId="11A00F00" w14:textId="77777777" w:rsidR="0099771A" w:rsidRPr="0099771A" w:rsidRDefault="0099771A" w:rsidP="0099771A">
      <w:pPr>
        <w:rPr>
          <w:lang w:val="en-GB"/>
        </w:rPr>
      </w:pPr>
      <w:r w:rsidRPr="0099771A">
        <w:rPr>
          <w:lang w:val="en-GB"/>
        </w:rPr>
        <w:t>Inflation influences organisations through both supply and demand. On the supply side, increasing prices for energy, materials, components, transport and labour raise operating costs. Firms must then decide whether to absorb those increases through lower margins, improve productivity or transfer them to consumers through higher prices.</w:t>
      </w:r>
    </w:p>
    <w:p w14:paraId="446C249A" w14:textId="77777777" w:rsidR="0099771A" w:rsidRPr="0099771A" w:rsidRDefault="0099771A" w:rsidP="0099771A">
      <w:pPr>
        <w:rPr>
          <w:lang w:val="en-GB"/>
        </w:rPr>
      </w:pPr>
      <w:r w:rsidRPr="0099771A">
        <w:rPr>
          <w:lang w:val="en-GB"/>
        </w:rPr>
        <w:t xml:space="preserve">Demand-side effects are more complex. Inflation reduces the purchasing power of household income, but expectations of future price increases may encourage some consumers to bring forward durable purchases. Burke and </w:t>
      </w:r>
      <w:proofErr w:type="spellStart"/>
      <w:r w:rsidRPr="0099771A">
        <w:rPr>
          <w:lang w:val="en-GB"/>
        </w:rPr>
        <w:t>Ozdagli</w:t>
      </w:r>
      <w:proofErr w:type="spellEnd"/>
      <w:r w:rsidRPr="0099771A">
        <w:rPr>
          <w:lang w:val="en-GB"/>
        </w:rPr>
        <w:t xml:space="preserve"> (2023) find that higher expected inflation can increase durable expenditure for some households, although the overall relationship between inflation expectations and consumption is limited and heterogeneous. </w:t>
      </w:r>
    </w:p>
    <w:p w14:paraId="03C50B3B" w14:textId="77777777" w:rsidR="0099771A" w:rsidRPr="0099771A" w:rsidRDefault="0099771A" w:rsidP="0099771A">
      <w:pPr>
        <w:rPr>
          <w:lang w:val="en-GB"/>
        </w:rPr>
      </w:pPr>
      <w:proofErr w:type="spellStart"/>
      <w:r w:rsidRPr="0099771A">
        <w:rPr>
          <w:lang w:val="en-GB"/>
        </w:rPr>
        <w:lastRenderedPageBreak/>
        <w:t>Ichiue</w:t>
      </w:r>
      <w:proofErr w:type="spellEnd"/>
      <w:r w:rsidRPr="0099771A">
        <w:rPr>
          <w:lang w:val="en-GB"/>
        </w:rPr>
        <w:t xml:space="preserve"> and Nishiguchi's research on Japanese household expenditure similarly shows that increases in inflation expectations can stimulate durable-goods expenditure under certain conditions. Andrade et al. (2023), however, demonstrate that the relationship depends on how households form inflation expectations and that the inflation-expectation channel for durable spending may be weaker than standard economic models imply. </w:t>
      </w:r>
    </w:p>
    <w:p w14:paraId="394C7D66" w14:textId="77777777" w:rsidR="0099771A" w:rsidRPr="0099771A" w:rsidRDefault="0099771A" w:rsidP="0099771A">
      <w:pPr>
        <w:rPr>
          <w:lang w:val="en-GB"/>
        </w:rPr>
      </w:pPr>
      <w:r w:rsidRPr="0099771A">
        <w:rPr>
          <w:lang w:val="en-GB"/>
        </w:rPr>
        <w:t>This ambiguity is important for automobile manufacturers. Higher inflation may temporarily accelerate purchases among consumers expecting vehicle prices to increase, while prolonged inflation can reduce real disposable income and affordability. Firms therefore cannot assume a simple relationship between inflation and vehicle demand.</w:t>
      </w:r>
    </w:p>
    <w:p w14:paraId="467376EA" w14:textId="77777777" w:rsidR="0099771A" w:rsidRPr="0099771A" w:rsidRDefault="0099771A" w:rsidP="0099771A">
      <w:pPr>
        <w:rPr>
          <w:b/>
          <w:bCs/>
          <w:lang w:val="en-GB"/>
        </w:rPr>
      </w:pPr>
      <w:r w:rsidRPr="0099771A">
        <w:rPr>
          <w:b/>
          <w:bCs/>
          <w:lang w:val="en-GB"/>
        </w:rPr>
        <w:t>3.3 Interest Rates, Investment and Financing</w:t>
      </w:r>
    </w:p>
    <w:p w14:paraId="56A5C613" w14:textId="77777777" w:rsidR="0099771A" w:rsidRPr="0099771A" w:rsidRDefault="0099771A" w:rsidP="0099771A">
      <w:pPr>
        <w:rPr>
          <w:lang w:val="en-GB"/>
        </w:rPr>
      </w:pPr>
      <w:r w:rsidRPr="0099771A">
        <w:rPr>
          <w:lang w:val="en-GB"/>
        </w:rPr>
        <w:t>Interest rates affect business through the cost of capital and influence consumers through borrowing costs. In the automotive industry, these two channels operate simultaneously because manufacturers require significant investment while many customers purchase vehicles through loans or financing agreements.</w:t>
      </w:r>
    </w:p>
    <w:p w14:paraId="30ACA34A" w14:textId="77777777" w:rsidR="0099771A" w:rsidRPr="0099771A" w:rsidRDefault="0099771A" w:rsidP="0099771A">
      <w:pPr>
        <w:rPr>
          <w:lang w:val="en-GB"/>
        </w:rPr>
      </w:pPr>
      <w:r w:rsidRPr="0099771A">
        <w:rPr>
          <w:lang w:val="en-GB"/>
        </w:rPr>
        <w:t xml:space="preserve">Sharpe and Suarez (2021) found that corporate investment is sometimes less sensitive to declining interest rates than conventional theory predicts, particularly among firms with large cash holdings and limited financing constraints. However, investment becomes more responsive when interest rates increase or when firms depend on external finance. </w:t>
      </w:r>
    </w:p>
    <w:p w14:paraId="6A01264C" w14:textId="77777777" w:rsidR="0099771A" w:rsidRPr="0099771A" w:rsidRDefault="0099771A" w:rsidP="0099771A">
      <w:pPr>
        <w:rPr>
          <w:lang w:val="en-GB"/>
        </w:rPr>
      </w:pPr>
      <w:r w:rsidRPr="0099771A">
        <w:rPr>
          <w:lang w:val="en-GB"/>
        </w:rPr>
        <w:t xml:space="preserve">Froemel and Surico (2023) similarly demonstrate that the corporate effects of monetary policy vary according to organisational characteristics. Younger firms and firms with </w:t>
      </w:r>
      <w:proofErr w:type="gramStart"/>
      <w:r w:rsidRPr="0099771A">
        <w:rPr>
          <w:lang w:val="en-GB"/>
        </w:rPr>
        <w:t>particular financing</w:t>
      </w:r>
      <w:proofErr w:type="gramEnd"/>
      <w:r w:rsidRPr="0099771A">
        <w:rPr>
          <w:lang w:val="en-GB"/>
        </w:rPr>
        <w:t xml:space="preserve"> structures can alter capital expenditure and borrowing more significantly in response to monetary policy changes. </w:t>
      </w:r>
    </w:p>
    <w:p w14:paraId="49271856" w14:textId="77777777" w:rsidR="0099771A" w:rsidRPr="0099771A" w:rsidRDefault="0099771A" w:rsidP="0099771A">
      <w:pPr>
        <w:rPr>
          <w:lang w:val="en-GB"/>
        </w:rPr>
      </w:pPr>
      <w:r w:rsidRPr="0099771A">
        <w:rPr>
          <w:lang w:val="en-GB"/>
        </w:rPr>
        <w:lastRenderedPageBreak/>
        <w:t>For Toyota, interest rates have an additional dimension because the group operates financial-services activities that provide vehicle financing. Consequently, monetary policy affects both Toyota's corporate capital decisions and its customers' ability to finance purchases.</w:t>
      </w:r>
    </w:p>
    <w:p w14:paraId="7BDD7634" w14:textId="77777777" w:rsidR="0099771A" w:rsidRPr="0099771A" w:rsidRDefault="0099771A" w:rsidP="0099771A">
      <w:pPr>
        <w:rPr>
          <w:b/>
          <w:bCs/>
          <w:lang w:val="en-GB"/>
        </w:rPr>
      </w:pPr>
      <w:r w:rsidRPr="0099771A">
        <w:rPr>
          <w:b/>
          <w:bCs/>
          <w:lang w:val="en-GB"/>
        </w:rPr>
        <w:t>3.4 Employment, Income and Economic Growth</w:t>
      </w:r>
    </w:p>
    <w:p w14:paraId="7A0C965C" w14:textId="77777777" w:rsidR="0099771A" w:rsidRPr="0099771A" w:rsidRDefault="0099771A" w:rsidP="0099771A">
      <w:pPr>
        <w:rPr>
          <w:lang w:val="en-GB"/>
        </w:rPr>
      </w:pPr>
      <w:r w:rsidRPr="0099771A">
        <w:rPr>
          <w:lang w:val="en-GB"/>
        </w:rPr>
        <w:t>Employment levels affect household income, confidence and willingness to make large financial commitments. Vehicles represent significant discretionary expenditure for many households; consequently, fear of unemployment can lead consumers to postpone replacement purchases.</w:t>
      </w:r>
    </w:p>
    <w:p w14:paraId="4FF12FCC" w14:textId="77777777" w:rsidR="0099771A" w:rsidRPr="0099771A" w:rsidRDefault="0099771A" w:rsidP="0099771A">
      <w:pPr>
        <w:rPr>
          <w:lang w:val="en-GB"/>
        </w:rPr>
      </w:pPr>
      <w:r w:rsidRPr="0099771A">
        <w:rPr>
          <w:lang w:val="en-GB"/>
        </w:rPr>
        <w:t xml:space="preserve">Burke and </w:t>
      </w:r>
      <w:proofErr w:type="spellStart"/>
      <w:r w:rsidRPr="0099771A">
        <w:rPr>
          <w:lang w:val="en-GB"/>
        </w:rPr>
        <w:t>Ozdagli</w:t>
      </w:r>
      <w:proofErr w:type="spellEnd"/>
      <w:r w:rsidRPr="0099771A">
        <w:rPr>
          <w:lang w:val="en-GB"/>
        </w:rPr>
        <w:t xml:space="preserve"> (2023) found that expected unemployment is negatively associated with household expenditure, reinforcing the importance of labour-market expectations for durable consumption. Economic growth can have the opposite effect: increasing employment and incomes generally improve the conditions supporting vehicle demand.</w:t>
      </w:r>
    </w:p>
    <w:p w14:paraId="72C37FFF" w14:textId="77777777" w:rsidR="0099771A" w:rsidRPr="0099771A" w:rsidRDefault="0099771A" w:rsidP="0099771A">
      <w:pPr>
        <w:rPr>
          <w:lang w:val="en-GB"/>
        </w:rPr>
      </w:pPr>
      <w:r w:rsidRPr="0099771A">
        <w:rPr>
          <w:lang w:val="en-GB"/>
        </w:rPr>
        <w:t>GDP growth also affects commercial transport, logistics activity and business investment, influencing demand for commercial and fleet vehicles. However, global firms such as Toyota experience heterogeneous economic conditions. Weak growth in one market may coexist with rapid growth elsewhere. Geographic diversification can therefore reduce dependence on a single business cycle.</w:t>
      </w:r>
    </w:p>
    <w:p w14:paraId="51124023" w14:textId="77777777" w:rsidR="0099771A" w:rsidRPr="0099771A" w:rsidRDefault="0099771A" w:rsidP="0099771A">
      <w:pPr>
        <w:rPr>
          <w:lang w:val="en-GB"/>
        </w:rPr>
      </w:pPr>
      <w:r w:rsidRPr="0099771A">
        <w:rPr>
          <w:lang w:val="en-GB"/>
        </w:rPr>
        <w:t>Employment also affects Toyota from a supply perspective. Tight labour markets may increase wages and recruitment costs, while unemployment can reduce wage pressure but weaken consumer demand. Management therefore needs to consider labour-market indicators as both production-cost variables and demand indicators.</w:t>
      </w:r>
    </w:p>
    <w:p w14:paraId="44336B23" w14:textId="77777777" w:rsidR="0099771A" w:rsidRPr="0099771A" w:rsidRDefault="0099771A" w:rsidP="0099771A">
      <w:pPr>
        <w:rPr>
          <w:b/>
          <w:bCs/>
          <w:lang w:val="en-GB"/>
        </w:rPr>
      </w:pPr>
      <w:r w:rsidRPr="0099771A">
        <w:rPr>
          <w:b/>
          <w:bCs/>
          <w:lang w:val="en-GB"/>
        </w:rPr>
        <w:t>3.5 Sociodemographic Factors and Consumer Preferences</w:t>
      </w:r>
    </w:p>
    <w:p w14:paraId="03A1F130" w14:textId="77777777" w:rsidR="0099771A" w:rsidRPr="0099771A" w:rsidRDefault="0099771A" w:rsidP="0099771A">
      <w:pPr>
        <w:rPr>
          <w:lang w:val="en-GB"/>
        </w:rPr>
      </w:pPr>
      <w:r w:rsidRPr="0099771A">
        <w:rPr>
          <w:lang w:val="en-GB"/>
        </w:rPr>
        <w:lastRenderedPageBreak/>
        <w:t xml:space="preserve">Socioeconomic analysis extends beyond traditional macroeconomic indicators. Population age, household composition, income distribution, urbanisation, education and environmental awareness influence the types of vehicles </w:t>
      </w:r>
      <w:proofErr w:type="gramStart"/>
      <w:r w:rsidRPr="0099771A">
        <w:rPr>
          <w:lang w:val="en-GB"/>
        </w:rPr>
        <w:t>consumers</w:t>
      </w:r>
      <w:proofErr w:type="gramEnd"/>
      <w:r w:rsidRPr="0099771A">
        <w:rPr>
          <w:lang w:val="en-GB"/>
        </w:rPr>
        <w:t xml:space="preserve"> demand.</w:t>
      </w:r>
    </w:p>
    <w:p w14:paraId="76AE7F3F" w14:textId="77777777" w:rsidR="0099771A" w:rsidRPr="0099771A" w:rsidRDefault="0099771A" w:rsidP="0099771A">
      <w:pPr>
        <w:rPr>
          <w:lang w:val="en-GB"/>
        </w:rPr>
      </w:pPr>
      <w:r w:rsidRPr="0099771A">
        <w:rPr>
          <w:lang w:val="en-GB"/>
        </w:rPr>
        <w:t xml:space="preserve">The transition toward electric mobility demonstrates this relationship clearly. </w:t>
      </w:r>
      <w:proofErr w:type="spellStart"/>
      <w:r w:rsidRPr="0099771A">
        <w:rPr>
          <w:lang w:val="en-GB"/>
        </w:rPr>
        <w:t>Secinaro</w:t>
      </w:r>
      <w:proofErr w:type="spellEnd"/>
      <w:r w:rsidRPr="0099771A">
        <w:rPr>
          <w:lang w:val="en-GB"/>
        </w:rPr>
        <w:t xml:space="preserve"> et al. (2022), reviewing 254 studies, identify environmental sustainability, infrastructure, battery characteristics, purchase arrangements and technology acceptance among important themes affecting EV consumer behaviour. </w:t>
      </w:r>
    </w:p>
    <w:p w14:paraId="1F5498A9" w14:textId="77777777" w:rsidR="0099771A" w:rsidRPr="0099771A" w:rsidRDefault="0099771A" w:rsidP="0099771A">
      <w:pPr>
        <w:rPr>
          <w:lang w:val="en-GB"/>
        </w:rPr>
      </w:pPr>
      <w:proofErr w:type="spellStart"/>
      <w:r w:rsidRPr="0099771A">
        <w:rPr>
          <w:lang w:val="en-GB"/>
        </w:rPr>
        <w:t>Pamidimukkala</w:t>
      </w:r>
      <w:proofErr w:type="spellEnd"/>
      <w:r w:rsidRPr="0099771A">
        <w:rPr>
          <w:lang w:val="en-GB"/>
        </w:rPr>
        <w:t xml:space="preserve"> et al. (2024) identify high purchase prices and charging times among significant barriers to EV adoption, while reduced air pollution is an important motivator. Research in India similarly finds that personal and social values, environmental knowledge, attitudes and perceived barriers affect EV adoption (2024). Patel et al. (2024) identify charging and energy infrastructure as a particularly important constraint on Indian EV adoption. </w:t>
      </w:r>
    </w:p>
    <w:p w14:paraId="0B716024" w14:textId="77777777" w:rsidR="0099771A" w:rsidRPr="0099771A" w:rsidRDefault="0099771A" w:rsidP="0099771A">
      <w:pPr>
        <w:rPr>
          <w:lang w:val="en-GB"/>
        </w:rPr>
      </w:pPr>
      <w:r w:rsidRPr="0099771A">
        <w:rPr>
          <w:lang w:val="en-GB"/>
        </w:rPr>
        <w:t xml:space="preserve">Demographic characteristics further complicate adoption. Research by Wang and </w:t>
      </w:r>
      <w:proofErr w:type="spellStart"/>
      <w:r w:rsidRPr="0099771A">
        <w:rPr>
          <w:lang w:val="en-GB"/>
        </w:rPr>
        <w:t>Witlox</w:t>
      </w:r>
      <w:proofErr w:type="spellEnd"/>
      <w:r w:rsidRPr="0099771A">
        <w:rPr>
          <w:lang w:val="en-GB"/>
        </w:rPr>
        <w:t xml:space="preserve"> (2025) indicates that environmental awareness, user attributes, incentives and barriers influence EV choice. Consequently, automobile manufacturers cannot assume that a single powertrain or pricing strategy will suit all socioeconomic groups.</w:t>
      </w:r>
    </w:p>
    <w:p w14:paraId="17820944" w14:textId="77777777" w:rsidR="0099771A" w:rsidRPr="0099771A" w:rsidRDefault="0099771A" w:rsidP="0099771A">
      <w:pPr>
        <w:rPr>
          <w:b/>
          <w:bCs/>
          <w:lang w:val="en-GB"/>
        </w:rPr>
      </w:pPr>
      <w:r w:rsidRPr="0099771A">
        <w:rPr>
          <w:b/>
          <w:bCs/>
          <w:lang w:val="en-GB"/>
        </w:rPr>
        <w:t>3.6 Globalisation, Exchange Rates and Geopolitical Risk</w:t>
      </w:r>
    </w:p>
    <w:p w14:paraId="72AA346A" w14:textId="77777777" w:rsidR="0099771A" w:rsidRPr="0099771A" w:rsidRDefault="0099771A" w:rsidP="0099771A">
      <w:pPr>
        <w:rPr>
          <w:lang w:val="en-GB"/>
        </w:rPr>
      </w:pPr>
      <w:r w:rsidRPr="0099771A">
        <w:rPr>
          <w:lang w:val="en-GB"/>
        </w:rPr>
        <w:t xml:space="preserve">Multinational firms face exchange-rate risk because production costs, revenues, assets and liabilities may be denominated in different currencies. Williamson (2001), specifically examining US and Japanese automotive manufacturers, found significant exposure to real exchange-rate shocks and showed that foreign production can provide operational hedging. </w:t>
      </w:r>
    </w:p>
    <w:p w14:paraId="06A9C7FD" w14:textId="77777777" w:rsidR="0099771A" w:rsidRPr="0099771A" w:rsidRDefault="0099771A" w:rsidP="0099771A">
      <w:pPr>
        <w:rPr>
          <w:lang w:val="en-GB"/>
        </w:rPr>
      </w:pPr>
      <w:r w:rsidRPr="0099771A">
        <w:rPr>
          <w:lang w:val="en-GB"/>
        </w:rPr>
        <w:t xml:space="preserve">This is directly relevant to Toyota. A Japanese-headquartered company earning significant revenue overseas can experience material changes in reported performance when currencies </w:t>
      </w:r>
      <w:r w:rsidRPr="0099771A">
        <w:rPr>
          <w:lang w:val="en-GB"/>
        </w:rPr>
        <w:lastRenderedPageBreak/>
        <w:t>move. Local production may partially reduce exposure by matching costs and revenues within individual currencies.</w:t>
      </w:r>
    </w:p>
    <w:p w14:paraId="3A69E397" w14:textId="77777777" w:rsidR="0099771A" w:rsidRPr="0099771A" w:rsidRDefault="0099771A" w:rsidP="0099771A">
      <w:pPr>
        <w:rPr>
          <w:lang w:val="en-GB"/>
        </w:rPr>
      </w:pPr>
      <w:r w:rsidRPr="0099771A">
        <w:rPr>
          <w:lang w:val="en-GB"/>
        </w:rPr>
        <w:t xml:space="preserve">Geopolitical risk represents another important global factor. Caldara and Iacoviello (2022) developed a widely used geopolitical-risk measure and found that higher geopolitical risk is associated with lower investment and employment, with industries exposed to global geopolitical conditions experiencing stronger investment effects. </w:t>
      </w:r>
    </w:p>
    <w:p w14:paraId="0B4CF7EB" w14:textId="77777777" w:rsidR="0099771A" w:rsidRPr="0099771A" w:rsidRDefault="0099771A" w:rsidP="0099771A">
      <w:pPr>
        <w:rPr>
          <w:lang w:val="en-GB"/>
        </w:rPr>
      </w:pPr>
      <w:r w:rsidRPr="0099771A">
        <w:rPr>
          <w:lang w:val="en-GB"/>
        </w:rPr>
        <w:t>For Toyota, geopolitical tensions may affect trade restrictions, tariffs, semiconductor availability, raw-material sourcing and transport routes. The strategic issue is therefore not simply whether globalisation lowers production costs, but whether highly internationalised supply networks remain resilient under disruption.</w:t>
      </w:r>
    </w:p>
    <w:p w14:paraId="22CFA09B" w14:textId="77777777" w:rsidR="0099771A" w:rsidRPr="0099771A" w:rsidRDefault="0099771A" w:rsidP="0099771A">
      <w:pPr>
        <w:rPr>
          <w:b/>
          <w:bCs/>
          <w:lang w:val="en-GB"/>
        </w:rPr>
      </w:pPr>
      <w:r w:rsidRPr="0099771A">
        <w:rPr>
          <w:b/>
          <w:bCs/>
          <w:lang w:val="en-GB"/>
        </w:rPr>
        <w:t>3.7 Supply-Chain Risk and Organisational Resilience</w:t>
      </w:r>
    </w:p>
    <w:p w14:paraId="1251108F" w14:textId="77777777" w:rsidR="0099771A" w:rsidRPr="0099771A" w:rsidRDefault="0099771A" w:rsidP="0099771A">
      <w:pPr>
        <w:rPr>
          <w:lang w:val="en-GB"/>
        </w:rPr>
      </w:pPr>
      <w:r w:rsidRPr="0099771A">
        <w:rPr>
          <w:lang w:val="en-GB"/>
        </w:rPr>
        <w:t>Modern vehicle production depends on complex networks involving semiconductors, batteries, metals, electronics, logistics providers and thousands of component suppliers. Disruption at one critical point can affect entire production systems.</w:t>
      </w:r>
    </w:p>
    <w:p w14:paraId="4AF504E8" w14:textId="77777777" w:rsidR="0099771A" w:rsidRPr="0099771A" w:rsidRDefault="0099771A" w:rsidP="0099771A">
      <w:pPr>
        <w:rPr>
          <w:lang w:val="en-GB"/>
        </w:rPr>
      </w:pPr>
      <w:proofErr w:type="spellStart"/>
      <w:r w:rsidRPr="0099771A">
        <w:rPr>
          <w:lang w:val="en-GB"/>
        </w:rPr>
        <w:t>Jum'a</w:t>
      </w:r>
      <w:proofErr w:type="spellEnd"/>
      <w:r w:rsidRPr="0099771A">
        <w:rPr>
          <w:lang w:val="en-GB"/>
        </w:rPr>
        <w:t xml:space="preserve"> et al. (2024) find that demand, logistics, production and supply risks affect automotive dealer performance and demonstrate the importance of proactive resilience strategies. Research on lean production and automotive resilience further suggests that operational practices can develop capabilities that help organisations respond to disruptive events. </w:t>
      </w:r>
    </w:p>
    <w:p w14:paraId="34CA12A5" w14:textId="77777777" w:rsidR="0099771A" w:rsidRPr="0099771A" w:rsidRDefault="0099771A" w:rsidP="0099771A">
      <w:pPr>
        <w:rPr>
          <w:lang w:val="en-GB"/>
        </w:rPr>
      </w:pPr>
      <w:r w:rsidRPr="0099771A">
        <w:rPr>
          <w:lang w:val="en-GB"/>
        </w:rPr>
        <w:t>Chen et al. (2026) also demonstrate that global supply-chain pressure can increase corporate financial risk, particularly for organisations with intensive international operations. These findings imply that efficiency and resilience must be balanced. Extremely lean inventories may minimise costs in stable conditions but create vulnerability when critical components become unavailable.</w:t>
      </w:r>
    </w:p>
    <w:p w14:paraId="473A2007" w14:textId="3D3BD3D2" w:rsidR="0099771A" w:rsidRPr="0099771A" w:rsidRDefault="0099771A" w:rsidP="0099771A">
      <w:pPr>
        <w:rPr>
          <w:lang w:val="en-GB"/>
        </w:rPr>
      </w:pPr>
    </w:p>
    <w:p w14:paraId="1BEB8F73" w14:textId="77777777" w:rsidR="0099771A" w:rsidRPr="0099771A" w:rsidRDefault="0099771A" w:rsidP="0099771A">
      <w:pPr>
        <w:rPr>
          <w:b/>
          <w:bCs/>
          <w:lang w:val="en-GB"/>
        </w:rPr>
      </w:pPr>
      <w:r w:rsidRPr="0099771A">
        <w:rPr>
          <w:b/>
          <w:bCs/>
          <w:lang w:val="en-GB"/>
        </w:rPr>
        <w:t>4. Methodology</w:t>
      </w:r>
    </w:p>
    <w:p w14:paraId="36EAFFA0" w14:textId="77777777" w:rsidR="0099771A" w:rsidRPr="0099771A" w:rsidRDefault="0099771A" w:rsidP="0099771A">
      <w:pPr>
        <w:rPr>
          <w:lang w:val="en-GB"/>
        </w:rPr>
      </w:pPr>
      <w:r w:rsidRPr="0099771A">
        <w:rPr>
          <w:lang w:val="en-GB"/>
        </w:rPr>
        <w:t xml:space="preserve">This report employs a </w:t>
      </w:r>
      <w:r w:rsidRPr="0099771A">
        <w:rPr>
          <w:b/>
          <w:bCs/>
          <w:lang w:val="en-GB"/>
        </w:rPr>
        <w:t>qualitative case-study approach based on secondary research</w:t>
      </w:r>
      <w:r w:rsidRPr="0099771A">
        <w:rPr>
          <w:lang w:val="en-GB"/>
        </w:rPr>
        <w:t>. Toyota Motor Corporation is used as the organisational case because its multinational operations provide an appropriate setting for analysing how economic and sociodemographic variables affect strategic business decisions.</w:t>
      </w:r>
    </w:p>
    <w:p w14:paraId="705D7696" w14:textId="77777777" w:rsidR="0099771A" w:rsidRPr="0099771A" w:rsidRDefault="0099771A" w:rsidP="0099771A">
      <w:pPr>
        <w:rPr>
          <w:lang w:val="en-GB"/>
        </w:rPr>
      </w:pPr>
      <w:r w:rsidRPr="0099771A">
        <w:rPr>
          <w:lang w:val="en-GB"/>
        </w:rPr>
        <w:t>The research draws on three principal categories of evidence. First, peer-reviewed academic studies were used to establish theoretical and empirical relationships between macroeconomic conditions and business behaviour. Academic literature concerning inflation expectations, monetary policy, investment, economic uncertainty, exchange-rate exposure, geopolitical risk, supply-chain resilience and EV consumer behaviour was reviewed.</w:t>
      </w:r>
    </w:p>
    <w:p w14:paraId="4C9B540C" w14:textId="77777777" w:rsidR="0099771A" w:rsidRPr="0099771A" w:rsidRDefault="0099771A" w:rsidP="0099771A">
      <w:pPr>
        <w:rPr>
          <w:lang w:val="en-GB"/>
        </w:rPr>
      </w:pPr>
      <w:r w:rsidRPr="0099771A">
        <w:rPr>
          <w:lang w:val="en-GB"/>
        </w:rPr>
        <w:t xml:space="preserve">Second, Toyota's official corporate information, including its Integrated Report and financial results, was examined to connect theoretical concepts with actual organisational performance and strategy. Toyota's FY2026 financial information is particularly useful because it reports substantial differences in profitability across regions and identifies factors such as expenses and exchange-rate changes. </w:t>
      </w:r>
    </w:p>
    <w:p w14:paraId="7DF43E6D" w14:textId="77777777" w:rsidR="0099771A" w:rsidRPr="0099771A" w:rsidRDefault="0099771A" w:rsidP="0099771A">
      <w:pPr>
        <w:rPr>
          <w:lang w:val="en-GB"/>
        </w:rPr>
      </w:pPr>
      <w:r w:rsidRPr="0099771A">
        <w:rPr>
          <w:lang w:val="en-GB"/>
        </w:rPr>
        <w:t>Third, the study applies comparative thematic analysis. Evidence was organised under inflation, interest rates, employment, economic growth, consumer behaviour, demographics, exchange rates, global uncertainty and supply-chain conditions. Relationships between these external variables and Toyota's strategic responses were subsequently assessed.</w:t>
      </w:r>
    </w:p>
    <w:p w14:paraId="1E0BD549" w14:textId="77777777" w:rsidR="0099771A" w:rsidRPr="0099771A" w:rsidRDefault="0099771A" w:rsidP="0099771A">
      <w:pPr>
        <w:rPr>
          <w:lang w:val="en-GB"/>
        </w:rPr>
      </w:pPr>
      <w:r w:rsidRPr="0099771A">
        <w:rPr>
          <w:lang w:val="en-GB"/>
        </w:rPr>
        <w:t xml:space="preserve">A limitation is that secondary research cannot establish that a particular macroeconomic factor independently caused a specific Toyota decision. Corporate performance is simultaneously influenced by product mix, competition, regulation, operational efficiency and company-specific </w:t>
      </w:r>
      <w:r w:rsidRPr="0099771A">
        <w:rPr>
          <w:lang w:val="en-GB"/>
        </w:rPr>
        <w:lastRenderedPageBreak/>
        <w:t>events. Therefore, the report interprets relationships critically rather than claiming simple causation.</w:t>
      </w:r>
    </w:p>
    <w:p w14:paraId="47020465" w14:textId="2878CC21" w:rsidR="0099771A" w:rsidRPr="0099771A" w:rsidRDefault="0099771A" w:rsidP="0099771A">
      <w:pPr>
        <w:rPr>
          <w:lang w:val="en-GB"/>
        </w:rPr>
      </w:pPr>
    </w:p>
    <w:p w14:paraId="336F7D58" w14:textId="77777777" w:rsidR="0099771A" w:rsidRPr="0099771A" w:rsidRDefault="0099771A" w:rsidP="0099771A">
      <w:pPr>
        <w:rPr>
          <w:b/>
          <w:bCs/>
          <w:lang w:val="en-GB"/>
        </w:rPr>
      </w:pPr>
      <w:r w:rsidRPr="0099771A">
        <w:rPr>
          <w:b/>
          <w:bCs/>
          <w:lang w:val="en-GB"/>
        </w:rPr>
        <w:t>5. Findings: Toyota and the Socioeconomic Environment</w:t>
      </w:r>
    </w:p>
    <w:p w14:paraId="57286CF6" w14:textId="77777777" w:rsidR="0099771A" w:rsidRPr="0099771A" w:rsidRDefault="0099771A" w:rsidP="0099771A">
      <w:pPr>
        <w:rPr>
          <w:b/>
          <w:bCs/>
          <w:lang w:val="en-GB"/>
        </w:rPr>
      </w:pPr>
      <w:r w:rsidRPr="0099771A">
        <w:rPr>
          <w:b/>
          <w:bCs/>
          <w:lang w:val="en-GB"/>
        </w:rPr>
        <w:t>5.1 Inflation and Cost Pressures</w:t>
      </w:r>
    </w:p>
    <w:p w14:paraId="44E90AF5" w14:textId="77777777" w:rsidR="0099771A" w:rsidRPr="0099771A" w:rsidRDefault="0099771A" w:rsidP="0099771A">
      <w:pPr>
        <w:rPr>
          <w:lang w:val="en-GB"/>
        </w:rPr>
      </w:pPr>
      <w:r w:rsidRPr="0099771A">
        <w:rPr>
          <w:lang w:val="en-GB"/>
        </w:rPr>
        <w:t>Inflation affects Toyota through raw materials, energy, logistics, components and wages. Vehicle production uses steel, aluminium, plastics, semiconductors, batteries and other commodities whose prices can fluctuate substantially. Rising input prices create a strategic pricing dilemma.</w:t>
      </w:r>
    </w:p>
    <w:p w14:paraId="3B5640EE" w14:textId="77777777" w:rsidR="0099771A" w:rsidRPr="0099771A" w:rsidRDefault="0099771A" w:rsidP="0099771A">
      <w:pPr>
        <w:rPr>
          <w:lang w:val="en-GB"/>
        </w:rPr>
      </w:pPr>
      <w:r w:rsidRPr="0099771A">
        <w:rPr>
          <w:lang w:val="en-GB"/>
        </w:rPr>
        <w:t>Toyota could transfer higher costs directly to consumers. However, aggressive price increases may reduce vehicle affordability and weaken market share, particularly among price-sensitive consumers. Alternatively, Toyota can absorb some inflation through lower margins. The latter protects demand but creates profitability pressure.</w:t>
      </w:r>
    </w:p>
    <w:p w14:paraId="7705C1D3" w14:textId="77777777" w:rsidR="0099771A" w:rsidRPr="0099771A" w:rsidRDefault="0099771A" w:rsidP="0099771A">
      <w:pPr>
        <w:rPr>
          <w:lang w:val="en-GB"/>
        </w:rPr>
      </w:pPr>
      <w:r w:rsidRPr="0099771A">
        <w:rPr>
          <w:lang w:val="en-GB"/>
        </w:rPr>
        <w:t>Toyota's recent performance illustrates this broader issue. FY2026 automotive revenue increased 5.1%, while automotive operating income declined 29.5%. Although this movement cannot be attributed solely to inflation, it illustrates why managers must examine cost structures rather than revenue growth alone.</w:t>
      </w:r>
    </w:p>
    <w:p w14:paraId="32E9B3EA" w14:textId="77777777" w:rsidR="0099771A" w:rsidRPr="0099771A" w:rsidRDefault="0099771A" w:rsidP="0099771A">
      <w:pPr>
        <w:rPr>
          <w:lang w:val="en-GB"/>
        </w:rPr>
      </w:pPr>
      <w:r w:rsidRPr="0099771A">
        <w:rPr>
          <w:lang w:val="en-GB"/>
        </w:rPr>
        <w:t>Toyota therefore requires differentiated pricing. Premium Lexus customers may demonstrate lower price elasticity than buyers of entry-level vehicles. Similarly, pricing capacity differs across economies according to household income, inflation and competition.</w:t>
      </w:r>
    </w:p>
    <w:p w14:paraId="4AA7E003" w14:textId="77777777" w:rsidR="0099771A" w:rsidRPr="0099771A" w:rsidRDefault="0099771A" w:rsidP="0099771A">
      <w:pPr>
        <w:rPr>
          <w:lang w:val="en-GB"/>
        </w:rPr>
      </w:pPr>
      <w:r w:rsidRPr="0099771A">
        <w:rPr>
          <w:lang w:val="en-GB"/>
        </w:rPr>
        <w:t>Inflation can also accelerate technological substitution. If petrol prices increase significantly, the total operating cost of fuel-efficient hybrids and electric vehicles becomes more attractive. Toyota's strong hybrid portfolio can therefore provide a strategic hedge against energy-price uncertainty.</w:t>
      </w:r>
    </w:p>
    <w:p w14:paraId="2549C249" w14:textId="77777777" w:rsidR="0099771A" w:rsidRPr="0099771A" w:rsidRDefault="0099771A" w:rsidP="0099771A">
      <w:pPr>
        <w:rPr>
          <w:b/>
          <w:bCs/>
          <w:lang w:val="en-GB"/>
        </w:rPr>
      </w:pPr>
      <w:r w:rsidRPr="0099771A">
        <w:rPr>
          <w:b/>
          <w:bCs/>
          <w:lang w:val="en-GB"/>
        </w:rPr>
        <w:lastRenderedPageBreak/>
        <w:t>5.2 Interest Rates and Financing Conditions</w:t>
      </w:r>
    </w:p>
    <w:p w14:paraId="19AF3347" w14:textId="77777777" w:rsidR="0099771A" w:rsidRPr="0099771A" w:rsidRDefault="0099771A" w:rsidP="0099771A">
      <w:pPr>
        <w:rPr>
          <w:lang w:val="en-GB"/>
        </w:rPr>
      </w:pPr>
      <w:r w:rsidRPr="0099771A">
        <w:rPr>
          <w:lang w:val="en-GB"/>
        </w:rPr>
        <w:t>Vehicle purchases are frequently financed, making interest rates an important demand variable. Higher lending rates increase monthly repayments even when vehicle prices remain unchanged. This reduces affordability and may encourage consumers to select smaller vehicles, extend replacement cycles or postpone purchases.</w:t>
      </w:r>
    </w:p>
    <w:p w14:paraId="714EEC94" w14:textId="77777777" w:rsidR="0099771A" w:rsidRPr="0099771A" w:rsidRDefault="0099771A" w:rsidP="0099771A">
      <w:pPr>
        <w:rPr>
          <w:lang w:val="en-GB"/>
        </w:rPr>
      </w:pPr>
      <w:r w:rsidRPr="0099771A">
        <w:rPr>
          <w:lang w:val="en-GB"/>
        </w:rPr>
        <w:t>Toyota's financial-services operations create both opportunities and risks. FY2026 financial-services revenue increased 8.4% to ¥4,857.1 billion and operating income increased 24.6% to ¥851.7 billion. Toyota reported that the increase in operating income was mainly related to valuation gains on interest-rate swaps in US sales-finance subsidiaries. This demonstrates how interest-rate movements can influence Toyota beyond ordinary vehicle demand.</w:t>
      </w:r>
    </w:p>
    <w:p w14:paraId="7BD6D609" w14:textId="77777777" w:rsidR="0099771A" w:rsidRPr="0099771A" w:rsidRDefault="0099771A" w:rsidP="0099771A">
      <w:pPr>
        <w:rPr>
          <w:lang w:val="en-GB"/>
        </w:rPr>
      </w:pPr>
      <w:r w:rsidRPr="0099771A">
        <w:rPr>
          <w:lang w:val="en-GB"/>
        </w:rPr>
        <w:t>Corporate investment is also affected. Toyota must allocate capital to manufacturing plants, batteries, software, research and development and new mobility technologies. Higher discount rates reduce the present value of distant cash flows and can change the attractiveness of investment projects. Nevertheless, Sharpe and Suarez (2021) demonstrate that large cash-rich organisations can be less sensitive to rate changes than highly constrained firms.</w:t>
      </w:r>
    </w:p>
    <w:p w14:paraId="7BDE033D" w14:textId="77777777" w:rsidR="0099771A" w:rsidRPr="0099771A" w:rsidRDefault="0099771A" w:rsidP="0099771A">
      <w:pPr>
        <w:rPr>
          <w:lang w:val="en-GB"/>
        </w:rPr>
      </w:pPr>
      <w:r w:rsidRPr="0099771A">
        <w:rPr>
          <w:lang w:val="en-GB"/>
        </w:rPr>
        <w:t>Toyota's financial strength therefore provides a competitive advantage: it may be able to maintain strategically important long-term investment even during tighter monetary conditions. However, this does not eliminate the need for capital discipline because investments in emerging technologies contain substantial demand and technological uncertainty.</w:t>
      </w:r>
    </w:p>
    <w:p w14:paraId="0F2F31A0" w14:textId="77777777" w:rsidR="0099771A" w:rsidRPr="0099771A" w:rsidRDefault="0099771A" w:rsidP="0099771A">
      <w:pPr>
        <w:rPr>
          <w:b/>
          <w:bCs/>
          <w:lang w:val="en-GB"/>
        </w:rPr>
      </w:pPr>
      <w:r w:rsidRPr="0099771A">
        <w:rPr>
          <w:b/>
          <w:bCs/>
          <w:lang w:val="en-GB"/>
        </w:rPr>
        <w:t>5.3 Employment and Labour-Market Conditions</w:t>
      </w:r>
    </w:p>
    <w:p w14:paraId="208F8159" w14:textId="77777777" w:rsidR="0099771A" w:rsidRPr="0099771A" w:rsidRDefault="0099771A" w:rsidP="0099771A">
      <w:pPr>
        <w:rPr>
          <w:lang w:val="en-GB"/>
        </w:rPr>
      </w:pPr>
      <w:r w:rsidRPr="0099771A">
        <w:rPr>
          <w:lang w:val="en-GB"/>
        </w:rPr>
        <w:t>Employment influences Toyota on both sides of the market. High employment increases income security and consumer confidence, supporting durable purchases. Rising unemployment can have the opposite effect as households become cautious about assuming vehicle-finance obligations.</w:t>
      </w:r>
    </w:p>
    <w:p w14:paraId="3C61EBFA" w14:textId="77777777" w:rsidR="0099771A" w:rsidRPr="0099771A" w:rsidRDefault="0099771A" w:rsidP="0099771A">
      <w:pPr>
        <w:rPr>
          <w:lang w:val="en-GB"/>
        </w:rPr>
      </w:pPr>
      <w:r w:rsidRPr="0099771A">
        <w:rPr>
          <w:lang w:val="en-GB"/>
        </w:rPr>
        <w:lastRenderedPageBreak/>
        <w:t>Toyota must therefore incorporate employment indicators into demand forecasts. A region experiencing slowing employment may require lower inventories, promotional financing or greater emphasis on affordable vehicles.</w:t>
      </w:r>
    </w:p>
    <w:p w14:paraId="13A6BBF3" w14:textId="77777777" w:rsidR="0099771A" w:rsidRPr="0099771A" w:rsidRDefault="0099771A" w:rsidP="0099771A">
      <w:pPr>
        <w:rPr>
          <w:lang w:val="en-GB"/>
        </w:rPr>
      </w:pPr>
      <w:r w:rsidRPr="0099771A">
        <w:rPr>
          <w:lang w:val="en-GB"/>
        </w:rPr>
        <w:t xml:space="preserve">Labour markets also influence manufacturing costs. Tight labour supply can increase wages and competition for engineers, software specialists and skilled manufacturing workers. The transition from conventional automobiles toward connected, software-defined and electrified vehicles </w:t>
      </w:r>
      <w:proofErr w:type="gramStart"/>
      <w:r w:rsidRPr="0099771A">
        <w:rPr>
          <w:lang w:val="en-GB"/>
        </w:rPr>
        <w:t>intensifies</w:t>
      </w:r>
      <w:proofErr w:type="gramEnd"/>
      <w:r w:rsidRPr="0099771A">
        <w:rPr>
          <w:lang w:val="en-GB"/>
        </w:rPr>
        <w:t xml:space="preserve"> demand for specialised technical skills.</w:t>
      </w:r>
    </w:p>
    <w:p w14:paraId="7E8522DA" w14:textId="77777777" w:rsidR="0099771A" w:rsidRPr="0099771A" w:rsidRDefault="0099771A" w:rsidP="0099771A">
      <w:pPr>
        <w:rPr>
          <w:lang w:val="en-GB"/>
        </w:rPr>
      </w:pPr>
      <w:r w:rsidRPr="0099771A">
        <w:rPr>
          <w:lang w:val="en-GB"/>
        </w:rPr>
        <w:t>Toyota's employment strategy must consequently extend beyond minimising labour cost. Human capital increasingly determines technological competitiveness. Investments in reskilling and workforce development can therefore be interpreted as strategic responses to socioeconomic and technological transformation.</w:t>
      </w:r>
    </w:p>
    <w:p w14:paraId="549713A2" w14:textId="77777777" w:rsidR="0099771A" w:rsidRPr="0099771A" w:rsidRDefault="0099771A" w:rsidP="0099771A">
      <w:pPr>
        <w:rPr>
          <w:b/>
          <w:bCs/>
          <w:lang w:val="en-GB"/>
        </w:rPr>
      </w:pPr>
      <w:r w:rsidRPr="0099771A">
        <w:rPr>
          <w:b/>
          <w:bCs/>
          <w:lang w:val="en-GB"/>
        </w:rPr>
        <w:t>5.4 Economic Growth and Consumer Demand</w:t>
      </w:r>
    </w:p>
    <w:p w14:paraId="42D9133B" w14:textId="77777777" w:rsidR="0099771A" w:rsidRPr="0099771A" w:rsidRDefault="0099771A" w:rsidP="0099771A">
      <w:pPr>
        <w:rPr>
          <w:lang w:val="en-GB"/>
        </w:rPr>
      </w:pPr>
      <w:r w:rsidRPr="0099771A">
        <w:rPr>
          <w:lang w:val="en-GB"/>
        </w:rPr>
        <w:t>Economic growth affects Toyota differently across geographical markets. Strong GDP growth can increase household incomes, business investment and vehicle demand, whereas recession can reduce discretionary spending.</w:t>
      </w:r>
    </w:p>
    <w:p w14:paraId="1CC38F0F" w14:textId="77777777" w:rsidR="0099771A" w:rsidRPr="0099771A" w:rsidRDefault="0099771A" w:rsidP="0099771A">
      <w:pPr>
        <w:rPr>
          <w:lang w:val="en-GB"/>
        </w:rPr>
      </w:pPr>
      <w:r w:rsidRPr="0099771A">
        <w:rPr>
          <w:lang w:val="en-GB"/>
        </w:rPr>
        <w:t>Geographical diversification moderates this risk. Toyota's fiscal-2025 sales distribution included North America, Europe, China, Japan, Asia excluding China and other regions. Weakness in one region can therefore be partially offset by demand elsewhere.</w:t>
      </w:r>
    </w:p>
    <w:p w14:paraId="1553F703" w14:textId="77777777" w:rsidR="0099771A" w:rsidRPr="0099771A" w:rsidRDefault="0099771A" w:rsidP="0099771A">
      <w:pPr>
        <w:rPr>
          <w:lang w:val="en-GB"/>
        </w:rPr>
      </w:pPr>
      <w:r w:rsidRPr="0099771A">
        <w:rPr>
          <w:lang w:val="en-GB"/>
        </w:rPr>
        <w:t>However, diversification also increases complexity. Different regions have different consumer preferences, infrastructure, fuel costs and economic structures. Emerging markets may experience rapid growth but contain greater currency or political risks. Mature economies may provide more predictable institutions but slower population and demand growth.</w:t>
      </w:r>
    </w:p>
    <w:p w14:paraId="5137E948" w14:textId="77777777" w:rsidR="0099771A" w:rsidRPr="0099771A" w:rsidRDefault="0099771A" w:rsidP="0099771A">
      <w:pPr>
        <w:rPr>
          <w:lang w:val="en-GB"/>
        </w:rPr>
      </w:pPr>
      <w:r w:rsidRPr="0099771A">
        <w:rPr>
          <w:lang w:val="en-GB"/>
        </w:rPr>
        <w:lastRenderedPageBreak/>
        <w:t>Consequently, Toyota should not base global production decisions solely on aggregate world GDP. Regional growth, household income, credit conditions and consumer confidence provide more useful information for vehicle-level planning.</w:t>
      </w:r>
    </w:p>
    <w:p w14:paraId="68FD5C06" w14:textId="77777777" w:rsidR="0099771A" w:rsidRPr="0099771A" w:rsidRDefault="0099771A" w:rsidP="0099771A">
      <w:pPr>
        <w:rPr>
          <w:b/>
          <w:bCs/>
          <w:lang w:val="en-GB"/>
        </w:rPr>
      </w:pPr>
      <w:r w:rsidRPr="0099771A">
        <w:rPr>
          <w:b/>
          <w:bCs/>
          <w:lang w:val="en-GB"/>
        </w:rPr>
        <w:t>5.5 Sociodemographic Change and Electrification</w:t>
      </w:r>
    </w:p>
    <w:p w14:paraId="5AC04F75" w14:textId="77777777" w:rsidR="0099771A" w:rsidRPr="0099771A" w:rsidRDefault="0099771A" w:rsidP="0099771A">
      <w:pPr>
        <w:rPr>
          <w:lang w:val="en-GB"/>
        </w:rPr>
      </w:pPr>
      <w:r w:rsidRPr="0099771A">
        <w:rPr>
          <w:lang w:val="en-GB"/>
        </w:rPr>
        <w:t>Sociodemographic change is transforming vehicle demand. Younger consumers may value connectivity and environmental performance differently from older customers. Urbanisation can increase demand for compact vehicles and mobility services, while suburban and rural households may prioritise range and practicality.</w:t>
      </w:r>
    </w:p>
    <w:p w14:paraId="1EB53052" w14:textId="77777777" w:rsidR="0099771A" w:rsidRPr="0099771A" w:rsidRDefault="0099771A" w:rsidP="0099771A">
      <w:pPr>
        <w:rPr>
          <w:lang w:val="en-GB"/>
        </w:rPr>
      </w:pPr>
      <w:r w:rsidRPr="0099771A">
        <w:rPr>
          <w:lang w:val="en-GB"/>
        </w:rPr>
        <w:t>The EV transition is particularly dependent on socioeconomic conditions. High-income consumers may be better able to absorb the initial purchase premium associated with new technologies, while lower-income consumers may prioritise affordability and established infrastructure.</w:t>
      </w:r>
    </w:p>
    <w:p w14:paraId="280B7416" w14:textId="77777777" w:rsidR="0099771A" w:rsidRPr="0099771A" w:rsidRDefault="0099771A" w:rsidP="0099771A">
      <w:pPr>
        <w:rPr>
          <w:lang w:val="en-GB"/>
        </w:rPr>
      </w:pPr>
      <w:r w:rsidRPr="0099771A">
        <w:rPr>
          <w:lang w:val="en-GB"/>
        </w:rPr>
        <w:t xml:space="preserve">This supports Toyota's multi-pathway strategy. Toyota's 2025 report shows 4.441 million hybrid vehicle sales compared with approximately 145,000 BEVs within its reported global powertrain mix. Hybrids represented approximately 43% of sales while BEVs represented about 1.4%. </w:t>
      </w:r>
    </w:p>
    <w:p w14:paraId="5A712F9B" w14:textId="77777777" w:rsidR="0099771A" w:rsidRPr="0099771A" w:rsidRDefault="0099771A" w:rsidP="0099771A">
      <w:pPr>
        <w:rPr>
          <w:lang w:val="en-GB"/>
        </w:rPr>
      </w:pPr>
      <w:r w:rsidRPr="0099771A">
        <w:rPr>
          <w:lang w:val="en-GB"/>
        </w:rPr>
        <w:t>Rather than interpreting this solely as technological preference, it can be understood as socioeconomic segmentation. Markets differ in charging infrastructure, electricity generation, consumer income, travel patterns and policy incentives. Research consistently identifies purchase price and charging infrastructure as important EV barriers (</w:t>
      </w:r>
      <w:proofErr w:type="spellStart"/>
      <w:r w:rsidRPr="0099771A">
        <w:rPr>
          <w:lang w:val="en-GB"/>
        </w:rPr>
        <w:t>Pamidimukkala</w:t>
      </w:r>
      <w:proofErr w:type="spellEnd"/>
      <w:r w:rsidRPr="0099771A">
        <w:rPr>
          <w:lang w:val="en-GB"/>
        </w:rPr>
        <w:t xml:space="preserve"> et al., 2024; Patel et al., 2024).</w:t>
      </w:r>
    </w:p>
    <w:p w14:paraId="433C2F51" w14:textId="77777777" w:rsidR="0099771A" w:rsidRPr="0099771A" w:rsidRDefault="0099771A" w:rsidP="0099771A">
      <w:pPr>
        <w:rPr>
          <w:lang w:val="en-GB"/>
        </w:rPr>
      </w:pPr>
      <w:r w:rsidRPr="0099771A">
        <w:rPr>
          <w:lang w:val="en-GB"/>
        </w:rPr>
        <w:t xml:space="preserve">Toyota's diversified powertrain portfolio therefore allows it to respond to heterogeneous socioeconomic environments. Nevertheless, this strategy carries an opportunity cost because </w:t>
      </w:r>
      <w:r w:rsidRPr="0099771A">
        <w:rPr>
          <w:lang w:val="en-GB"/>
        </w:rPr>
        <w:lastRenderedPageBreak/>
        <w:t>investment distributed across multiple technologies could reduce the scale advantages achievable through concentrated investment in a single technology.</w:t>
      </w:r>
    </w:p>
    <w:p w14:paraId="76F00061" w14:textId="77777777" w:rsidR="0099771A" w:rsidRPr="0099771A" w:rsidRDefault="0099771A" w:rsidP="0099771A">
      <w:pPr>
        <w:rPr>
          <w:b/>
          <w:bCs/>
          <w:lang w:val="en-GB"/>
        </w:rPr>
      </w:pPr>
      <w:r w:rsidRPr="0099771A">
        <w:rPr>
          <w:b/>
          <w:bCs/>
          <w:lang w:val="en-GB"/>
        </w:rPr>
        <w:t>5.6 Exchange Rates and Global Market Exposure</w:t>
      </w:r>
    </w:p>
    <w:p w14:paraId="704B6DCA" w14:textId="77777777" w:rsidR="0099771A" w:rsidRPr="0099771A" w:rsidRDefault="0099771A" w:rsidP="0099771A">
      <w:pPr>
        <w:rPr>
          <w:lang w:val="en-GB"/>
        </w:rPr>
      </w:pPr>
      <w:r w:rsidRPr="0099771A">
        <w:rPr>
          <w:lang w:val="en-GB"/>
        </w:rPr>
        <w:t>Currency movements influence Toyota because it operates across numerous currencies while reporting in Japanese yen. Exchange-rate changes affect the yen value of foreign revenue and costs, export competitiveness and the economics of production location.</w:t>
      </w:r>
    </w:p>
    <w:p w14:paraId="18BFD599" w14:textId="77777777" w:rsidR="0099771A" w:rsidRPr="0099771A" w:rsidRDefault="0099771A" w:rsidP="0099771A">
      <w:pPr>
        <w:rPr>
          <w:lang w:val="en-GB"/>
        </w:rPr>
      </w:pPr>
      <w:r w:rsidRPr="0099771A">
        <w:rPr>
          <w:lang w:val="en-GB"/>
        </w:rPr>
        <w:t xml:space="preserve">Toyota's FY2026 results provide direct evidence. Operating income in Europe declined 13.9%, with Toyota identifying exchange-rate changes as a major reason. In Asia, operating income declined 3.0%, again with exchange-rate effects identified. </w:t>
      </w:r>
    </w:p>
    <w:p w14:paraId="127201C3" w14:textId="77777777" w:rsidR="0099771A" w:rsidRPr="0099771A" w:rsidRDefault="0099771A" w:rsidP="0099771A">
      <w:pPr>
        <w:rPr>
          <w:lang w:val="en-GB"/>
        </w:rPr>
      </w:pPr>
      <w:r w:rsidRPr="0099771A">
        <w:rPr>
          <w:lang w:val="en-GB"/>
        </w:rPr>
        <w:t>Local manufacturing provides a partial natural hedge because production expenses and sales revenues can occur in the same currency. Williamson's (2001) automotive-industry evidence supports the importance of foreign production as an operational hedge against currency exposure.</w:t>
      </w:r>
    </w:p>
    <w:p w14:paraId="3ABA4BA4" w14:textId="77777777" w:rsidR="0099771A" w:rsidRPr="0099771A" w:rsidRDefault="0099771A" w:rsidP="0099771A">
      <w:pPr>
        <w:rPr>
          <w:lang w:val="en-GB"/>
        </w:rPr>
      </w:pPr>
      <w:r w:rsidRPr="0099771A">
        <w:rPr>
          <w:lang w:val="en-GB"/>
        </w:rPr>
        <w:t>However, complete localisation is neither feasible nor necessarily desirable. Components, technology and capital equipment still move internationally. Toyota therefore requires both financial hedging and operational diversification.</w:t>
      </w:r>
    </w:p>
    <w:p w14:paraId="17F49617" w14:textId="77777777" w:rsidR="0099771A" w:rsidRPr="0099771A" w:rsidRDefault="0099771A" w:rsidP="0099771A">
      <w:pPr>
        <w:rPr>
          <w:b/>
          <w:bCs/>
          <w:lang w:val="en-GB"/>
        </w:rPr>
      </w:pPr>
      <w:r w:rsidRPr="0099771A">
        <w:rPr>
          <w:b/>
          <w:bCs/>
          <w:lang w:val="en-GB"/>
        </w:rPr>
        <w:t>5.7 Supply-Chain and Geopolitical Uncertainty</w:t>
      </w:r>
    </w:p>
    <w:p w14:paraId="1D2EBD16" w14:textId="77777777" w:rsidR="0099771A" w:rsidRPr="0099771A" w:rsidRDefault="0099771A" w:rsidP="0099771A">
      <w:pPr>
        <w:rPr>
          <w:lang w:val="en-GB"/>
        </w:rPr>
      </w:pPr>
      <w:r w:rsidRPr="0099771A">
        <w:rPr>
          <w:lang w:val="en-GB"/>
        </w:rPr>
        <w:t>Automotive supply chains are vulnerable to geopolitical conflict, tariffs, natural disasters, transportation disruption and shortages of critical technologies. Semiconductor shortages demonstrated how inexpensive components can constrain production of high-value finished vehicles.</w:t>
      </w:r>
    </w:p>
    <w:p w14:paraId="2518A878" w14:textId="77777777" w:rsidR="0099771A" w:rsidRPr="0099771A" w:rsidRDefault="0099771A" w:rsidP="0099771A">
      <w:pPr>
        <w:rPr>
          <w:lang w:val="en-GB"/>
        </w:rPr>
      </w:pPr>
      <w:r w:rsidRPr="0099771A">
        <w:rPr>
          <w:lang w:val="en-GB"/>
        </w:rPr>
        <w:lastRenderedPageBreak/>
        <w:t xml:space="preserve">Caldara and Iacoviello (2022) show that geopolitical risk is associated with weaker investment and employment. Meanwhile, </w:t>
      </w:r>
      <w:proofErr w:type="spellStart"/>
      <w:r w:rsidRPr="0099771A">
        <w:rPr>
          <w:lang w:val="en-GB"/>
        </w:rPr>
        <w:t>Jum'a</w:t>
      </w:r>
      <w:proofErr w:type="spellEnd"/>
      <w:r w:rsidRPr="0099771A">
        <w:rPr>
          <w:lang w:val="en-GB"/>
        </w:rPr>
        <w:t xml:space="preserve"> et al. (2024) demonstrate the relevance of proactive supply-chain resilience specifically within the automotive industry.</w:t>
      </w:r>
    </w:p>
    <w:p w14:paraId="3E03D544" w14:textId="77777777" w:rsidR="0099771A" w:rsidRPr="0099771A" w:rsidRDefault="0099771A" w:rsidP="0099771A">
      <w:pPr>
        <w:rPr>
          <w:lang w:val="en-GB"/>
        </w:rPr>
      </w:pPr>
      <w:r w:rsidRPr="0099771A">
        <w:rPr>
          <w:lang w:val="en-GB"/>
        </w:rPr>
        <w:t>For Toyota, resilience may involve supplier diversification, strategic inventories, dual sourcing, localisation and stronger visibility across lower-tier suppliers. These policies can increase short-term costs because redundancy appears inefficient during stable periods. However, the relevant strategic comparison is between the cost of redundancy and the potential cost of production interruption.</w:t>
      </w:r>
    </w:p>
    <w:p w14:paraId="34196B18" w14:textId="77777777" w:rsidR="0099771A" w:rsidRPr="0099771A" w:rsidRDefault="0099771A" w:rsidP="0099771A">
      <w:pPr>
        <w:rPr>
          <w:lang w:val="en-GB"/>
        </w:rPr>
      </w:pPr>
      <w:r w:rsidRPr="0099771A">
        <w:rPr>
          <w:lang w:val="en-GB"/>
        </w:rPr>
        <w:t>Thus, Toyota's traditional focus on efficiency must increasingly coexist with resilience.</w:t>
      </w:r>
    </w:p>
    <w:p w14:paraId="4E2E45F1" w14:textId="1A5420BE" w:rsidR="0099771A" w:rsidRPr="0099771A" w:rsidRDefault="0099771A" w:rsidP="0099771A">
      <w:pPr>
        <w:rPr>
          <w:lang w:val="en-GB"/>
        </w:rPr>
      </w:pPr>
    </w:p>
    <w:p w14:paraId="603E20AA" w14:textId="77777777" w:rsidR="0099771A" w:rsidRPr="0099771A" w:rsidRDefault="0099771A" w:rsidP="0099771A">
      <w:pPr>
        <w:rPr>
          <w:b/>
          <w:bCs/>
          <w:lang w:val="en-GB"/>
        </w:rPr>
      </w:pPr>
      <w:r w:rsidRPr="0099771A">
        <w:rPr>
          <w:b/>
          <w:bCs/>
          <w:lang w:val="en-GB"/>
        </w:rPr>
        <w:t>6. Discussion</w:t>
      </w:r>
    </w:p>
    <w:p w14:paraId="4A780C19" w14:textId="77777777" w:rsidR="0099771A" w:rsidRPr="0099771A" w:rsidRDefault="0099771A" w:rsidP="0099771A">
      <w:pPr>
        <w:rPr>
          <w:b/>
          <w:bCs/>
          <w:lang w:val="en-GB"/>
        </w:rPr>
      </w:pPr>
      <w:r w:rsidRPr="0099771A">
        <w:rPr>
          <w:b/>
          <w:bCs/>
          <w:lang w:val="en-GB"/>
        </w:rPr>
        <w:t>6.1 Strategic Responses to Changing Economic Conditions</w:t>
      </w:r>
    </w:p>
    <w:p w14:paraId="7A74FBF6" w14:textId="77777777" w:rsidR="0099771A" w:rsidRPr="0099771A" w:rsidRDefault="0099771A" w:rsidP="0099771A">
      <w:pPr>
        <w:rPr>
          <w:lang w:val="en-GB"/>
        </w:rPr>
      </w:pPr>
      <w:r w:rsidRPr="0099771A">
        <w:rPr>
          <w:lang w:val="en-GB"/>
        </w:rPr>
        <w:t>The findings indicate that Toyota faces interconnected rather than isolated economic variables. Inflation can lead central banks to increase interest rates. Higher rates can reduce vehicle affordability and economic growth. Slower growth can weaken employment, which can further reduce consumer confidence. Meanwhile, geopolitical disruptions can simultaneously increase commodity prices, inflation and supply-chain uncertainty.</w:t>
      </w:r>
    </w:p>
    <w:p w14:paraId="74F3073F" w14:textId="77777777" w:rsidR="0099771A" w:rsidRPr="0099771A" w:rsidRDefault="0099771A" w:rsidP="0099771A">
      <w:pPr>
        <w:rPr>
          <w:lang w:val="en-GB"/>
        </w:rPr>
      </w:pPr>
      <w:r w:rsidRPr="0099771A">
        <w:rPr>
          <w:lang w:val="en-GB"/>
        </w:rPr>
        <w:t>Toyota therefore requires integrated macroeconomic scenario planning rather than separate forecasts for individual indicators.</w:t>
      </w:r>
    </w:p>
    <w:p w14:paraId="2A69F7E5" w14:textId="77777777" w:rsidR="0099771A" w:rsidRPr="0099771A" w:rsidRDefault="0099771A" w:rsidP="0099771A">
      <w:pPr>
        <w:rPr>
          <w:lang w:val="en-GB"/>
        </w:rPr>
      </w:pPr>
      <w:r w:rsidRPr="0099771A">
        <w:rPr>
          <w:lang w:val="en-GB"/>
        </w:rPr>
        <w:t>One scenario might involve high inflation, high interest rates and weak consumer confidence. Toyota's appropriate response could include affordable hybrid vehicles, financing incentives, disciplined inventory and cost control.</w:t>
      </w:r>
    </w:p>
    <w:p w14:paraId="3E57D758" w14:textId="77777777" w:rsidR="0099771A" w:rsidRPr="0099771A" w:rsidRDefault="0099771A" w:rsidP="0099771A">
      <w:pPr>
        <w:rPr>
          <w:lang w:val="en-GB"/>
        </w:rPr>
      </w:pPr>
      <w:r w:rsidRPr="0099771A">
        <w:rPr>
          <w:lang w:val="en-GB"/>
        </w:rPr>
        <w:lastRenderedPageBreak/>
        <w:t>A second scenario could involve stronger economic growth, declining rates and greater EV infrastructure investment. Under those conditions, Toyota could accelerate BEV capacity and introduce higher-value technology.</w:t>
      </w:r>
    </w:p>
    <w:p w14:paraId="4AED2BED" w14:textId="77777777" w:rsidR="0099771A" w:rsidRPr="0099771A" w:rsidRDefault="0099771A" w:rsidP="0099771A">
      <w:pPr>
        <w:rPr>
          <w:lang w:val="en-GB"/>
        </w:rPr>
      </w:pPr>
      <w:r w:rsidRPr="0099771A">
        <w:rPr>
          <w:lang w:val="en-GB"/>
        </w:rPr>
        <w:t>The strategic principle is flexibility rather than attempting to make a single economic forecast with certainty.</w:t>
      </w:r>
    </w:p>
    <w:p w14:paraId="07BAFE97" w14:textId="77777777" w:rsidR="0099771A" w:rsidRPr="0099771A" w:rsidRDefault="0099771A" w:rsidP="0099771A">
      <w:pPr>
        <w:rPr>
          <w:b/>
          <w:bCs/>
          <w:lang w:val="en-GB"/>
        </w:rPr>
      </w:pPr>
      <w:r w:rsidRPr="0099771A">
        <w:rPr>
          <w:b/>
          <w:bCs/>
          <w:lang w:val="en-GB"/>
        </w:rPr>
        <w:t>6.2 Toyota's Multi-Pathway Strategy</w:t>
      </w:r>
    </w:p>
    <w:p w14:paraId="2BC59204" w14:textId="77777777" w:rsidR="0099771A" w:rsidRPr="0099771A" w:rsidRDefault="0099771A" w:rsidP="0099771A">
      <w:pPr>
        <w:rPr>
          <w:lang w:val="en-GB"/>
        </w:rPr>
      </w:pPr>
      <w:r w:rsidRPr="0099771A">
        <w:rPr>
          <w:lang w:val="en-GB"/>
        </w:rPr>
        <w:t>Toyota's powertrain diversification provides an example of adaptation to socioeconomic heterogeneity. Consumers in countries with extensive charging networks and strong incentives may transition rapidly to BEVs. Consumers elsewhere may prefer hybrids because they reduce fuel consumption without requiring charging infrastructure.</w:t>
      </w:r>
    </w:p>
    <w:p w14:paraId="557F6EE8" w14:textId="77777777" w:rsidR="0099771A" w:rsidRPr="0099771A" w:rsidRDefault="0099771A" w:rsidP="0099771A">
      <w:pPr>
        <w:rPr>
          <w:lang w:val="en-GB"/>
        </w:rPr>
      </w:pPr>
      <w:r w:rsidRPr="0099771A">
        <w:rPr>
          <w:lang w:val="en-GB"/>
        </w:rPr>
        <w:t>Academic evidence supports this differentiated approach. EV adoption is influenced by infrastructure, price, environmental awareness, consumer characteristics and policy incentives (</w:t>
      </w:r>
      <w:proofErr w:type="spellStart"/>
      <w:r w:rsidRPr="0099771A">
        <w:rPr>
          <w:lang w:val="en-GB"/>
        </w:rPr>
        <w:t>Secinaro</w:t>
      </w:r>
      <w:proofErr w:type="spellEnd"/>
      <w:r w:rsidRPr="0099771A">
        <w:rPr>
          <w:lang w:val="en-GB"/>
        </w:rPr>
        <w:t xml:space="preserve"> et al., 2022; </w:t>
      </w:r>
      <w:proofErr w:type="spellStart"/>
      <w:r w:rsidRPr="0099771A">
        <w:rPr>
          <w:lang w:val="en-GB"/>
        </w:rPr>
        <w:t>Pamidimukkala</w:t>
      </w:r>
      <w:proofErr w:type="spellEnd"/>
      <w:r w:rsidRPr="0099771A">
        <w:rPr>
          <w:lang w:val="en-GB"/>
        </w:rPr>
        <w:t xml:space="preserve"> et al., 2024). Indian evidence also highlights charging infrastructure as a critical barrier (Patel et al., 2024).</w:t>
      </w:r>
    </w:p>
    <w:p w14:paraId="14CE90C0" w14:textId="77777777" w:rsidR="0099771A" w:rsidRPr="0099771A" w:rsidRDefault="0099771A" w:rsidP="0099771A">
      <w:pPr>
        <w:rPr>
          <w:lang w:val="en-GB"/>
        </w:rPr>
      </w:pPr>
      <w:r w:rsidRPr="0099771A">
        <w:rPr>
          <w:lang w:val="en-GB"/>
        </w:rPr>
        <w:t>The strength of Toyota's strategy is therefore optionality. The company can participate in electrification without depending entirely on one adoption trajectory.</w:t>
      </w:r>
    </w:p>
    <w:p w14:paraId="5393E0C1" w14:textId="77777777" w:rsidR="0099771A" w:rsidRPr="0099771A" w:rsidRDefault="0099771A" w:rsidP="0099771A">
      <w:pPr>
        <w:rPr>
          <w:lang w:val="en-GB"/>
        </w:rPr>
      </w:pPr>
      <w:r w:rsidRPr="0099771A">
        <w:rPr>
          <w:lang w:val="en-GB"/>
        </w:rPr>
        <w:t xml:space="preserve">The weakness is potential strategic dispersion. Developing HEVs, PHEVs, BEVs, hydrogen technologies and conventional vehicles simultaneously </w:t>
      </w:r>
      <w:proofErr w:type="gramStart"/>
      <w:r w:rsidRPr="0099771A">
        <w:rPr>
          <w:lang w:val="en-GB"/>
        </w:rPr>
        <w:t>requires</w:t>
      </w:r>
      <w:proofErr w:type="gramEnd"/>
      <w:r w:rsidRPr="0099771A">
        <w:rPr>
          <w:lang w:val="en-GB"/>
        </w:rPr>
        <w:t xml:space="preserve"> significant R&amp;D and manufacturing resources. If BEV adoption accelerates substantially in major markets, excessive diversification could leave Toyota with comparatively weaker scale in batteries or dedicated EV platforms.</w:t>
      </w:r>
    </w:p>
    <w:p w14:paraId="6B221F22" w14:textId="77777777" w:rsidR="0099771A" w:rsidRPr="0099771A" w:rsidRDefault="0099771A" w:rsidP="0099771A">
      <w:pPr>
        <w:rPr>
          <w:lang w:val="en-GB"/>
        </w:rPr>
      </w:pPr>
      <w:r w:rsidRPr="0099771A">
        <w:rPr>
          <w:lang w:val="en-GB"/>
        </w:rPr>
        <w:t>Therefore, multi-pathway flexibility should not become technological inertia. Investment needs to change as evidence regarding consumer adoption and infrastructure becomes clearer.</w:t>
      </w:r>
    </w:p>
    <w:p w14:paraId="17113F15" w14:textId="77777777" w:rsidR="0099771A" w:rsidRPr="0099771A" w:rsidRDefault="0099771A" w:rsidP="0099771A">
      <w:pPr>
        <w:rPr>
          <w:b/>
          <w:bCs/>
          <w:lang w:val="en-GB"/>
        </w:rPr>
      </w:pPr>
      <w:r w:rsidRPr="0099771A">
        <w:rPr>
          <w:b/>
          <w:bCs/>
          <w:lang w:val="en-GB"/>
        </w:rPr>
        <w:lastRenderedPageBreak/>
        <w:t>6.3 Localisation and Supply-Chain Resilience</w:t>
      </w:r>
    </w:p>
    <w:p w14:paraId="0BADD97B" w14:textId="77777777" w:rsidR="0099771A" w:rsidRPr="0099771A" w:rsidRDefault="0099771A" w:rsidP="0099771A">
      <w:pPr>
        <w:rPr>
          <w:lang w:val="en-GB"/>
        </w:rPr>
      </w:pPr>
      <w:r w:rsidRPr="0099771A">
        <w:rPr>
          <w:lang w:val="en-GB"/>
        </w:rPr>
        <w:t>Localisation addresses several socioeconomic risks simultaneously. Producing closer to customers can reduce transportation exposure, provide currency hedging and increase responsiveness to regional demand. It may also satisfy government policies encouraging domestic manufacturing.</w:t>
      </w:r>
    </w:p>
    <w:p w14:paraId="277CF6C9" w14:textId="77777777" w:rsidR="0099771A" w:rsidRPr="0099771A" w:rsidRDefault="0099771A" w:rsidP="0099771A">
      <w:pPr>
        <w:rPr>
          <w:lang w:val="en-GB"/>
        </w:rPr>
      </w:pPr>
      <w:r w:rsidRPr="0099771A">
        <w:rPr>
          <w:lang w:val="en-GB"/>
        </w:rPr>
        <w:t>However, excessive localisation sacrifices economies of scale. Replicating facilities across markets requires capital and can result in underutilised capacity during regional downturns.</w:t>
      </w:r>
    </w:p>
    <w:p w14:paraId="00145238" w14:textId="77777777" w:rsidR="0099771A" w:rsidRPr="0099771A" w:rsidRDefault="0099771A" w:rsidP="0099771A">
      <w:pPr>
        <w:rPr>
          <w:lang w:val="en-GB"/>
        </w:rPr>
      </w:pPr>
      <w:r w:rsidRPr="0099771A">
        <w:rPr>
          <w:lang w:val="en-GB"/>
        </w:rPr>
        <w:t>Toyota should therefore distinguish between strategically critical components and ordinary components. Semiconductors, batteries and key electronic systems may justify multiple suppliers or regional capacity because their absence can stop vehicle production. Less critical components can remain optimised primarily for cost.</w:t>
      </w:r>
    </w:p>
    <w:p w14:paraId="26A2CF9D" w14:textId="77777777" w:rsidR="0099771A" w:rsidRPr="0099771A" w:rsidRDefault="0099771A" w:rsidP="0099771A">
      <w:pPr>
        <w:rPr>
          <w:lang w:val="en-GB"/>
        </w:rPr>
      </w:pPr>
      <w:r w:rsidRPr="0099771A">
        <w:rPr>
          <w:lang w:val="en-GB"/>
        </w:rPr>
        <w:t xml:space="preserve">This represents a shift from traditional cost minimisation toward </w:t>
      </w:r>
      <w:r w:rsidRPr="0099771A">
        <w:rPr>
          <w:b/>
          <w:bCs/>
          <w:lang w:val="en-GB"/>
        </w:rPr>
        <w:t>risk-adjusted supply-chain efficiency</w:t>
      </w:r>
      <w:r w:rsidRPr="0099771A">
        <w:rPr>
          <w:lang w:val="en-GB"/>
        </w:rPr>
        <w:t>.</w:t>
      </w:r>
    </w:p>
    <w:p w14:paraId="4F038663" w14:textId="77777777" w:rsidR="0099771A" w:rsidRPr="0099771A" w:rsidRDefault="0099771A" w:rsidP="0099771A">
      <w:pPr>
        <w:rPr>
          <w:b/>
          <w:bCs/>
          <w:lang w:val="en-GB"/>
        </w:rPr>
      </w:pPr>
      <w:r w:rsidRPr="0099771A">
        <w:rPr>
          <w:b/>
          <w:bCs/>
          <w:lang w:val="en-GB"/>
        </w:rPr>
        <w:t>6.4 Financial and Operational Flexibility</w:t>
      </w:r>
    </w:p>
    <w:p w14:paraId="55476EF6" w14:textId="77777777" w:rsidR="0099771A" w:rsidRPr="0099771A" w:rsidRDefault="0099771A" w:rsidP="0099771A">
      <w:pPr>
        <w:rPr>
          <w:lang w:val="en-GB"/>
        </w:rPr>
      </w:pPr>
      <w:r w:rsidRPr="0099771A">
        <w:rPr>
          <w:lang w:val="en-GB"/>
        </w:rPr>
        <w:t>Toyota's scale and financial resources provide resilience during economic uncertainty. Large firms can maintain investment when smaller competitors face financing constraints, consistent with the literature on interest-rate sensitivity and corporate investment.</w:t>
      </w:r>
    </w:p>
    <w:p w14:paraId="3078BBE5" w14:textId="77777777" w:rsidR="0099771A" w:rsidRPr="0099771A" w:rsidRDefault="0099771A" w:rsidP="0099771A">
      <w:pPr>
        <w:rPr>
          <w:lang w:val="en-GB"/>
        </w:rPr>
      </w:pPr>
      <w:r w:rsidRPr="0099771A">
        <w:rPr>
          <w:lang w:val="en-GB"/>
        </w:rPr>
        <w:t xml:space="preserve">Nevertheless, financial strength should not justify indiscriminate investment. Economic policy uncertainty can reduce investment efficiency (Kong et al., 2022), and recent Indian evidence similarly shows that uncertainty can increase deviations from optimal investment levels. </w:t>
      </w:r>
    </w:p>
    <w:p w14:paraId="22CD0294" w14:textId="77777777" w:rsidR="0099771A" w:rsidRPr="0099771A" w:rsidRDefault="0099771A" w:rsidP="0099771A">
      <w:pPr>
        <w:rPr>
          <w:lang w:val="en-GB"/>
        </w:rPr>
      </w:pPr>
      <w:r w:rsidRPr="0099771A">
        <w:rPr>
          <w:lang w:val="en-GB"/>
        </w:rPr>
        <w:t xml:space="preserve">Toyota therefore needs real-options </w:t>
      </w:r>
      <w:proofErr w:type="gramStart"/>
      <w:r w:rsidRPr="0099771A">
        <w:rPr>
          <w:lang w:val="en-GB"/>
        </w:rPr>
        <w:t>thinking:</w:t>
      </w:r>
      <w:proofErr w:type="gramEnd"/>
      <w:r w:rsidRPr="0099771A">
        <w:rPr>
          <w:lang w:val="en-GB"/>
        </w:rPr>
        <w:t xml:space="preserve"> investments can be staged so that the company commits capital progressively as technological and demand uncertainty decreases. Modular manufacturing can similarly enable plants to adjust production among models or powertrains.</w:t>
      </w:r>
    </w:p>
    <w:p w14:paraId="2DE8BF0F" w14:textId="77777777" w:rsidR="0099771A" w:rsidRPr="0099771A" w:rsidRDefault="0099771A" w:rsidP="0099771A">
      <w:pPr>
        <w:rPr>
          <w:b/>
          <w:bCs/>
          <w:lang w:val="en-GB"/>
        </w:rPr>
      </w:pPr>
      <w:r w:rsidRPr="0099771A">
        <w:rPr>
          <w:b/>
          <w:bCs/>
          <w:lang w:val="en-GB"/>
        </w:rPr>
        <w:lastRenderedPageBreak/>
        <w:t>6.5 Critical Evaluation</w:t>
      </w:r>
    </w:p>
    <w:p w14:paraId="54F66D60" w14:textId="77777777" w:rsidR="0099771A" w:rsidRPr="0099771A" w:rsidRDefault="0099771A" w:rsidP="0099771A">
      <w:pPr>
        <w:rPr>
          <w:lang w:val="en-GB"/>
        </w:rPr>
      </w:pPr>
      <w:r w:rsidRPr="0099771A">
        <w:rPr>
          <w:lang w:val="en-GB"/>
        </w:rPr>
        <w:t>Toyota's strategic position demonstrates both the benefits and costs of multinational diversification.</w:t>
      </w:r>
    </w:p>
    <w:p w14:paraId="0CCEEE4B" w14:textId="77777777" w:rsidR="0099771A" w:rsidRPr="0099771A" w:rsidRDefault="0099771A" w:rsidP="0099771A">
      <w:pPr>
        <w:rPr>
          <w:lang w:val="en-GB"/>
        </w:rPr>
      </w:pPr>
      <w:r w:rsidRPr="0099771A">
        <w:rPr>
          <w:lang w:val="en-GB"/>
        </w:rPr>
        <w:t>Geographical diversification reduces dependence on one economy but increases exposure to currencies, trade policy and geopolitical shocks. Product diversification accommodates heterogeneous consumers but increases technological complexity. Lean manufacturing reduces costs but can increase vulnerability when critical supply chains fail. Electrification provides growth opportunities but requires substantial investment before demand is completely predictable.</w:t>
      </w:r>
    </w:p>
    <w:p w14:paraId="799874BB" w14:textId="77777777" w:rsidR="0099771A" w:rsidRPr="0099771A" w:rsidRDefault="0099771A" w:rsidP="0099771A">
      <w:pPr>
        <w:rPr>
          <w:lang w:val="en-GB"/>
        </w:rPr>
      </w:pPr>
      <w:r w:rsidRPr="0099771A">
        <w:rPr>
          <w:lang w:val="en-GB"/>
        </w:rPr>
        <w:t>This demonstrates why strategic decision-making cannot maximise a single objective. Toyota must balance efficiency against resilience, affordability against technological sophistication, localisation against economies of scale and short-term profitability against long-term transformation.</w:t>
      </w:r>
    </w:p>
    <w:p w14:paraId="68C320B1" w14:textId="77777777" w:rsidR="0099771A" w:rsidRPr="0099771A" w:rsidRDefault="0099771A" w:rsidP="0099771A">
      <w:pPr>
        <w:rPr>
          <w:lang w:val="en-GB"/>
        </w:rPr>
      </w:pPr>
      <w:r w:rsidRPr="0099771A">
        <w:rPr>
          <w:lang w:val="en-GB"/>
        </w:rPr>
        <w:t>Toyota's FY2026 performance illustrates this tension. Its overall operating margin declined from 10.0% in FY2025 to 7.4% in FY2026. Yet short-term margin deterioration alone does not establish that long-term investment is inappropriate. Some expenditure may be necessary to protect future technological competitiveness.</w:t>
      </w:r>
    </w:p>
    <w:p w14:paraId="20CA22C2" w14:textId="77777777" w:rsidR="0099771A" w:rsidRPr="0099771A" w:rsidRDefault="0099771A" w:rsidP="0099771A">
      <w:pPr>
        <w:rPr>
          <w:lang w:val="en-GB"/>
        </w:rPr>
      </w:pPr>
      <w:r w:rsidRPr="0099771A">
        <w:rPr>
          <w:lang w:val="en-GB"/>
        </w:rPr>
        <w:t>The appropriate strategic objective is therefore not to eliminate socioeconomic risk, which is impossible, but to create organisational capabilities that allow Toyota to adapt faster than economic conditions change.</w:t>
      </w:r>
    </w:p>
    <w:p w14:paraId="05A43B01" w14:textId="2999220A" w:rsidR="0099771A" w:rsidRDefault="0099771A" w:rsidP="0099771A">
      <w:pPr>
        <w:rPr>
          <w:lang w:val="en-GB"/>
        </w:rPr>
      </w:pPr>
    </w:p>
    <w:p w14:paraId="21B0CADF" w14:textId="77777777" w:rsidR="0099771A" w:rsidRDefault="0099771A" w:rsidP="0099771A">
      <w:pPr>
        <w:rPr>
          <w:lang w:val="en-GB"/>
        </w:rPr>
      </w:pPr>
    </w:p>
    <w:p w14:paraId="029B4935" w14:textId="77777777" w:rsidR="0099771A" w:rsidRPr="0099771A" w:rsidRDefault="0099771A" w:rsidP="0099771A">
      <w:pPr>
        <w:rPr>
          <w:lang w:val="en-GB"/>
        </w:rPr>
      </w:pPr>
    </w:p>
    <w:p w14:paraId="087856A1" w14:textId="77777777" w:rsidR="0099771A" w:rsidRPr="0099771A" w:rsidRDefault="0099771A" w:rsidP="0099771A">
      <w:pPr>
        <w:rPr>
          <w:b/>
          <w:bCs/>
          <w:lang w:val="en-GB"/>
        </w:rPr>
      </w:pPr>
      <w:r w:rsidRPr="0099771A">
        <w:rPr>
          <w:b/>
          <w:bCs/>
          <w:lang w:val="en-GB"/>
        </w:rPr>
        <w:lastRenderedPageBreak/>
        <w:t>7. Recommendations</w:t>
      </w:r>
    </w:p>
    <w:p w14:paraId="0BA019FC" w14:textId="77777777" w:rsidR="0099771A" w:rsidRPr="0099771A" w:rsidRDefault="0099771A" w:rsidP="0099771A">
      <w:pPr>
        <w:rPr>
          <w:b/>
          <w:bCs/>
          <w:lang w:val="en-GB"/>
        </w:rPr>
      </w:pPr>
      <w:r w:rsidRPr="0099771A">
        <w:rPr>
          <w:b/>
          <w:bCs/>
          <w:lang w:val="en-GB"/>
        </w:rPr>
        <w:t>7.1 Develop an Integrated Macroeconomic Early-Warning System</w:t>
      </w:r>
    </w:p>
    <w:p w14:paraId="18119491" w14:textId="77777777" w:rsidR="0099771A" w:rsidRPr="0099771A" w:rsidRDefault="0099771A" w:rsidP="0099771A">
      <w:pPr>
        <w:rPr>
          <w:lang w:val="en-GB"/>
        </w:rPr>
      </w:pPr>
      <w:r w:rsidRPr="0099771A">
        <w:rPr>
          <w:lang w:val="en-GB"/>
        </w:rPr>
        <w:t>Toyota should integrate inflation, interest rates, unemployment, consumer confidence, exchange rates, commodity prices and geopolitical indicators into a regional forecasting platform. These indicators should feed directly into production, inventory and financing decisions.</w:t>
      </w:r>
    </w:p>
    <w:p w14:paraId="757D451B" w14:textId="77777777" w:rsidR="0099771A" w:rsidRPr="0099771A" w:rsidRDefault="0099771A" w:rsidP="0099771A">
      <w:pPr>
        <w:rPr>
          <w:lang w:val="en-GB"/>
        </w:rPr>
      </w:pPr>
      <w:r w:rsidRPr="0099771A">
        <w:rPr>
          <w:lang w:val="en-GB"/>
        </w:rPr>
        <w:t>Rather than producing a single forecast, management should construct downside, base and upside scenarios. This would reduce dependence on assumptions that may quickly become obsolete during economic shocks.</w:t>
      </w:r>
    </w:p>
    <w:p w14:paraId="61D1131E" w14:textId="77777777" w:rsidR="0099771A" w:rsidRPr="0099771A" w:rsidRDefault="0099771A" w:rsidP="0099771A">
      <w:pPr>
        <w:rPr>
          <w:b/>
          <w:bCs/>
          <w:lang w:val="en-GB"/>
        </w:rPr>
      </w:pPr>
      <w:r w:rsidRPr="0099771A">
        <w:rPr>
          <w:b/>
          <w:bCs/>
          <w:lang w:val="en-GB"/>
        </w:rPr>
        <w:t>7.2 Accelerate Regional Supply-Chain Resilience</w:t>
      </w:r>
    </w:p>
    <w:p w14:paraId="2CD75EE9" w14:textId="77777777" w:rsidR="0099771A" w:rsidRPr="0099771A" w:rsidRDefault="0099771A" w:rsidP="0099771A">
      <w:pPr>
        <w:rPr>
          <w:lang w:val="en-GB"/>
        </w:rPr>
      </w:pPr>
      <w:r w:rsidRPr="0099771A">
        <w:rPr>
          <w:lang w:val="en-GB"/>
        </w:rPr>
        <w:t>Toyota should identify components according to their production-criticality rather than their purchase cost. Semiconductors, battery materials and specialised electronics should receive greater supplier diversification and regional redundancy.</w:t>
      </w:r>
    </w:p>
    <w:p w14:paraId="5D60D188" w14:textId="77777777" w:rsidR="0099771A" w:rsidRPr="0099771A" w:rsidRDefault="0099771A" w:rsidP="0099771A">
      <w:pPr>
        <w:rPr>
          <w:lang w:val="en-GB"/>
        </w:rPr>
      </w:pPr>
      <w:proofErr w:type="spellStart"/>
      <w:r w:rsidRPr="0099771A">
        <w:rPr>
          <w:lang w:val="en-GB"/>
        </w:rPr>
        <w:t>Jum'a</w:t>
      </w:r>
      <w:proofErr w:type="spellEnd"/>
      <w:r w:rsidRPr="0099771A">
        <w:rPr>
          <w:lang w:val="en-GB"/>
        </w:rPr>
        <w:t xml:space="preserve"> et al. (2024) demonstrate that proactive resilience can moderate the impact of automotive supply-chain risks. Therefore, strategic inventories and dual sourcing should be treated as insurance rather than automatically classified as inefficiency.</w:t>
      </w:r>
    </w:p>
    <w:p w14:paraId="665333C8" w14:textId="77777777" w:rsidR="0099771A" w:rsidRPr="0099771A" w:rsidRDefault="0099771A" w:rsidP="0099771A">
      <w:pPr>
        <w:rPr>
          <w:b/>
          <w:bCs/>
          <w:lang w:val="en-GB"/>
        </w:rPr>
      </w:pPr>
      <w:r w:rsidRPr="0099771A">
        <w:rPr>
          <w:b/>
          <w:bCs/>
          <w:lang w:val="en-GB"/>
        </w:rPr>
        <w:t>7.3 Maintain Multi-Pathway Electrification but Dynamically Reallocate Capital</w:t>
      </w:r>
    </w:p>
    <w:p w14:paraId="20F676A5" w14:textId="77777777" w:rsidR="0099771A" w:rsidRPr="0099771A" w:rsidRDefault="0099771A" w:rsidP="0099771A">
      <w:pPr>
        <w:rPr>
          <w:lang w:val="en-GB"/>
        </w:rPr>
      </w:pPr>
      <w:r w:rsidRPr="0099771A">
        <w:rPr>
          <w:lang w:val="en-GB"/>
        </w:rPr>
        <w:t>Toyota should continue offering hybrids, PHEVs and BEVs according to regional infrastructure and consumer demand. However, capital allocation should be reviewed annually against actual adoption indicators.</w:t>
      </w:r>
    </w:p>
    <w:p w14:paraId="2A325C81" w14:textId="77777777" w:rsidR="0099771A" w:rsidRPr="0099771A" w:rsidRDefault="0099771A" w:rsidP="0099771A">
      <w:pPr>
        <w:rPr>
          <w:lang w:val="en-GB"/>
        </w:rPr>
      </w:pPr>
      <w:r w:rsidRPr="0099771A">
        <w:rPr>
          <w:lang w:val="en-GB"/>
        </w:rPr>
        <w:t>Markets demonstrating rapid charging deployment and BEV adoption should receive accelerated battery-electric investment. Markets where affordability and charging infrastructure remain constraints can continue to emphasise hybrids.</w:t>
      </w:r>
    </w:p>
    <w:p w14:paraId="69137C0E" w14:textId="77777777" w:rsidR="0099771A" w:rsidRPr="0099771A" w:rsidRDefault="0099771A" w:rsidP="0099771A">
      <w:pPr>
        <w:rPr>
          <w:lang w:val="en-GB"/>
        </w:rPr>
      </w:pPr>
      <w:r w:rsidRPr="0099771A">
        <w:rPr>
          <w:lang w:val="en-GB"/>
        </w:rPr>
        <w:lastRenderedPageBreak/>
        <w:t>This protects Toyota against premature technological concentration while reducing the danger of responding too slowly to a rapid BEV transition.</w:t>
      </w:r>
    </w:p>
    <w:p w14:paraId="2B8B11F5" w14:textId="77777777" w:rsidR="0099771A" w:rsidRPr="0099771A" w:rsidRDefault="0099771A" w:rsidP="0099771A">
      <w:pPr>
        <w:rPr>
          <w:b/>
          <w:bCs/>
          <w:lang w:val="en-GB"/>
        </w:rPr>
      </w:pPr>
      <w:r w:rsidRPr="0099771A">
        <w:rPr>
          <w:b/>
          <w:bCs/>
          <w:lang w:val="en-GB"/>
        </w:rPr>
        <w:t>7.4 Strengthen Affordability During High-Interest-Rate Periods</w:t>
      </w:r>
    </w:p>
    <w:p w14:paraId="113CBAED" w14:textId="77777777" w:rsidR="0099771A" w:rsidRPr="0099771A" w:rsidRDefault="0099771A" w:rsidP="0099771A">
      <w:pPr>
        <w:rPr>
          <w:lang w:val="en-GB"/>
        </w:rPr>
      </w:pPr>
      <w:r w:rsidRPr="0099771A">
        <w:rPr>
          <w:lang w:val="en-GB"/>
        </w:rPr>
        <w:t>Toyota should use its financial-services capabilities strategically when monetary conditions tighten. Flexible loan durations, targeted promotional rates, leasing and residual-value programmes can reduce monthly ownership costs.</w:t>
      </w:r>
    </w:p>
    <w:p w14:paraId="61DBBE2F" w14:textId="77777777" w:rsidR="0099771A" w:rsidRPr="0099771A" w:rsidRDefault="0099771A" w:rsidP="0099771A">
      <w:pPr>
        <w:rPr>
          <w:lang w:val="en-GB"/>
        </w:rPr>
      </w:pPr>
      <w:r w:rsidRPr="0099771A">
        <w:rPr>
          <w:lang w:val="en-GB"/>
        </w:rPr>
        <w:t>However, financing incentives should be risk-adjusted. Excessively subsidised credit could protect sales while transferring economic risk to Toyota's financial-services portfolio.</w:t>
      </w:r>
    </w:p>
    <w:p w14:paraId="461BF1BB" w14:textId="77777777" w:rsidR="0099771A" w:rsidRPr="0099771A" w:rsidRDefault="0099771A" w:rsidP="0099771A">
      <w:pPr>
        <w:rPr>
          <w:b/>
          <w:bCs/>
          <w:lang w:val="en-GB"/>
        </w:rPr>
      </w:pPr>
      <w:r w:rsidRPr="0099771A">
        <w:rPr>
          <w:b/>
          <w:bCs/>
          <w:lang w:val="en-GB"/>
        </w:rPr>
        <w:t>7.5 Expand Localisation as an Economic Hedge</w:t>
      </w:r>
    </w:p>
    <w:p w14:paraId="391578E9" w14:textId="77777777" w:rsidR="0099771A" w:rsidRPr="0099771A" w:rsidRDefault="0099771A" w:rsidP="0099771A">
      <w:pPr>
        <w:rPr>
          <w:lang w:val="en-GB"/>
        </w:rPr>
      </w:pPr>
      <w:r w:rsidRPr="0099771A">
        <w:rPr>
          <w:lang w:val="en-GB"/>
        </w:rPr>
        <w:t>Regional production should be expanded where the combined benefits of currency hedging, supply resilience, market access and transportation savings exceed the loss of scale economies.</w:t>
      </w:r>
    </w:p>
    <w:p w14:paraId="07CC64A8" w14:textId="77777777" w:rsidR="0099771A" w:rsidRPr="0099771A" w:rsidRDefault="0099771A" w:rsidP="0099771A">
      <w:pPr>
        <w:rPr>
          <w:lang w:val="en-GB"/>
        </w:rPr>
      </w:pPr>
      <w:r w:rsidRPr="0099771A">
        <w:rPr>
          <w:lang w:val="en-GB"/>
        </w:rPr>
        <w:t>Localisation should therefore be assessed using a broader framework than manufacturing cost alone. Currency volatility, geopolitical exposure, tariffs and potential disruption costs should form part of investment appraisal.</w:t>
      </w:r>
    </w:p>
    <w:p w14:paraId="473E249F" w14:textId="77777777" w:rsidR="0099771A" w:rsidRPr="0099771A" w:rsidRDefault="0099771A" w:rsidP="0099771A">
      <w:pPr>
        <w:rPr>
          <w:b/>
          <w:bCs/>
          <w:lang w:val="en-GB"/>
        </w:rPr>
      </w:pPr>
      <w:r w:rsidRPr="0099771A">
        <w:rPr>
          <w:b/>
          <w:bCs/>
          <w:lang w:val="en-GB"/>
        </w:rPr>
        <w:t>7.6 Use Sociodemographic Segmentation More Aggressively</w:t>
      </w:r>
    </w:p>
    <w:p w14:paraId="360FCC51" w14:textId="77777777" w:rsidR="0099771A" w:rsidRPr="0099771A" w:rsidRDefault="0099771A" w:rsidP="0099771A">
      <w:pPr>
        <w:rPr>
          <w:lang w:val="en-GB"/>
        </w:rPr>
      </w:pPr>
      <w:r w:rsidRPr="0099771A">
        <w:rPr>
          <w:lang w:val="en-GB"/>
        </w:rPr>
        <w:t>Toyota should integrate age, income, household structure, urbanisation, environmental attitudes and charging access into product planning.</w:t>
      </w:r>
    </w:p>
    <w:p w14:paraId="171E1020" w14:textId="77777777" w:rsidR="0099771A" w:rsidRPr="0099771A" w:rsidRDefault="0099771A" w:rsidP="0099771A">
      <w:pPr>
        <w:rPr>
          <w:lang w:val="en-GB"/>
        </w:rPr>
      </w:pPr>
      <w:r w:rsidRPr="0099771A">
        <w:rPr>
          <w:lang w:val="en-GB"/>
        </w:rPr>
        <w:t>Research shows substantial heterogeneity in EV adoption. For example, high purchase price and charging time remain barriers (</w:t>
      </w:r>
      <w:proofErr w:type="spellStart"/>
      <w:r w:rsidRPr="0099771A">
        <w:rPr>
          <w:lang w:val="en-GB"/>
        </w:rPr>
        <w:t>Pamidimukkala</w:t>
      </w:r>
      <w:proofErr w:type="spellEnd"/>
      <w:r w:rsidRPr="0099771A">
        <w:rPr>
          <w:lang w:val="en-GB"/>
        </w:rPr>
        <w:t xml:space="preserve"> et al., 2024), while environmental awareness and user characteristics affect adoption (Wang &amp; </w:t>
      </w:r>
      <w:proofErr w:type="spellStart"/>
      <w:r w:rsidRPr="0099771A">
        <w:rPr>
          <w:lang w:val="en-GB"/>
        </w:rPr>
        <w:t>Witlox</w:t>
      </w:r>
      <w:proofErr w:type="spellEnd"/>
      <w:r w:rsidRPr="0099771A">
        <w:rPr>
          <w:lang w:val="en-GB"/>
        </w:rPr>
        <w:t>, 2025).</w:t>
      </w:r>
    </w:p>
    <w:p w14:paraId="775D6726" w14:textId="77777777" w:rsidR="0099771A" w:rsidRPr="0099771A" w:rsidRDefault="0099771A" w:rsidP="0099771A">
      <w:pPr>
        <w:rPr>
          <w:lang w:val="en-GB"/>
        </w:rPr>
      </w:pPr>
      <w:r w:rsidRPr="0099771A">
        <w:rPr>
          <w:lang w:val="en-GB"/>
        </w:rPr>
        <w:t>Consequently, Toyota should avoid treating the "EV customer" as a single segment. Entry-level urban consumers, environmentally motivated professionals, rural households and premium buyers require different products and value propositions.</w:t>
      </w:r>
    </w:p>
    <w:p w14:paraId="554B209A" w14:textId="77777777" w:rsidR="0099771A" w:rsidRPr="0099771A" w:rsidRDefault="0099771A" w:rsidP="0099771A">
      <w:pPr>
        <w:rPr>
          <w:b/>
          <w:bCs/>
          <w:lang w:val="en-GB"/>
        </w:rPr>
      </w:pPr>
      <w:r w:rsidRPr="0099771A">
        <w:rPr>
          <w:b/>
          <w:bCs/>
          <w:lang w:val="en-GB"/>
        </w:rPr>
        <w:lastRenderedPageBreak/>
        <w:t>7.7 Adopt Risk-Adjusted Investment Evaluation</w:t>
      </w:r>
    </w:p>
    <w:p w14:paraId="3E2EA144" w14:textId="77777777" w:rsidR="0099771A" w:rsidRPr="0099771A" w:rsidRDefault="0099771A" w:rsidP="0099771A">
      <w:pPr>
        <w:rPr>
          <w:lang w:val="en-GB"/>
        </w:rPr>
      </w:pPr>
      <w:r w:rsidRPr="0099771A">
        <w:rPr>
          <w:lang w:val="en-GB"/>
        </w:rPr>
        <w:t>Major capital projects should incorporate economic-policy uncertainty, interest-rate scenarios, currency movements and geopolitical risk into investment appraisal.</w:t>
      </w:r>
    </w:p>
    <w:p w14:paraId="1DED8812" w14:textId="77777777" w:rsidR="0099771A" w:rsidRPr="0099771A" w:rsidRDefault="0099771A" w:rsidP="0099771A">
      <w:pPr>
        <w:rPr>
          <w:lang w:val="en-GB"/>
        </w:rPr>
      </w:pPr>
      <w:r w:rsidRPr="0099771A">
        <w:rPr>
          <w:lang w:val="en-GB"/>
        </w:rPr>
        <w:t>Traditional net-present-value calculations based on a single expected future may underestimate uncertainty. Toyota should therefore combine conventional capital budgeting with scenario analysis and real-options reasoning, enabling investments to be expanded, delayed or modified as economic information develops.</w:t>
      </w:r>
    </w:p>
    <w:p w14:paraId="3C89D043" w14:textId="77777777" w:rsidR="0099771A" w:rsidRPr="0099771A" w:rsidRDefault="0099771A" w:rsidP="0099771A">
      <w:pPr>
        <w:rPr>
          <w:lang w:val="en-GB"/>
        </w:rPr>
      </w:pPr>
      <w:r w:rsidRPr="0099771A">
        <w:rPr>
          <w:lang w:val="en-GB"/>
        </w:rPr>
        <w:t>Together, these recommendations would increase Toyota's ability to protect profitability without compromising long-term technological transformation.</w:t>
      </w:r>
    </w:p>
    <w:p w14:paraId="0E077D40" w14:textId="6A116A27" w:rsidR="0099771A" w:rsidRPr="0099771A" w:rsidRDefault="0099771A" w:rsidP="0099771A">
      <w:pPr>
        <w:rPr>
          <w:lang w:val="en-GB"/>
        </w:rPr>
      </w:pPr>
    </w:p>
    <w:p w14:paraId="505CAABC" w14:textId="77777777" w:rsidR="0099771A" w:rsidRPr="0099771A" w:rsidRDefault="0099771A" w:rsidP="0099771A">
      <w:pPr>
        <w:rPr>
          <w:b/>
          <w:bCs/>
          <w:lang w:val="en-GB"/>
        </w:rPr>
      </w:pPr>
      <w:r w:rsidRPr="0099771A">
        <w:rPr>
          <w:b/>
          <w:bCs/>
          <w:lang w:val="en-GB"/>
        </w:rPr>
        <w:t>8. Conclusion</w:t>
      </w:r>
    </w:p>
    <w:p w14:paraId="0E0EC7C4" w14:textId="77777777" w:rsidR="0099771A" w:rsidRPr="0099771A" w:rsidRDefault="0099771A" w:rsidP="0099771A">
      <w:pPr>
        <w:rPr>
          <w:lang w:val="en-GB"/>
        </w:rPr>
      </w:pPr>
      <w:r w:rsidRPr="0099771A">
        <w:rPr>
          <w:lang w:val="en-GB"/>
        </w:rPr>
        <w:t>This report examined the influence of socioeconomic conditions on organisational decision-making and business performance through the case of Toyota Motor Corporation. The analysis demonstrates that inflation, interest rates, employment, economic growth, consumer behaviour, demographic change, exchange rates, geopolitical uncertainty and supply-chain conditions materially shape the environment in which automotive strategies are formulated.</w:t>
      </w:r>
    </w:p>
    <w:p w14:paraId="68125908" w14:textId="77777777" w:rsidR="0099771A" w:rsidRPr="0099771A" w:rsidRDefault="0099771A" w:rsidP="0099771A">
      <w:pPr>
        <w:rPr>
          <w:lang w:val="en-GB"/>
        </w:rPr>
      </w:pPr>
      <w:r w:rsidRPr="0099771A">
        <w:rPr>
          <w:lang w:val="en-GB"/>
        </w:rPr>
        <w:t>Inflation influences production costs and household purchasing power, while interest rates affect both Toyota's investment decisions and customers' vehicle-financing costs. Employment and economic growth influence consumer confidence and durable-goods demand. Demographic differences and infrastructure availability affect the speed at which consumers adopt electrified vehicles. Meanwhile, exchange rates, geopolitical uncertainty and supply-chain disruption create additional challenges for a globally integrated manufacturer.</w:t>
      </w:r>
    </w:p>
    <w:p w14:paraId="22EE75E7" w14:textId="77777777" w:rsidR="0099771A" w:rsidRPr="0099771A" w:rsidRDefault="0099771A" w:rsidP="0099771A">
      <w:pPr>
        <w:rPr>
          <w:lang w:val="en-GB"/>
        </w:rPr>
      </w:pPr>
      <w:r w:rsidRPr="0099771A">
        <w:rPr>
          <w:lang w:val="en-GB"/>
        </w:rPr>
        <w:lastRenderedPageBreak/>
        <w:t>Toyota's geographic diversification, financial resources, localisation and multi-powertrain portfolio provide important forms of resilience. Its multi-pathway approach is particularly consistent with the finding that EV adoption differs significantly according to socioeconomic conditions. However, diversification also creates complexity and potential opportunity costs.</w:t>
      </w:r>
    </w:p>
    <w:p w14:paraId="312DEB45" w14:textId="77777777" w:rsidR="0099771A" w:rsidRPr="0099771A" w:rsidRDefault="0099771A" w:rsidP="0099771A">
      <w:pPr>
        <w:rPr>
          <w:lang w:val="en-GB"/>
        </w:rPr>
      </w:pPr>
      <w:r w:rsidRPr="0099771A">
        <w:rPr>
          <w:lang w:val="en-GB"/>
        </w:rPr>
        <w:t>The central strategic implication is therefore that Toyota should not attempt to predict one universal future for the automotive market. It should instead maintain the capability to respond to several plausible economic and technological futures. Enhanced scenario planning, regionalised supply chains, affordability-focused financing, dynamic electrification investment, sociodemographic segmentation and risk-adjusted capital allocation would strengthen this capability.</w:t>
      </w:r>
    </w:p>
    <w:p w14:paraId="49A7936D" w14:textId="77777777" w:rsidR="0099771A" w:rsidRPr="0099771A" w:rsidRDefault="0099771A" w:rsidP="0099771A">
      <w:pPr>
        <w:rPr>
          <w:lang w:val="en-GB"/>
        </w:rPr>
      </w:pPr>
      <w:r w:rsidRPr="0099771A">
        <w:rPr>
          <w:lang w:val="en-GB"/>
        </w:rPr>
        <w:t>Ultimately, Toyota illustrates a wider lesson for international business: macroeconomic and socioeconomic analysis should not be treated as background information. It should form an integral part of decisions concerning products, investment, pricing, finance, supply chains and international market strategy.</w:t>
      </w:r>
    </w:p>
    <w:p w14:paraId="3CCFA2E0" w14:textId="39224AF0" w:rsidR="0099771A" w:rsidRDefault="0099771A" w:rsidP="0099771A">
      <w:pPr>
        <w:rPr>
          <w:lang w:val="en-GB"/>
        </w:rPr>
      </w:pPr>
    </w:p>
    <w:p w14:paraId="19BD6EFD" w14:textId="77777777" w:rsidR="0099771A" w:rsidRDefault="0099771A" w:rsidP="0099771A">
      <w:pPr>
        <w:rPr>
          <w:lang w:val="en-GB"/>
        </w:rPr>
      </w:pPr>
    </w:p>
    <w:p w14:paraId="25B1E11E" w14:textId="77777777" w:rsidR="0099771A" w:rsidRDefault="0099771A" w:rsidP="0099771A">
      <w:pPr>
        <w:rPr>
          <w:lang w:val="en-GB"/>
        </w:rPr>
      </w:pPr>
    </w:p>
    <w:p w14:paraId="498FBBE8" w14:textId="77777777" w:rsidR="0099771A" w:rsidRDefault="0099771A" w:rsidP="0099771A">
      <w:pPr>
        <w:rPr>
          <w:lang w:val="en-GB"/>
        </w:rPr>
      </w:pPr>
    </w:p>
    <w:p w14:paraId="72921AB9" w14:textId="77777777" w:rsidR="0099771A" w:rsidRDefault="0099771A" w:rsidP="0099771A">
      <w:pPr>
        <w:rPr>
          <w:lang w:val="en-GB"/>
        </w:rPr>
      </w:pPr>
    </w:p>
    <w:p w14:paraId="38A89689" w14:textId="77777777" w:rsidR="0099771A" w:rsidRDefault="0099771A" w:rsidP="0099771A">
      <w:pPr>
        <w:rPr>
          <w:lang w:val="en-GB"/>
        </w:rPr>
      </w:pPr>
    </w:p>
    <w:p w14:paraId="4664A540" w14:textId="77777777" w:rsidR="0099771A" w:rsidRDefault="0099771A" w:rsidP="0099771A">
      <w:pPr>
        <w:rPr>
          <w:lang w:val="en-GB"/>
        </w:rPr>
      </w:pPr>
    </w:p>
    <w:p w14:paraId="75FBF0B4" w14:textId="77777777" w:rsidR="0099771A" w:rsidRDefault="0099771A" w:rsidP="0099771A">
      <w:pPr>
        <w:rPr>
          <w:lang w:val="en-GB"/>
        </w:rPr>
      </w:pPr>
    </w:p>
    <w:p w14:paraId="1A2E62F0" w14:textId="77777777" w:rsidR="0099771A" w:rsidRDefault="0099771A" w:rsidP="0099771A">
      <w:pPr>
        <w:rPr>
          <w:lang w:val="en-GB"/>
        </w:rPr>
      </w:pPr>
    </w:p>
    <w:p w14:paraId="20DA93AA" w14:textId="77777777" w:rsidR="0099771A" w:rsidRDefault="0099771A" w:rsidP="0099771A">
      <w:pPr>
        <w:rPr>
          <w:lang w:val="en-GB"/>
        </w:rPr>
      </w:pPr>
    </w:p>
    <w:p w14:paraId="7AFFF0DF" w14:textId="77777777" w:rsidR="0099771A" w:rsidRDefault="0099771A" w:rsidP="0099771A">
      <w:pPr>
        <w:rPr>
          <w:lang w:val="en-GB"/>
        </w:rPr>
      </w:pPr>
    </w:p>
    <w:p w14:paraId="7408F4F8" w14:textId="77777777" w:rsidR="0099771A" w:rsidRDefault="0099771A" w:rsidP="0099771A">
      <w:pPr>
        <w:rPr>
          <w:lang w:val="en-GB"/>
        </w:rPr>
      </w:pPr>
    </w:p>
    <w:p w14:paraId="2FB0C2D7" w14:textId="77777777" w:rsidR="0099771A" w:rsidRPr="0099771A" w:rsidRDefault="0099771A" w:rsidP="0099771A">
      <w:pPr>
        <w:rPr>
          <w:lang w:val="en-GB"/>
        </w:rPr>
      </w:pPr>
    </w:p>
    <w:p w14:paraId="461B04A9" w14:textId="4127A95D" w:rsidR="0099771A" w:rsidRPr="0099771A" w:rsidRDefault="0099771A" w:rsidP="0099771A">
      <w:pPr>
        <w:rPr>
          <w:b/>
          <w:bCs/>
          <w:lang w:val="en-GB"/>
        </w:rPr>
      </w:pPr>
      <w:r w:rsidRPr="0099771A">
        <w:rPr>
          <w:b/>
          <w:bCs/>
          <w:lang w:val="en-GB"/>
        </w:rPr>
        <w:t>9. References</w:t>
      </w:r>
    </w:p>
    <w:p w14:paraId="158EAD73" w14:textId="77777777" w:rsidR="0099771A" w:rsidRPr="0099771A" w:rsidRDefault="0099771A" w:rsidP="0099771A">
      <w:pPr>
        <w:rPr>
          <w:lang w:val="en-GB"/>
        </w:rPr>
      </w:pPr>
      <w:r w:rsidRPr="0099771A">
        <w:rPr>
          <w:lang w:val="en-GB"/>
        </w:rPr>
        <w:t xml:space="preserve">Andrade, P., Gautier, E., &amp; </w:t>
      </w:r>
      <w:proofErr w:type="spellStart"/>
      <w:r w:rsidRPr="0099771A">
        <w:rPr>
          <w:lang w:val="en-GB"/>
        </w:rPr>
        <w:t>Mengus</w:t>
      </w:r>
      <w:proofErr w:type="spellEnd"/>
      <w:r w:rsidRPr="0099771A">
        <w:rPr>
          <w:lang w:val="en-GB"/>
        </w:rPr>
        <w:t xml:space="preserve">, E. (2023). What matters in households' inflation expectations? </w:t>
      </w:r>
      <w:r w:rsidRPr="0099771A">
        <w:rPr>
          <w:i/>
          <w:iCs/>
          <w:lang w:val="en-GB"/>
        </w:rPr>
        <w:t>Journal of Monetary Economics, 138</w:t>
      </w:r>
      <w:r w:rsidRPr="0099771A">
        <w:rPr>
          <w:lang w:val="en-GB"/>
        </w:rPr>
        <w:t xml:space="preserve">, 50–68. https://doi.org/10.1016/j.jmoneco.2023.05.007 </w:t>
      </w:r>
    </w:p>
    <w:p w14:paraId="1DA0D764" w14:textId="77777777" w:rsidR="0099771A" w:rsidRPr="0099771A" w:rsidRDefault="0099771A" w:rsidP="0099771A">
      <w:pPr>
        <w:rPr>
          <w:lang w:val="en-GB"/>
        </w:rPr>
      </w:pPr>
      <w:r w:rsidRPr="0099771A">
        <w:rPr>
          <w:lang w:val="en-GB"/>
        </w:rPr>
        <w:t xml:space="preserve">Baggs, J., Beaulieu, E., &amp; Fung, L. (2009). Firm survival, performance, and the exchange rate. </w:t>
      </w:r>
      <w:r w:rsidRPr="0099771A">
        <w:rPr>
          <w:i/>
          <w:iCs/>
          <w:lang w:val="en-GB"/>
        </w:rPr>
        <w:t xml:space="preserve">Canadian Journal of Economics/Revue canadienne </w:t>
      </w:r>
      <w:proofErr w:type="spellStart"/>
      <w:r w:rsidRPr="0099771A">
        <w:rPr>
          <w:i/>
          <w:iCs/>
          <w:lang w:val="en-GB"/>
        </w:rPr>
        <w:t>d'économique</w:t>
      </w:r>
      <w:proofErr w:type="spellEnd"/>
      <w:r w:rsidRPr="0099771A">
        <w:rPr>
          <w:i/>
          <w:iCs/>
          <w:lang w:val="en-GB"/>
        </w:rPr>
        <w:t>, 42</w:t>
      </w:r>
      <w:r w:rsidRPr="0099771A">
        <w:rPr>
          <w:lang w:val="en-GB"/>
        </w:rPr>
        <w:t xml:space="preserve">(2), 393–421. </w:t>
      </w:r>
      <w:hyperlink r:id="rId9" w:tgtFrame="_new" w:history="1">
        <w:r w:rsidRPr="0099771A">
          <w:rPr>
            <w:rStyle w:val="Hyperlink"/>
            <w:lang w:val="en-GB"/>
          </w:rPr>
          <w:t>https://doi.org/10.1111/j.1540-5982.2009.01513.x</w:t>
        </w:r>
      </w:hyperlink>
      <w:r w:rsidRPr="0099771A">
        <w:rPr>
          <w:lang w:val="en-GB"/>
        </w:rPr>
        <w:t xml:space="preserve"> </w:t>
      </w:r>
    </w:p>
    <w:p w14:paraId="3E73DD29" w14:textId="77777777" w:rsidR="0099771A" w:rsidRPr="0099771A" w:rsidRDefault="0099771A" w:rsidP="0099771A">
      <w:pPr>
        <w:rPr>
          <w:lang w:val="en-GB"/>
        </w:rPr>
      </w:pPr>
      <w:r w:rsidRPr="0099771A">
        <w:rPr>
          <w:lang w:val="en-GB"/>
        </w:rPr>
        <w:t xml:space="preserve">Burke, M. A., &amp; </w:t>
      </w:r>
      <w:proofErr w:type="spellStart"/>
      <w:r w:rsidRPr="0099771A">
        <w:rPr>
          <w:lang w:val="en-GB"/>
        </w:rPr>
        <w:t>Ozdagli</w:t>
      </w:r>
      <w:proofErr w:type="spellEnd"/>
      <w:r w:rsidRPr="0099771A">
        <w:rPr>
          <w:lang w:val="en-GB"/>
        </w:rPr>
        <w:t xml:space="preserve">, A. (2023). Household inflation expectations and consumer spending: Evidence from panel data. </w:t>
      </w:r>
      <w:r w:rsidRPr="0099771A">
        <w:rPr>
          <w:i/>
          <w:iCs/>
          <w:lang w:val="en-GB"/>
        </w:rPr>
        <w:t>The Review of Economics and Statistics, 105</w:t>
      </w:r>
      <w:r w:rsidRPr="0099771A">
        <w:rPr>
          <w:lang w:val="en-GB"/>
        </w:rPr>
        <w:t xml:space="preserve">(4), 948–961. </w:t>
      </w:r>
      <w:hyperlink r:id="rId10" w:tgtFrame="_new" w:history="1">
        <w:r w:rsidRPr="0099771A">
          <w:rPr>
            <w:rStyle w:val="Hyperlink"/>
            <w:lang w:val="en-GB"/>
          </w:rPr>
          <w:t>https://doi.org/10.1162/rest_a_01118</w:t>
        </w:r>
      </w:hyperlink>
      <w:r w:rsidRPr="0099771A">
        <w:rPr>
          <w:lang w:val="en-GB"/>
        </w:rPr>
        <w:t xml:space="preserve"> </w:t>
      </w:r>
    </w:p>
    <w:p w14:paraId="7DF852D2" w14:textId="77777777" w:rsidR="0099771A" w:rsidRPr="0099771A" w:rsidRDefault="0099771A" w:rsidP="0099771A">
      <w:pPr>
        <w:rPr>
          <w:lang w:val="en-GB"/>
        </w:rPr>
      </w:pPr>
      <w:r w:rsidRPr="0099771A">
        <w:rPr>
          <w:lang w:val="en-GB"/>
        </w:rPr>
        <w:t xml:space="preserve">Caldara, D., &amp; Iacoviello, M. (2022). Measuring geopolitical risk. </w:t>
      </w:r>
      <w:r w:rsidRPr="0099771A">
        <w:rPr>
          <w:i/>
          <w:iCs/>
          <w:lang w:val="en-GB"/>
        </w:rPr>
        <w:t>American Economic Review, 112</w:t>
      </w:r>
      <w:r w:rsidRPr="0099771A">
        <w:rPr>
          <w:lang w:val="en-GB"/>
        </w:rPr>
        <w:t xml:space="preserve">(4), 1194–1225. </w:t>
      </w:r>
      <w:hyperlink r:id="rId11" w:tgtFrame="_new" w:history="1">
        <w:r w:rsidRPr="0099771A">
          <w:rPr>
            <w:rStyle w:val="Hyperlink"/>
            <w:lang w:val="en-GB"/>
          </w:rPr>
          <w:t>https://doi.org/10.1257/aer.20191823</w:t>
        </w:r>
      </w:hyperlink>
      <w:r w:rsidRPr="0099771A">
        <w:rPr>
          <w:lang w:val="en-GB"/>
        </w:rPr>
        <w:t xml:space="preserve"> </w:t>
      </w:r>
    </w:p>
    <w:p w14:paraId="3A8E35D4" w14:textId="77777777" w:rsidR="0099771A" w:rsidRPr="0099771A" w:rsidRDefault="0099771A" w:rsidP="0099771A">
      <w:pPr>
        <w:rPr>
          <w:lang w:val="en-GB"/>
        </w:rPr>
      </w:pPr>
      <w:r w:rsidRPr="0099771A">
        <w:rPr>
          <w:lang w:val="en-GB"/>
        </w:rPr>
        <w:t xml:space="preserve">Chen, P.-F., Lee, C.-C., &amp; Zeng, J.-H. (2019). Economic policy uncertainty and firm investment: Evidence from the U.S. market. </w:t>
      </w:r>
      <w:r w:rsidRPr="0099771A">
        <w:rPr>
          <w:i/>
          <w:iCs/>
          <w:lang w:val="en-GB"/>
        </w:rPr>
        <w:t>Applied Economics, 51</w:t>
      </w:r>
      <w:r w:rsidRPr="0099771A">
        <w:rPr>
          <w:lang w:val="en-GB"/>
        </w:rPr>
        <w:t xml:space="preserve">(31), 3423–3435. https://doi.org/10.1080/00036846.2019.1581909 </w:t>
      </w:r>
    </w:p>
    <w:p w14:paraId="7CB3E373" w14:textId="77777777" w:rsidR="0099771A" w:rsidRPr="0099771A" w:rsidRDefault="0099771A" w:rsidP="0099771A">
      <w:pPr>
        <w:rPr>
          <w:lang w:val="en-GB"/>
        </w:rPr>
      </w:pPr>
      <w:r w:rsidRPr="0099771A">
        <w:rPr>
          <w:lang w:val="en-GB"/>
        </w:rPr>
        <w:t xml:space="preserve">Chen, S. S.-H., Huang, X., &amp; Li, W. (2026). Global supply chain pressure and stock price crash risk: Evidence from China. </w:t>
      </w:r>
      <w:r w:rsidRPr="0099771A">
        <w:rPr>
          <w:i/>
          <w:iCs/>
          <w:lang w:val="en-GB"/>
        </w:rPr>
        <w:t>Applied Economics, 58</w:t>
      </w:r>
      <w:r w:rsidRPr="0099771A">
        <w:rPr>
          <w:lang w:val="en-GB"/>
        </w:rPr>
        <w:t xml:space="preserve">(27), 5240–5258. https://doi.org/10.1080/00036846.2025.2504196 </w:t>
      </w:r>
    </w:p>
    <w:p w14:paraId="1C29A006" w14:textId="77777777" w:rsidR="0099771A" w:rsidRPr="0099771A" w:rsidRDefault="0099771A" w:rsidP="0099771A">
      <w:pPr>
        <w:rPr>
          <w:lang w:val="en-GB"/>
        </w:rPr>
      </w:pPr>
      <w:r w:rsidRPr="0099771A">
        <w:rPr>
          <w:lang w:val="en-GB"/>
        </w:rPr>
        <w:lastRenderedPageBreak/>
        <w:t xml:space="preserve">Cui, X., Sarkar, S., &amp; Zhang, C. (2026). Interest rate uncertainty and the investment/financing decisions. </w:t>
      </w:r>
      <w:r w:rsidRPr="0099771A">
        <w:rPr>
          <w:i/>
          <w:iCs/>
          <w:lang w:val="en-GB"/>
        </w:rPr>
        <w:t>Journal of Corporate Finance, 96</w:t>
      </w:r>
      <w:r w:rsidRPr="0099771A">
        <w:rPr>
          <w:lang w:val="en-GB"/>
        </w:rPr>
        <w:t xml:space="preserve">, 102912. https://doi.org/10.1016/j.jcorpfin.2025.102912 </w:t>
      </w:r>
    </w:p>
    <w:p w14:paraId="03ECD9BB" w14:textId="77777777" w:rsidR="0099771A" w:rsidRPr="0099771A" w:rsidRDefault="0099771A" w:rsidP="0099771A">
      <w:pPr>
        <w:rPr>
          <w:lang w:val="en-GB"/>
        </w:rPr>
      </w:pPr>
      <w:r w:rsidRPr="0099771A">
        <w:rPr>
          <w:lang w:val="en-GB"/>
        </w:rPr>
        <w:t xml:space="preserve">Froemel, M., &amp; Surico, P. (2023). Monetary policy, corporate finance, and investment. </w:t>
      </w:r>
      <w:r w:rsidRPr="0099771A">
        <w:rPr>
          <w:i/>
          <w:iCs/>
          <w:lang w:val="en-GB"/>
        </w:rPr>
        <w:t>Journal of the European Economic Association, 21</w:t>
      </w:r>
      <w:r w:rsidRPr="0099771A">
        <w:rPr>
          <w:lang w:val="en-GB"/>
        </w:rPr>
        <w:t xml:space="preserve">(6), 2586–2634. </w:t>
      </w:r>
      <w:hyperlink r:id="rId12" w:tgtFrame="_new" w:history="1">
        <w:r w:rsidRPr="0099771A">
          <w:rPr>
            <w:rStyle w:val="Hyperlink"/>
            <w:lang w:val="en-GB"/>
          </w:rPr>
          <w:t>https://doi.org/10.1093/jeea/jvad009</w:t>
        </w:r>
      </w:hyperlink>
      <w:r w:rsidRPr="0099771A">
        <w:rPr>
          <w:lang w:val="en-GB"/>
        </w:rPr>
        <w:t xml:space="preserve"> </w:t>
      </w:r>
    </w:p>
    <w:p w14:paraId="30697C5A" w14:textId="77777777" w:rsidR="0099771A" w:rsidRPr="0099771A" w:rsidRDefault="0099771A" w:rsidP="0099771A">
      <w:pPr>
        <w:rPr>
          <w:lang w:val="en-GB"/>
        </w:rPr>
      </w:pPr>
      <w:proofErr w:type="spellStart"/>
      <w:r w:rsidRPr="0099771A">
        <w:rPr>
          <w:lang w:val="en-GB"/>
        </w:rPr>
        <w:t>Jum'a</w:t>
      </w:r>
      <w:proofErr w:type="spellEnd"/>
      <w:r w:rsidRPr="0099771A">
        <w:rPr>
          <w:lang w:val="en-GB"/>
        </w:rPr>
        <w:t xml:space="preserve">, L., et al. (2024). Developing resilience strategies amid supply chain risks in the automotive industry: A stakeholder theory perspective. </w:t>
      </w:r>
      <w:r w:rsidRPr="0099771A">
        <w:rPr>
          <w:i/>
          <w:iCs/>
          <w:lang w:val="en-GB"/>
        </w:rPr>
        <w:t>Business Strategy and the Environment</w:t>
      </w:r>
      <w:r w:rsidRPr="0099771A">
        <w:rPr>
          <w:lang w:val="en-GB"/>
        </w:rPr>
        <w:t xml:space="preserve">. https://doi.org/10.1002/bse.3977 </w:t>
      </w:r>
    </w:p>
    <w:p w14:paraId="59D462FC" w14:textId="77777777" w:rsidR="0099771A" w:rsidRPr="0099771A" w:rsidRDefault="0099771A" w:rsidP="0099771A">
      <w:pPr>
        <w:rPr>
          <w:lang w:val="en-GB"/>
        </w:rPr>
      </w:pPr>
      <w:r w:rsidRPr="0099771A">
        <w:rPr>
          <w:lang w:val="en-GB"/>
        </w:rPr>
        <w:t xml:space="preserve">Kang, W., Lee, K., &amp; Ratti, R. A. (2014). Economic policy uncertainty and firm-level investment. </w:t>
      </w:r>
      <w:r w:rsidRPr="0099771A">
        <w:rPr>
          <w:i/>
          <w:iCs/>
          <w:lang w:val="en-GB"/>
        </w:rPr>
        <w:t>Journal of Macroeconomics, 39</w:t>
      </w:r>
      <w:r w:rsidRPr="0099771A">
        <w:rPr>
          <w:lang w:val="en-GB"/>
        </w:rPr>
        <w:t xml:space="preserve">, 42–53. https://doi.org/10.1016/j.jmacro.2013.10.006 </w:t>
      </w:r>
    </w:p>
    <w:p w14:paraId="43E632AA" w14:textId="77777777" w:rsidR="0099771A" w:rsidRPr="0099771A" w:rsidRDefault="0099771A" w:rsidP="0099771A">
      <w:pPr>
        <w:rPr>
          <w:lang w:val="en-GB"/>
        </w:rPr>
      </w:pPr>
      <w:r w:rsidRPr="0099771A">
        <w:rPr>
          <w:lang w:val="en-GB"/>
        </w:rPr>
        <w:t xml:space="preserve">Kong, Q., Li, R., Wang, Z., &amp; Peng, D. (2022). Economic policy uncertainty and firm investment decisions: Dilemma or opportunity? </w:t>
      </w:r>
      <w:r w:rsidRPr="0099771A">
        <w:rPr>
          <w:i/>
          <w:iCs/>
          <w:lang w:val="en-GB"/>
        </w:rPr>
        <w:t>International Review of Financial Analysis, 83</w:t>
      </w:r>
      <w:r w:rsidRPr="0099771A">
        <w:rPr>
          <w:lang w:val="en-GB"/>
        </w:rPr>
        <w:t xml:space="preserve">, 102301. https://doi.org/10.1016/j.irfa.2022.102301 </w:t>
      </w:r>
    </w:p>
    <w:p w14:paraId="71328AC8" w14:textId="77777777" w:rsidR="0099771A" w:rsidRPr="0099771A" w:rsidRDefault="0099771A" w:rsidP="0099771A">
      <w:pPr>
        <w:rPr>
          <w:lang w:val="en-GB"/>
        </w:rPr>
      </w:pPr>
      <w:proofErr w:type="spellStart"/>
      <w:r w:rsidRPr="0099771A">
        <w:rPr>
          <w:lang w:val="en-GB"/>
        </w:rPr>
        <w:t>Pamidimukkala</w:t>
      </w:r>
      <w:proofErr w:type="spellEnd"/>
      <w:r w:rsidRPr="0099771A">
        <w:rPr>
          <w:lang w:val="en-GB"/>
        </w:rPr>
        <w:t xml:space="preserve">, A., </w:t>
      </w:r>
      <w:proofErr w:type="spellStart"/>
      <w:r w:rsidRPr="0099771A">
        <w:rPr>
          <w:lang w:val="en-GB"/>
        </w:rPr>
        <w:t>Kermanshachi</w:t>
      </w:r>
      <w:proofErr w:type="spellEnd"/>
      <w:r w:rsidRPr="0099771A">
        <w:rPr>
          <w:lang w:val="en-GB"/>
        </w:rPr>
        <w:t xml:space="preserve">, S., Rosenberger, J. M., &amp; Hladik, G. (2024). Barriers and motivators to the adoption of electric vehicles: A global review. </w:t>
      </w:r>
      <w:r w:rsidRPr="0099771A">
        <w:rPr>
          <w:i/>
          <w:iCs/>
          <w:lang w:val="en-GB"/>
        </w:rPr>
        <w:t>Green Energy and Intelligent Transportation, 3</w:t>
      </w:r>
      <w:r w:rsidRPr="0099771A">
        <w:rPr>
          <w:lang w:val="en-GB"/>
        </w:rPr>
        <w:t xml:space="preserve">(2), 100153. </w:t>
      </w:r>
      <w:hyperlink r:id="rId13" w:tgtFrame="_new" w:history="1">
        <w:r w:rsidRPr="0099771A">
          <w:rPr>
            <w:rStyle w:val="Hyperlink"/>
            <w:lang w:val="en-GB"/>
          </w:rPr>
          <w:t>https://doi.org/10.1016/j.geits.2024.100153</w:t>
        </w:r>
      </w:hyperlink>
      <w:r w:rsidRPr="0099771A">
        <w:rPr>
          <w:lang w:val="en-GB"/>
        </w:rPr>
        <w:t xml:space="preserve"> </w:t>
      </w:r>
    </w:p>
    <w:p w14:paraId="3B03117E" w14:textId="77777777" w:rsidR="0099771A" w:rsidRPr="0099771A" w:rsidRDefault="0099771A" w:rsidP="0099771A">
      <w:pPr>
        <w:rPr>
          <w:lang w:val="en-GB"/>
        </w:rPr>
      </w:pPr>
      <w:r w:rsidRPr="0099771A">
        <w:rPr>
          <w:lang w:val="en-GB"/>
        </w:rPr>
        <w:t xml:space="preserve">Patel, M., Singh, R., Arora, P., &amp; Mahapatra, D. (2024). EV adoption in India: Barriers and policy solutions from manufacturers' and consumers' perspectives. </w:t>
      </w:r>
      <w:r w:rsidRPr="0099771A">
        <w:rPr>
          <w:i/>
          <w:iCs/>
          <w:lang w:val="en-GB"/>
        </w:rPr>
        <w:t>Energy for Sustainable Development, 83</w:t>
      </w:r>
      <w:r w:rsidRPr="0099771A">
        <w:rPr>
          <w:lang w:val="en-GB"/>
        </w:rPr>
        <w:t xml:space="preserve">, 101583. https://doi.org/10.1016/j.esd.2024.101583 </w:t>
      </w:r>
    </w:p>
    <w:p w14:paraId="7FC2EBE8" w14:textId="77777777" w:rsidR="0099771A" w:rsidRPr="0099771A" w:rsidRDefault="0099771A" w:rsidP="0099771A">
      <w:pPr>
        <w:rPr>
          <w:lang w:val="en-GB"/>
        </w:rPr>
      </w:pPr>
      <w:r w:rsidRPr="0099771A">
        <w:rPr>
          <w:lang w:val="en-GB"/>
        </w:rPr>
        <w:t xml:space="preserve">Sahani, R., &amp; Kumar, M. (2026). Does economic policy uncertainty matter for corporate investment? The moderating role of political connections and bank-firm relationships. </w:t>
      </w:r>
      <w:r w:rsidRPr="0099771A">
        <w:rPr>
          <w:i/>
          <w:iCs/>
          <w:lang w:val="en-GB"/>
        </w:rPr>
        <w:t xml:space="preserve">Journal of Policy </w:t>
      </w:r>
      <w:proofErr w:type="spellStart"/>
      <w:r w:rsidRPr="0099771A">
        <w:rPr>
          <w:i/>
          <w:iCs/>
          <w:lang w:val="en-GB"/>
        </w:rPr>
        <w:t>Modeling</w:t>
      </w:r>
      <w:proofErr w:type="spellEnd"/>
      <w:r w:rsidRPr="0099771A">
        <w:rPr>
          <w:lang w:val="en-GB"/>
        </w:rPr>
        <w:t xml:space="preserve">, 107053. https://doi.org/10.1016/j.jpolmod.2026.107053 </w:t>
      </w:r>
    </w:p>
    <w:p w14:paraId="73E11B04" w14:textId="77777777" w:rsidR="0099771A" w:rsidRPr="0099771A" w:rsidRDefault="0099771A" w:rsidP="0099771A">
      <w:pPr>
        <w:rPr>
          <w:lang w:val="en-GB"/>
        </w:rPr>
      </w:pPr>
      <w:proofErr w:type="spellStart"/>
      <w:r w:rsidRPr="0099771A">
        <w:rPr>
          <w:lang w:val="en-GB"/>
        </w:rPr>
        <w:lastRenderedPageBreak/>
        <w:t>Secinaro</w:t>
      </w:r>
      <w:proofErr w:type="spellEnd"/>
      <w:r w:rsidRPr="0099771A">
        <w:rPr>
          <w:lang w:val="en-GB"/>
        </w:rPr>
        <w:t xml:space="preserve">, S., Calandra, D., </w:t>
      </w:r>
      <w:proofErr w:type="spellStart"/>
      <w:r w:rsidRPr="0099771A">
        <w:rPr>
          <w:lang w:val="en-GB"/>
        </w:rPr>
        <w:t>Lanzalonga</w:t>
      </w:r>
      <w:proofErr w:type="spellEnd"/>
      <w:r w:rsidRPr="0099771A">
        <w:rPr>
          <w:lang w:val="en-GB"/>
        </w:rPr>
        <w:t xml:space="preserve">, F., &amp; Ferraris, A. (2022). Electric vehicles' consumer behaviours: Mapping the field and providing a research agenda. </w:t>
      </w:r>
      <w:r w:rsidRPr="0099771A">
        <w:rPr>
          <w:i/>
          <w:iCs/>
          <w:lang w:val="en-GB"/>
        </w:rPr>
        <w:t>Journal of Business Research, 150</w:t>
      </w:r>
      <w:r w:rsidRPr="0099771A">
        <w:rPr>
          <w:lang w:val="en-GB"/>
        </w:rPr>
        <w:t xml:space="preserve">, 399–416. </w:t>
      </w:r>
      <w:hyperlink r:id="rId14" w:tgtFrame="_new" w:history="1">
        <w:r w:rsidRPr="0099771A">
          <w:rPr>
            <w:rStyle w:val="Hyperlink"/>
            <w:lang w:val="en-GB"/>
          </w:rPr>
          <w:t>https://doi.org/10.1016/j.jbusres.2022.06.011</w:t>
        </w:r>
      </w:hyperlink>
      <w:r w:rsidRPr="0099771A">
        <w:rPr>
          <w:lang w:val="en-GB"/>
        </w:rPr>
        <w:t xml:space="preserve"> </w:t>
      </w:r>
    </w:p>
    <w:p w14:paraId="1DD64C7C" w14:textId="77777777" w:rsidR="0099771A" w:rsidRPr="0099771A" w:rsidRDefault="0099771A" w:rsidP="0099771A">
      <w:pPr>
        <w:rPr>
          <w:lang w:val="en-GB"/>
        </w:rPr>
      </w:pPr>
      <w:r w:rsidRPr="0099771A">
        <w:rPr>
          <w:lang w:val="en-GB"/>
        </w:rPr>
        <w:t xml:space="preserve">Sharpe, S. A., &amp; Suarez, G. A. (2021). Why isn't business investment more sensitive to interest rates? Evidence from surveys. </w:t>
      </w:r>
      <w:r w:rsidRPr="0099771A">
        <w:rPr>
          <w:i/>
          <w:iCs/>
          <w:lang w:val="en-GB"/>
        </w:rPr>
        <w:t>Management Science, 67</w:t>
      </w:r>
      <w:r w:rsidRPr="0099771A">
        <w:rPr>
          <w:lang w:val="en-GB"/>
        </w:rPr>
        <w:t xml:space="preserve">(2), 720–741. </w:t>
      </w:r>
      <w:hyperlink r:id="rId15" w:tgtFrame="_new" w:history="1">
        <w:r w:rsidRPr="0099771A">
          <w:rPr>
            <w:rStyle w:val="Hyperlink"/>
            <w:lang w:val="en-GB"/>
          </w:rPr>
          <w:t>https://doi.org/10.1287/mnsc.2019.3473</w:t>
        </w:r>
      </w:hyperlink>
      <w:r w:rsidRPr="0099771A">
        <w:rPr>
          <w:lang w:val="en-GB"/>
        </w:rPr>
        <w:t xml:space="preserve"> </w:t>
      </w:r>
    </w:p>
    <w:p w14:paraId="4140F768" w14:textId="77777777" w:rsidR="0099771A" w:rsidRPr="0099771A" w:rsidRDefault="0099771A" w:rsidP="0099771A">
      <w:pPr>
        <w:rPr>
          <w:lang w:val="en-GB"/>
        </w:rPr>
      </w:pPr>
      <w:r w:rsidRPr="0099771A">
        <w:rPr>
          <w:lang w:val="en-GB"/>
        </w:rPr>
        <w:t xml:space="preserve">Tao, R., Yang, X., Hao, F., &amp; Chen, P. (2024). Demographic disparity and influences in electric vehicle adoption: A Florida case study. </w:t>
      </w:r>
      <w:r w:rsidRPr="0099771A">
        <w:rPr>
          <w:i/>
          <w:iCs/>
          <w:lang w:val="en-GB"/>
        </w:rPr>
        <w:t>Transportation Research Part D: Transport and Environment, 136</w:t>
      </w:r>
      <w:r w:rsidRPr="0099771A">
        <w:rPr>
          <w:lang w:val="en-GB"/>
        </w:rPr>
        <w:t xml:space="preserve">, 104465. https://doi.org/10.1016/j.trd.2024.104465 </w:t>
      </w:r>
    </w:p>
    <w:p w14:paraId="746019C2" w14:textId="77777777" w:rsidR="0099771A" w:rsidRPr="0099771A" w:rsidRDefault="0099771A" w:rsidP="0099771A">
      <w:pPr>
        <w:rPr>
          <w:lang w:val="en-GB"/>
        </w:rPr>
      </w:pPr>
      <w:r w:rsidRPr="0099771A">
        <w:rPr>
          <w:lang w:val="en-GB"/>
        </w:rPr>
        <w:t xml:space="preserve">Wang, Y., &amp; </w:t>
      </w:r>
      <w:proofErr w:type="spellStart"/>
      <w:r w:rsidRPr="0099771A">
        <w:rPr>
          <w:lang w:val="en-GB"/>
        </w:rPr>
        <w:t>Witlox</w:t>
      </w:r>
      <w:proofErr w:type="spellEnd"/>
      <w:r w:rsidRPr="0099771A">
        <w:rPr>
          <w:lang w:val="en-GB"/>
        </w:rPr>
        <w:t xml:space="preserve">, F. (2025). Global trends in electric vehicle adoption and the impact of environmental awareness, user attributes, and barriers. </w:t>
      </w:r>
      <w:r w:rsidRPr="0099771A">
        <w:rPr>
          <w:i/>
          <w:iCs/>
          <w:lang w:val="en-GB"/>
        </w:rPr>
        <w:t>Energy Reports, 13</w:t>
      </w:r>
      <w:r w:rsidRPr="0099771A">
        <w:rPr>
          <w:lang w:val="en-GB"/>
        </w:rPr>
        <w:t xml:space="preserve">, 1125–1137. </w:t>
      </w:r>
      <w:hyperlink r:id="rId16" w:tgtFrame="_new" w:history="1">
        <w:r w:rsidRPr="0099771A">
          <w:rPr>
            <w:rStyle w:val="Hyperlink"/>
            <w:lang w:val="en-GB"/>
          </w:rPr>
          <w:t>https://doi.org/10.1016/j.egyr.2024.12.054</w:t>
        </w:r>
      </w:hyperlink>
      <w:r w:rsidRPr="0099771A">
        <w:rPr>
          <w:lang w:val="en-GB"/>
        </w:rPr>
        <w:t xml:space="preserve"> </w:t>
      </w:r>
    </w:p>
    <w:p w14:paraId="25C92489" w14:textId="77777777" w:rsidR="0099771A" w:rsidRPr="0099771A" w:rsidRDefault="0099771A" w:rsidP="0099771A">
      <w:pPr>
        <w:rPr>
          <w:lang w:val="en-GB"/>
        </w:rPr>
      </w:pPr>
      <w:r w:rsidRPr="0099771A">
        <w:rPr>
          <w:lang w:val="en-GB"/>
        </w:rPr>
        <w:t xml:space="preserve">Williamson, R. (2001). Exchange rate exposure and competition: Evidence from the automotive industry. </w:t>
      </w:r>
      <w:r w:rsidRPr="0099771A">
        <w:rPr>
          <w:i/>
          <w:iCs/>
          <w:lang w:val="en-GB"/>
        </w:rPr>
        <w:t>Journal of Financial Economics, 59</w:t>
      </w:r>
      <w:r w:rsidRPr="0099771A">
        <w:rPr>
          <w:lang w:val="en-GB"/>
        </w:rPr>
        <w:t xml:space="preserve">(3), 441–475. https://doi.org/10.1016/S0304-405X(00)00093-3 </w:t>
      </w:r>
    </w:p>
    <w:p w14:paraId="308B5564" w14:textId="77777777" w:rsidR="0099771A" w:rsidRPr="0099771A" w:rsidRDefault="0099771A" w:rsidP="0099771A">
      <w:pPr>
        <w:rPr>
          <w:lang w:val="en-GB"/>
        </w:rPr>
      </w:pPr>
      <w:r w:rsidRPr="0099771A">
        <w:rPr>
          <w:lang w:val="en-GB"/>
        </w:rPr>
        <w:t xml:space="preserve">Yuan, M. (2026). Economic policy uncertainty and corporate investment dynamics: Do ownership and capital structures matter in listed Chinese firms? </w:t>
      </w:r>
      <w:r w:rsidRPr="0099771A">
        <w:rPr>
          <w:i/>
          <w:iCs/>
          <w:lang w:val="en-GB"/>
        </w:rPr>
        <w:t>Pacific Economic Review, 31</w:t>
      </w:r>
      <w:r w:rsidRPr="0099771A">
        <w:rPr>
          <w:lang w:val="en-GB"/>
        </w:rPr>
        <w:t xml:space="preserve">(2), 183–221. https://doi.org/10.1111/1468-0106.70019 </w:t>
      </w:r>
    </w:p>
    <w:p w14:paraId="6C57AAF4" w14:textId="77777777" w:rsidR="0099771A" w:rsidRPr="0099771A" w:rsidRDefault="0099771A" w:rsidP="0099771A">
      <w:pPr>
        <w:rPr>
          <w:b/>
          <w:bCs/>
          <w:lang w:val="en-GB"/>
        </w:rPr>
      </w:pPr>
      <w:r w:rsidRPr="0099771A">
        <w:rPr>
          <w:b/>
          <w:bCs/>
          <w:lang w:val="en-GB"/>
        </w:rPr>
        <w:t>Corporate sources</w:t>
      </w:r>
    </w:p>
    <w:p w14:paraId="7A46335F" w14:textId="77777777" w:rsidR="0099771A" w:rsidRPr="0099771A" w:rsidRDefault="0099771A" w:rsidP="0099771A">
      <w:pPr>
        <w:rPr>
          <w:lang w:val="en-GB"/>
        </w:rPr>
      </w:pPr>
      <w:r w:rsidRPr="0099771A">
        <w:rPr>
          <w:lang w:val="en-GB"/>
        </w:rPr>
        <w:t xml:space="preserve">Toyota Motor Corporation. (2026). </w:t>
      </w:r>
      <w:r w:rsidRPr="0099771A">
        <w:rPr>
          <w:i/>
          <w:iCs/>
          <w:lang w:val="en-GB"/>
        </w:rPr>
        <w:t>Integrated Report 2025</w:t>
      </w:r>
      <w:r w:rsidRPr="0099771A">
        <w:rPr>
          <w:lang w:val="en-GB"/>
        </w:rPr>
        <w:t xml:space="preserve">. </w:t>
      </w:r>
      <w:hyperlink r:id="rId17" w:tgtFrame="_blank" w:history="1">
        <w:r w:rsidRPr="0099771A">
          <w:rPr>
            <w:rStyle w:val="Hyperlink"/>
            <w:lang w:val="en-GB"/>
          </w:rPr>
          <w:t>Toyota Integrated Report</w:t>
        </w:r>
      </w:hyperlink>
      <w:r w:rsidRPr="0099771A">
        <w:rPr>
          <w:lang w:val="en-GB"/>
        </w:rPr>
        <w:t xml:space="preserve"> </w:t>
      </w:r>
    </w:p>
    <w:p w14:paraId="722DB088" w14:textId="77777777" w:rsidR="0099771A" w:rsidRPr="0099771A" w:rsidRDefault="0099771A" w:rsidP="0099771A">
      <w:pPr>
        <w:rPr>
          <w:lang w:val="en-GB"/>
        </w:rPr>
      </w:pPr>
      <w:r w:rsidRPr="0099771A">
        <w:rPr>
          <w:lang w:val="en-GB"/>
        </w:rPr>
        <w:t xml:space="preserve">Toyota Motor Corporation. (2026). </w:t>
      </w:r>
      <w:r w:rsidRPr="0099771A">
        <w:rPr>
          <w:i/>
          <w:iCs/>
          <w:lang w:val="en-GB"/>
        </w:rPr>
        <w:t>FY2026 financial results</w:t>
      </w:r>
      <w:r w:rsidRPr="0099771A">
        <w:rPr>
          <w:lang w:val="en-GB"/>
        </w:rPr>
        <w:t xml:space="preserve">. </w:t>
      </w:r>
      <w:hyperlink r:id="rId18" w:tgtFrame="_blank" w:history="1">
        <w:r w:rsidRPr="0099771A">
          <w:rPr>
            <w:rStyle w:val="Hyperlink"/>
            <w:lang w:val="en-GB"/>
          </w:rPr>
          <w:t>Toyota Financial Results</w:t>
        </w:r>
      </w:hyperlink>
      <w:r w:rsidRPr="0099771A">
        <w:rPr>
          <w:lang w:val="en-GB"/>
        </w:rPr>
        <w:t xml:space="preserve"> </w:t>
      </w:r>
    </w:p>
    <w:p w14:paraId="5DDA3655" w14:textId="77777777" w:rsidR="0099771A" w:rsidRPr="0099771A" w:rsidRDefault="0099771A" w:rsidP="0099771A">
      <w:pPr>
        <w:rPr>
          <w:lang w:val="en-GB"/>
        </w:rPr>
      </w:pPr>
      <w:r w:rsidRPr="0099771A">
        <w:rPr>
          <w:lang w:val="en-GB"/>
        </w:rPr>
        <w:t xml:space="preserve">Toyota Motor Corporation. (2026). </w:t>
      </w:r>
      <w:r w:rsidRPr="0099771A">
        <w:rPr>
          <w:i/>
          <w:iCs/>
          <w:lang w:val="en-GB"/>
        </w:rPr>
        <w:t>Financial highlights and financial performance</w:t>
      </w:r>
      <w:r w:rsidRPr="0099771A">
        <w:rPr>
          <w:lang w:val="en-GB"/>
        </w:rPr>
        <w:t xml:space="preserve">. </w:t>
      </w:r>
      <w:hyperlink r:id="rId19" w:tgtFrame="_blank" w:history="1">
        <w:r w:rsidRPr="0099771A">
          <w:rPr>
            <w:rStyle w:val="Hyperlink"/>
            <w:lang w:val="en-GB"/>
          </w:rPr>
          <w:t>Toyota Financial Highlights</w:t>
        </w:r>
      </w:hyperlink>
    </w:p>
    <w:p w14:paraId="17634E7F" w14:textId="3719DED3" w:rsidR="0099771A" w:rsidRDefault="0099771A" w:rsidP="0099771A">
      <w:pPr>
        <w:rPr>
          <w:lang w:val="en-GB"/>
        </w:rPr>
      </w:pPr>
    </w:p>
    <w:p w14:paraId="0E53073B" w14:textId="77777777" w:rsidR="0099771A" w:rsidRDefault="0099771A" w:rsidP="0099771A">
      <w:pPr>
        <w:rPr>
          <w:lang w:val="en-GB"/>
        </w:rPr>
      </w:pPr>
    </w:p>
    <w:p w14:paraId="68F15C48" w14:textId="77777777" w:rsidR="0099771A" w:rsidRDefault="0099771A" w:rsidP="0099771A">
      <w:pPr>
        <w:rPr>
          <w:lang w:val="en-GB"/>
        </w:rPr>
      </w:pPr>
    </w:p>
    <w:p w14:paraId="302632C6" w14:textId="77777777" w:rsidR="0099771A" w:rsidRDefault="0099771A" w:rsidP="0099771A">
      <w:pPr>
        <w:rPr>
          <w:lang w:val="en-GB"/>
        </w:rPr>
      </w:pPr>
    </w:p>
    <w:p w14:paraId="17AC70F7" w14:textId="77777777" w:rsidR="0099771A" w:rsidRDefault="0099771A" w:rsidP="0099771A">
      <w:pPr>
        <w:rPr>
          <w:lang w:val="en-GB"/>
        </w:rPr>
      </w:pPr>
    </w:p>
    <w:p w14:paraId="55AF47E7" w14:textId="77777777" w:rsidR="0099771A" w:rsidRDefault="0099771A" w:rsidP="0099771A">
      <w:pPr>
        <w:rPr>
          <w:lang w:val="en-GB"/>
        </w:rPr>
      </w:pPr>
    </w:p>
    <w:p w14:paraId="3071C340" w14:textId="77777777" w:rsidR="0099771A" w:rsidRDefault="0099771A" w:rsidP="0099771A">
      <w:pPr>
        <w:rPr>
          <w:lang w:val="en-GB"/>
        </w:rPr>
      </w:pPr>
    </w:p>
    <w:p w14:paraId="483B4390" w14:textId="77777777" w:rsidR="0099771A" w:rsidRDefault="0099771A" w:rsidP="0099771A">
      <w:pPr>
        <w:rPr>
          <w:lang w:val="en-GB"/>
        </w:rPr>
      </w:pPr>
    </w:p>
    <w:p w14:paraId="0A009726" w14:textId="77777777" w:rsidR="0099771A" w:rsidRDefault="0099771A" w:rsidP="0099771A">
      <w:pPr>
        <w:rPr>
          <w:lang w:val="en-GB"/>
        </w:rPr>
      </w:pPr>
    </w:p>
    <w:p w14:paraId="20AA0554" w14:textId="77777777" w:rsidR="0099771A" w:rsidRDefault="0099771A" w:rsidP="0099771A">
      <w:pPr>
        <w:rPr>
          <w:lang w:val="en-GB"/>
        </w:rPr>
      </w:pPr>
    </w:p>
    <w:p w14:paraId="1C1C404A" w14:textId="77777777" w:rsidR="0099771A" w:rsidRDefault="0099771A" w:rsidP="0099771A">
      <w:pPr>
        <w:rPr>
          <w:lang w:val="en-GB"/>
        </w:rPr>
      </w:pPr>
    </w:p>
    <w:p w14:paraId="2BF4D162" w14:textId="77777777" w:rsidR="0099771A" w:rsidRPr="0099771A" w:rsidRDefault="0099771A" w:rsidP="0099771A">
      <w:pPr>
        <w:rPr>
          <w:lang w:val="en-GB"/>
        </w:rPr>
      </w:pPr>
    </w:p>
    <w:p w14:paraId="57C71C07" w14:textId="77777777" w:rsidR="0099771A" w:rsidRPr="0099771A" w:rsidRDefault="0099771A" w:rsidP="0099771A">
      <w:pPr>
        <w:rPr>
          <w:b/>
          <w:bCs/>
          <w:lang w:val="en-GB"/>
        </w:rPr>
      </w:pPr>
      <w:r w:rsidRPr="0099771A">
        <w:rPr>
          <w:b/>
          <w:bCs/>
          <w:lang w:val="en-GB"/>
        </w:rPr>
        <w:t>10. Appendices</w:t>
      </w:r>
    </w:p>
    <w:p w14:paraId="0C8B13BC" w14:textId="77777777" w:rsidR="0099771A" w:rsidRPr="0099771A" w:rsidRDefault="0099771A" w:rsidP="0099771A">
      <w:pPr>
        <w:rPr>
          <w:b/>
          <w:bCs/>
          <w:lang w:val="en-GB"/>
        </w:rPr>
      </w:pPr>
      <w:r w:rsidRPr="0099771A">
        <w:rPr>
          <w:b/>
          <w:bCs/>
          <w:lang w:val="en-GB"/>
        </w:rPr>
        <w:t>Appendix A – Socioeconomic Factors Affecting Toyota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4365"/>
        <w:gridCol w:w="3395"/>
      </w:tblGrid>
      <w:tr w:rsidR="0099771A" w:rsidRPr="0099771A" w14:paraId="76D2E358" w14:textId="77777777">
        <w:trPr>
          <w:tblHeader/>
          <w:tblCellSpacing w:w="15" w:type="dxa"/>
        </w:trPr>
        <w:tc>
          <w:tcPr>
            <w:tcW w:w="0" w:type="auto"/>
            <w:vAlign w:val="center"/>
            <w:hideMark/>
          </w:tcPr>
          <w:p w14:paraId="4E80C8F2" w14:textId="77777777" w:rsidR="0099771A" w:rsidRPr="0099771A" w:rsidRDefault="0099771A" w:rsidP="0099771A">
            <w:pPr>
              <w:rPr>
                <w:b/>
                <w:bCs/>
                <w:lang w:val="en-GB"/>
              </w:rPr>
            </w:pPr>
            <w:r w:rsidRPr="0099771A">
              <w:rPr>
                <w:b/>
                <w:bCs/>
                <w:lang w:val="en-GB"/>
              </w:rPr>
              <w:t>External factor</w:t>
            </w:r>
          </w:p>
        </w:tc>
        <w:tc>
          <w:tcPr>
            <w:tcW w:w="0" w:type="auto"/>
            <w:vAlign w:val="center"/>
            <w:hideMark/>
          </w:tcPr>
          <w:p w14:paraId="3DA9C7DA" w14:textId="77777777" w:rsidR="0099771A" w:rsidRPr="0099771A" w:rsidRDefault="0099771A" w:rsidP="0099771A">
            <w:pPr>
              <w:rPr>
                <w:b/>
                <w:bCs/>
                <w:lang w:val="en-GB"/>
              </w:rPr>
            </w:pPr>
            <w:r w:rsidRPr="0099771A">
              <w:rPr>
                <w:b/>
                <w:bCs/>
                <w:lang w:val="en-GB"/>
              </w:rPr>
              <w:t>Impact on Toyota</w:t>
            </w:r>
          </w:p>
        </w:tc>
        <w:tc>
          <w:tcPr>
            <w:tcW w:w="0" w:type="auto"/>
            <w:vAlign w:val="center"/>
            <w:hideMark/>
          </w:tcPr>
          <w:p w14:paraId="3564CB2A" w14:textId="77777777" w:rsidR="0099771A" w:rsidRPr="0099771A" w:rsidRDefault="0099771A" w:rsidP="0099771A">
            <w:pPr>
              <w:rPr>
                <w:b/>
                <w:bCs/>
                <w:lang w:val="en-GB"/>
              </w:rPr>
            </w:pPr>
            <w:r w:rsidRPr="0099771A">
              <w:rPr>
                <w:b/>
                <w:bCs/>
                <w:lang w:val="en-GB"/>
              </w:rPr>
              <w:t>Main strategic implication</w:t>
            </w:r>
          </w:p>
        </w:tc>
      </w:tr>
      <w:tr w:rsidR="0099771A" w:rsidRPr="0099771A" w14:paraId="219E2C6C" w14:textId="77777777">
        <w:trPr>
          <w:tblCellSpacing w:w="15" w:type="dxa"/>
        </w:trPr>
        <w:tc>
          <w:tcPr>
            <w:tcW w:w="0" w:type="auto"/>
            <w:vAlign w:val="center"/>
            <w:hideMark/>
          </w:tcPr>
          <w:p w14:paraId="1368A60D" w14:textId="77777777" w:rsidR="0099771A" w:rsidRPr="0099771A" w:rsidRDefault="0099771A" w:rsidP="0099771A">
            <w:pPr>
              <w:rPr>
                <w:lang w:val="en-GB"/>
              </w:rPr>
            </w:pPr>
            <w:r w:rsidRPr="0099771A">
              <w:rPr>
                <w:lang w:val="en-GB"/>
              </w:rPr>
              <w:t>Inflation</w:t>
            </w:r>
          </w:p>
        </w:tc>
        <w:tc>
          <w:tcPr>
            <w:tcW w:w="0" w:type="auto"/>
            <w:vAlign w:val="center"/>
            <w:hideMark/>
          </w:tcPr>
          <w:p w14:paraId="30B6F699" w14:textId="77777777" w:rsidR="0099771A" w:rsidRPr="0099771A" w:rsidRDefault="0099771A" w:rsidP="0099771A">
            <w:pPr>
              <w:rPr>
                <w:lang w:val="en-GB"/>
              </w:rPr>
            </w:pPr>
            <w:r w:rsidRPr="0099771A">
              <w:rPr>
                <w:lang w:val="en-GB"/>
              </w:rPr>
              <w:t>Materials, labour and logistics costs rise</w:t>
            </w:r>
          </w:p>
        </w:tc>
        <w:tc>
          <w:tcPr>
            <w:tcW w:w="0" w:type="auto"/>
            <w:vAlign w:val="center"/>
            <w:hideMark/>
          </w:tcPr>
          <w:p w14:paraId="761F160F" w14:textId="77777777" w:rsidR="0099771A" w:rsidRPr="0099771A" w:rsidRDefault="0099771A" w:rsidP="0099771A">
            <w:pPr>
              <w:rPr>
                <w:lang w:val="en-GB"/>
              </w:rPr>
            </w:pPr>
            <w:r w:rsidRPr="0099771A">
              <w:rPr>
                <w:lang w:val="en-GB"/>
              </w:rPr>
              <w:t>Cost control and differentiated pricing</w:t>
            </w:r>
          </w:p>
        </w:tc>
      </w:tr>
      <w:tr w:rsidR="0099771A" w:rsidRPr="0099771A" w14:paraId="7C7DA65E" w14:textId="77777777">
        <w:trPr>
          <w:tblCellSpacing w:w="15" w:type="dxa"/>
        </w:trPr>
        <w:tc>
          <w:tcPr>
            <w:tcW w:w="0" w:type="auto"/>
            <w:vAlign w:val="center"/>
            <w:hideMark/>
          </w:tcPr>
          <w:p w14:paraId="4C1ADF29" w14:textId="77777777" w:rsidR="0099771A" w:rsidRPr="0099771A" w:rsidRDefault="0099771A" w:rsidP="0099771A">
            <w:pPr>
              <w:rPr>
                <w:lang w:val="en-GB"/>
              </w:rPr>
            </w:pPr>
            <w:r w:rsidRPr="0099771A">
              <w:rPr>
                <w:lang w:val="en-GB"/>
              </w:rPr>
              <w:t>Interest rates</w:t>
            </w:r>
          </w:p>
        </w:tc>
        <w:tc>
          <w:tcPr>
            <w:tcW w:w="0" w:type="auto"/>
            <w:vAlign w:val="center"/>
            <w:hideMark/>
          </w:tcPr>
          <w:p w14:paraId="3DEFFD03" w14:textId="77777777" w:rsidR="0099771A" w:rsidRPr="0099771A" w:rsidRDefault="0099771A" w:rsidP="0099771A">
            <w:pPr>
              <w:rPr>
                <w:lang w:val="en-GB"/>
              </w:rPr>
            </w:pPr>
            <w:r w:rsidRPr="0099771A">
              <w:rPr>
                <w:lang w:val="en-GB"/>
              </w:rPr>
              <w:t>Vehicle finance becomes expensive; cost of capital changes</w:t>
            </w:r>
          </w:p>
        </w:tc>
        <w:tc>
          <w:tcPr>
            <w:tcW w:w="0" w:type="auto"/>
            <w:vAlign w:val="center"/>
            <w:hideMark/>
          </w:tcPr>
          <w:p w14:paraId="3ACA431E" w14:textId="77777777" w:rsidR="0099771A" w:rsidRPr="0099771A" w:rsidRDefault="0099771A" w:rsidP="0099771A">
            <w:pPr>
              <w:rPr>
                <w:lang w:val="en-GB"/>
              </w:rPr>
            </w:pPr>
            <w:r w:rsidRPr="0099771A">
              <w:rPr>
                <w:lang w:val="en-GB"/>
              </w:rPr>
              <w:t>Financing offers and disciplined investment</w:t>
            </w:r>
          </w:p>
        </w:tc>
      </w:tr>
      <w:tr w:rsidR="0099771A" w:rsidRPr="0099771A" w14:paraId="1485F3A3" w14:textId="77777777">
        <w:trPr>
          <w:tblCellSpacing w:w="15" w:type="dxa"/>
        </w:trPr>
        <w:tc>
          <w:tcPr>
            <w:tcW w:w="0" w:type="auto"/>
            <w:vAlign w:val="center"/>
            <w:hideMark/>
          </w:tcPr>
          <w:p w14:paraId="7B64677F" w14:textId="77777777" w:rsidR="0099771A" w:rsidRPr="0099771A" w:rsidRDefault="0099771A" w:rsidP="0099771A">
            <w:pPr>
              <w:rPr>
                <w:lang w:val="en-GB"/>
              </w:rPr>
            </w:pPr>
            <w:r w:rsidRPr="0099771A">
              <w:rPr>
                <w:lang w:val="en-GB"/>
              </w:rPr>
              <w:t>Employment</w:t>
            </w:r>
          </w:p>
        </w:tc>
        <w:tc>
          <w:tcPr>
            <w:tcW w:w="0" w:type="auto"/>
            <w:vAlign w:val="center"/>
            <w:hideMark/>
          </w:tcPr>
          <w:p w14:paraId="55E35D02" w14:textId="77777777" w:rsidR="0099771A" w:rsidRPr="0099771A" w:rsidRDefault="0099771A" w:rsidP="0099771A">
            <w:pPr>
              <w:rPr>
                <w:lang w:val="en-GB"/>
              </w:rPr>
            </w:pPr>
            <w:r w:rsidRPr="0099771A">
              <w:rPr>
                <w:lang w:val="en-GB"/>
              </w:rPr>
              <w:t>Changes consumer confidence and labour costs</w:t>
            </w:r>
          </w:p>
        </w:tc>
        <w:tc>
          <w:tcPr>
            <w:tcW w:w="0" w:type="auto"/>
            <w:vAlign w:val="center"/>
            <w:hideMark/>
          </w:tcPr>
          <w:p w14:paraId="0E7408E5" w14:textId="77777777" w:rsidR="0099771A" w:rsidRPr="0099771A" w:rsidRDefault="0099771A" w:rsidP="0099771A">
            <w:pPr>
              <w:rPr>
                <w:lang w:val="en-GB"/>
              </w:rPr>
            </w:pPr>
            <w:r w:rsidRPr="0099771A">
              <w:rPr>
                <w:lang w:val="en-GB"/>
              </w:rPr>
              <w:t>Regional demand forecasting</w:t>
            </w:r>
          </w:p>
        </w:tc>
      </w:tr>
      <w:tr w:rsidR="0099771A" w:rsidRPr="0099771A" w14:paraId="1F37505D" w14:textId="77777777">
        <w:trPr>
          <w:tblCellSpacing w:w="15" w:type="dxa"/>
        </w:trPr>
        <w:tc>
          <w:tcPr>
            <w:tcW w:w="0" w:type="auto"/>
            <w:vAlign w:val="center"/>
            <w:hideMark/>
          </w:tcPr>
          <w:p w14:paraId="71E081C3" w14:textId="77777777" w:rsidR="0099771A" w:rsidRPr="0099771A" w:rsidRDefault="0099771A" w:rsidP="0099771A">
            <w:pPr>
              <w:rPr>
                <w:lang w:val="en-GB"/>
              </w:rPr>
            </w:pPr>
            <w:r w:rsidRPr="0099771A">
              <w:rPr>
                <w:lang w:val="en-GB"/>
              </w:rPr>
              <w:t>GDP growth</w:t>
            </w:r>
          </w:p>
        </w:tc>
        <w:tc>
          <w:tcPr>
            <w:tcW w:w="0" w:type="auto"/>
            <w:vAlign w:val="center"/>
            <w:hideMark/>
          </w:tcPr>
          <w:p w14:paraId="4CDF15F7" w14:textId="77777777" w:rsidR="0099771A" w:rsidRPr="0099771A" w:rsidRDefault="0099771A" w:rsidP="0099771A">
            <w:pPr>
              <w:rPr>
                <w:lang w:val="en-GB"/>
              </w:rPr>
            </w:pPr>
            <w:r w:rsidRPr="0099771A">
              <w:rPr>
                <w:lang w:val="en-GB"/>
              </w:rPr>
              <w:t xml:space="preserve">Influences household and business vehicle </w:t>
            </w:r>
            <w:r w:rsidRPr="0099771A">
              <w:rPr>
                <w:lang w:val="en-GB"/>
              </w:rPr>
              <w:lastRenderedPageBreak/>
              <w:t>demand</w:t>
            </w:r>
          </w:p>
        </w:tc>
        <w:tc>
          <w:tcPr>
            <w:tcW w:w="0" w:type="auto"/>
            <w:vAlign w:val="center"/>
            <w:hideMark/>
          </w:tcPr>
          <w:p w14:paraId="255A95F3" w14:textId="77777777" w:rsidR="0099771A" w:rsidRPr="0099771A" w:rsidRDefault="0099771A" w:rsidP="0099771A">
            <w:pPr>
              <w:rPr>
                <w:lang w:val="en-GB"/>
              </w:rPr>
            </w:pPr>
            <w:r w:rsidRPr="0099771A">
              <w:rPr>
                <w:lang w:val="en-GB"/>
              </w:rPr>
              <w:lastRenderedPageBreak/>
              <w:t>Flexible production allocation</w:t>
            </w:r>
          </w:p>
        </w:tc>
      </w:tr>
      <w:tr w:rsidR="0099771A" w:rsidRPr="0099771A" w14:paraId="3CF3E50E" w14:textId="77777777">
        <w:trPr>
          <w:tblCellSpacing w:w="15" w:type="dxa"/>
        </w:trPr>
        <w:tc>
          <w:tcPr>
            <w:tcW w:w="0" w:type="auto"/>
            <w:vAlign w:val="center"/>
            <w:hideMark/>
          </w:tcPr>
          <w:p w14:paraId="2812C565" w14:textId="77777777" w:rsidR="0099771A" w:rsidRPr="0099771A" w:rsidRDefault="0099771A" w:rsidP="0099771A">
            <w:pPr>
              <w:rPr>
                <w:lang w:val="en-GB"/>
              </w:rPr>
            </w:pPr>
            <w:r w:rsidRPr="0099771A">
              <w:rPr>
                <w:lang w:val="en-GB"/>
              </w:rPr>
              <w:t>Income</w:t>
            </w:r>
          </w:p>
        </w:tc>
        <w:tc>
          <w:tcPr>
            <w:tcW w:w="0" w:type="auto"/>
            <w:vAlign w:val="center"/>
            <w:hideMark/>
          </w:tcPr>
          <w:p w14:paraId="732B83B6" w14:textId="77777777" w:rsidR="0099771A" w:rsidRPr="0099771A" w:rsidRDefault="0099771A" w:rsidP="0099771A">
            <w:pPr>
              <w:rPr>
                <w:lang w:val="en-GB"/>
              </w:rPr>
            </w:pPr>
            <w:r w:rsidRPr="0099771A">
              <w:rPr>
                <w:lang w:val="en-GB"/>
              </w:rPr>
              <w:t>Determines affordability and vehicle segment</w:t>
            </w:r>
          </w:p>
        </w:tc>
        <w:tc>
          <w:tcPr>
            <w:tcW w:w="0" w:type="auto"/>
            <w:vAlign w:val="center"/>
            <w:hideMark/>
          </w:tcPr>
          <w:p w14:paraId="6768DD05" w14:textId="77777777" w:rsidR="0099771A" w:rsidRPr="0099771A" w:rsidRDefault="0099771A" w:rsidP="0099771A">
            <w:pPr>
              <w:rPr>
                <w:lang w:val="en-GB"/>
              </w:rPr>
            </w:pPr>
            <w:r w:rsidRPr="0099771A">
              <w:rPr>
                <w:lang w:val="en-GB"/>
              </w:rPr>
              <w:t>Broader price/product portfolio</w:t>
            </w:r>
          </w:p>
        </w:tc>
      </w:tr>
      <w:tr w:rsidR="0099771A" w:rsidRPr="0099771A" w14:paraId="40BFBD9C" w14:textId="77777777">
        <w:trPr>
          <w:tblCellSpacing w:w="15" w:type="dxa"/>
        </w:trPr>
        <w:tc>
          <w:tcPr>
            <w:tcW w:w="0" w:type="auto"/>
            <w:vAlign w:val="center"/>
            <w:hideMark/>
          </w:tcPr>
          <w:p w14:paraId="73A71490" w14:textId="77777777" w:rsidR="0099771A" w:rsidRPr="0099771A" w:rsidRDefault="0099771A" w:rsidP="0099771A">
            <w:pPr>
              <w:rPr>
                <w:lang w:val="en-GB"/>
              </w:rPr>
            </w:pPr>
            <w:r w:rsidRPr="0099771A">
              <w:rPr>
                <w:lang w:val="en-GB"/>
              </w:rPr>
              <w:t>Demographics</w:t>
            </w:r>
          </w:p>
        </w:tc>
        <w:tc>
          <w:tcPr>
            <w:tcW w:w="0" w:type="auto"/>
            <w:vAlign w:val="center"/>
            <w:hideMark/>
          </w:tcPr>
          <w:p w14:paraId="6BCCC747" w14:textId="77777777" w:rsidR="0099771A" w:rsidRPr="0099771A" w:rsidRDefault="0099771A" w:rsidP="0099771A">
            <w:pPr>
              <w:rPr>
                <w:lang w:val="en-GB"/>
              </w:rPr>
            </w:pPr>
            <w:r w:rsidRPr="0099771A">
              <w:rPr>
                <w:lang w:val="en-GB"/>
              </w:rPr>
              <w:t>Alters mobility and technology preferences</w:t>
            </w:r>
          </w:p>
        </w:tc>
        <w:tc>
          <w:tcPr>
            <w:tcW w:w="0" w:type="auto"/>
            <w:vAlign w:val="center"/>
            <w:hideMark/>
          </w:tcPr>
          <w:p w14:paraId="2A05EF72" w14:textId="77777777" w:rsidR="0099771A" w:rsidRPr="0099771A" w:rsidRDefault="0099771A" w:rsidP="0099771A">
            <w:pPr>
              <w:rPr>
                <w:lang w:val="en-GB"/>
              </w:rPr>
            </w:pPr>
            <w:r w:rsidRPr="0099771A">
              <w:rPr>
                <w:lang w:val="en-GB"/>
              </w:rPr>
              <w:t>Customer segmentation</w:t>
            </w:r>
          </w:p>
        </w:tc>
      </w:tr>
      <w:tr w:rsidR="0099771A" w:rsidRPr="0099771A" w14:paraId="09B5E3E4" w14:textId="77777777">
        <w:trPr>
          <w:tblCellSpacing w:w="15" w:type="dxa"/>
        </w:trPr>
        <w:tc>
          <w:tcPr>
            <w:tcW w:w="0" w:type="auto"/>
            <w:vAlign w:val="center"/>
            <w:hideMark/>
          </w:tcPr>
          <w:p w14:paraId="16D9D14E" w14:textId="77777777" w:rsidR="0099771A" w:rsidRPr="0099771A" w:rsidRDefault="0099771A" w:rsidP="0099771A">
            <w:pPr>
              <w:rPr>
                <w:lang w:val="en-GB"/>
              </w:rPr>
            </w:pPr>
            <w:r w:rsidRPr="0099771A">
              <w:rPr>
                <w:lang w:val="en-GB"/>
              </w:rPr>
              <w:t>EV infrastructure</w:t>
            </w:r>
          </w:p>
        </w:tc>
        <w:tc>
          <w:tcPr>
            <w:tcW w:w="0" w:type="auto"/>
            <w:vAlign w:val="center"/>
            <w:hideMark/>
          </w:tcPr>
          <w:p w14:paraId="3D3F69B0" w14:textId="77777777" w:rsidR="0099771A" w:rsidRPr="0099771A" w:rsidRDefault="0099771A" w:rsidP="0099771A">
            <w:pPr>
              <w:rPr>
                <w:lang w:val="en-GB"/>
              </w:rPr>
            </w:pPr>
            <w:r w:rsidRPr="0099771A">
              <w:rPr>
                <w:lang w:val="en-GB"/>
              </w:rPr>
              <w:t>Determines feasibility of BEV ownership</w:t>
            </w:r>
          </w:p>
        </w:tc>
        <w:tc>
          <w:tcPr>
            <w:tcW w:w="0" w:type="auto"/>
            <w:vAlign w:val="center"/>
            <w:hideMark/>
          </w:tcPr>
          <w:p w14:paraId="44C6624C" w14:textId="77777777" w:rsidR="0099771A" w:rsidRPr="0099771A" w:rsidRDefault="0099771A" w:rsidP="0099771A">
            <w:pPr>
              <w:rPr>
                <w:lang w:val="en-GB"/>
              </w:rPr>
            </w:pPr>
            <w:r w:rsidRPr="0099771A">
              <w:rPr>
                <w:lang w:val="en-GB"/>
              </w:rPr>
              <w:t>Region-specific powertrain strategy</w:t>
            </w:r>
          </w:p>
        </w:tc>
      </w:tr>
      <w:tr w:rsidR="0099771A" w:rsidRPr="0099771A" w14:paraId="73A41FD6" w14:textId="77777777">
        <w:trPr>
          <w:tblCellSpacing w:w="15" w:type="dxa"/>
        </w:trPr>
        <w:tc>
          <w:tcPr>
            <w:tcW w:w="0" w:type="auto"/>
            <w:vAlign w:val="center"/>
            <w:hideMark/>
          </w:tcPr>
          <w:p w14:paraId="21F452FC" w14:textId="77777777" w:rsidR="0099771A" w:rsidRPr="0099771A" w:rsidRDefault="0099771A" w:rsidP="0099771A">
            <w:pPr>
              <w:rPr>
                <w:lang w:val="en-GB"/>
              </w:rPr>
            </w:pPr>
            <w:r w:rsidRPr="0099771A">
              <w:rPr>
                <w:lang w:val="en-GB"/>
              </w:rPr>
              <w:t>Exchange rates</w:t>
            </w:r>
          </w:p>
        </w:tc>
        <w:tc>
          <w:tcPr>
            <w:tcW w:w="0" w:type="auto"/>
            <w:vAlign w:val="center"/>
            <w:hideMark/>
          </w:tcPr>
          <w:p w14:paraId="35204705" w14:textId="77777777" w:rsidR="0099771A" w:rsidRPr="0099771A" w:rsidRDefault="0099771A" w:rsidP="0099771A">
            <w:pPr>
              <w:rPr>
                <w:lang w:val="en-GB"/>
              </w:rPr>
            </w:pPr>
            <w:r w:rsidRPr="0099771A">
              <w:rPr>
                <w:lang w:val="en-GB"/>
              </w:rPr>
              <w:t>Changes overseas earnings and production economics</w:t>
            </w:r>
          </w:p>
        </w:tc>
        <w:tc>
          <w:tcPr>
            <w:tcW w:w="0" w:type="auto"/>
            <w:vAlign w:val="center"/>
            <w:hideMark/>
          </w:tcPr>
          <w:p w14:paraId="32514A82" w14:textId="77777777" w:rsidR="0099771A" w:rsidRPr="0099771A" w:rsidRDefault="0099771A" w:rsidP="0099771A">
            <w:pPr>
              <w:rPr>
                <w:lang w:val="en-GB"/>
              </w:rPr>
            </w:pPr>
            <w:r w:rsidRPr="0099771A">
              <w:rPr>
                <w:lang w:val="en-GB"/>
              </w:rPr>
              <w:t>Localisation and hedging</w:t>
            </w:r>
          </w:p>
        </w:tc>
      </w:tr>
      <w:tr w:rsidR="0099771A" w:rsidRPr="0099771A" w14:paraId="176B2E10" w14:textId="77777777">
        <w:trPr>
          <w:tblCellSpacing w:w="15" w:type="dxa"/>
        </w:trPr>
        <w:tc>
          <w:tcPr>
            <w:tcW w:w="0" w:type="auto"/>
            <w:vAlign w:val="center"/>
            <w:hideMark/>
          </w:tcPr>
          <w:p w14:paraId="7A6640EF" w14:textId="77777777" w:rsidR="0099771A" w:rsidRPr="0099771A" w:rsidRDefault="0099771A" w:rsidP="0099771A">
            <w:pPr>
              <w:rPr>
                <w:lang w:val="en-GB"/>
              </w:rPr>
            </w:pPr>
            <w:r w:rsidRPr="0099771A">
              <w:rPr>
                <w:lang w:val="en-GB"/>
              </w:rPr>
              <w:t>Geopolitical risk</w:t>
            </w:r>
          </w:p>
        </w:tc>
        <w:tc>
          <w:tcPr>
            <w:tcW w:w="0" w:type="auto"/>
            <w:vAlign w:val="center"/>
            <w:hideMark/>
          </w:tcPr>
          <w:p w14:paraId="3FD61C1E" w14:textId="77777777" w:rsidR="0099771A" w:rsidRPr="0099771A" w:rsidRDefault="0099771A" w:rsidP="0099771A">
            <w:pPr>
              <w:rPr>
                <w:lang w:val="en-GB"/>
              </w:rPr>
            </w:pPr>
            <w:r w:rsidRPr="0099771A">
              <w:rPr>
                <w:lang w:val="en-GB"/>
              </w:rPr>
              <w:t>Affects trade and investment certainty</w:t>
            </w:r>
          </w:p>
        </w:tc>
        <w:tc>
          <w:tcPr>
            <w:tcW w:w="0" w:type="auto"/>
            <w:vAlign w:val="center"/>
            <w:hideMark/>
          </w:tcPr>
          <w:p w14:paraId="14017827" w14:textId="77777777" w:rsidR="0099771A" w:rsidRPr="0099771A" w:rsidRDefault="0099771A" w:rsidP="0099771A">
            <w:pPr>
              <w:rPr>
                <w:lang w:val="en-GB"/>
              </w:rPr>
            </w:pPr>
            <w:r w:rsidRPr="0099771A">
              <w:rPr>
                <w:lang w:val="en-GB"/>
              </w:rPr>
              <w:t>Geographic diversification</w:t>
            </w:r>
          </w:p>
        </w:tc>
      </w:tr>
      <w:tr w:rsidR="0099771A" w:rsidRPr="0099771A" w14:paraId="3298BBB2" w14:textId="77777777">
        <w:trPr>
          <w:tblCellSpacing w:w="15" w:type="dxa"/>
        </w:trPr>
        <w:tc>
          <w:tcPr>
            <w:tcW w:w="0" w:type="auto"/>
            <w:vAlign w:val="center"/>
            <w:hideMark/>
          </w:tcPr>
          <w:p w14:paraId="05D2D0A4" w14:textId="77777777" w:rsidR="0099771A" w:rsidRPr="0099771A" w:rsidRDefault="0099771A" w:rsidP="0099771A">
            <w:pPr>
              <w:rPr>
                <w:lang w:val="en-GB"/>
              </w:rPr>
            </w:pPr>
            <w:r w:rsidRPr="0099771A">
              <w:rPr>
                <w:lang w:val="en-GB"/>
              </w:rPr>
              <w:t>Supply disruption</w:t>
            </w:r>
          </w:p>
        </w:tc>
        <w:tc>
          <w:tcPr>
            <w:tcW w:w="0" w:type="auto"/>
            <w:vAlign w:val="center"/>
            <w:hideMark/>
          </w:tcPr>
          <w:p w14:paraId="039AD93B" w14:textId="77777777" w:rsidR="0099771A" w:rsidRPr="0099771A" w:rsidRDefault="0099771A" w:rsidP="0099771A">
            <w:pPr>
              <w:rPr>
                <w:lang w:val="en-GB"/>
              </w:rPr>
            </w:pPr>
            <w:r w:rsidRPr="0099771A">
              <w:rPr>
                <w:lang w:val="en-GB"/>
              </w:rPr>
              <w:t>Can interrupt vehicle production</w:t>
            </w:r>
          </w:p>
        </w:tc>
        <w:tc>
          <w:tcPr>
            <w:tcW w:w="0" w:type="auto"/>
            <w:vAlign w:val="center"/>
            <w:hideMark/>
          </w:tcPr>
          <w:p w14:paraId="668C6201" w14:textId="77777777" w:rsidR="0099771A" w:rsidRPr="0099771A" w:rsidRDefault="0099771A" w:rsidP="0099771A">
            <w:pPr>
              <w:rPr>
                <w:lang w:val="en-GB"/>
              </w:rPr>
            </w:pPr>
            <w:r w:rsidRPr="0099771A">
              <w:rPr>
                <w:lang w:val="en-GB"/>
              </w:rPr>
              <w:t>Multi-sourcing and strategic inventory</w:t>
            </w:r>
          </w:p>
        </w:tc>
      </w:tr>
    </w:tbl>
    <w:p w14:paraId="286574C1" w14:textId="77777777" w:rsidR="0099771A" w:rsidRPr="0099771A" w:rsidRDefault="0099771A" w:rsidP="0099771A">
      <w:pPr>
        <w:rPr>
          <w:b/>
          <w:bCs/>
          <w:lang w:val="en-GB"/>
        </w:rPr>
      </w:pPr>
      <w:r w:rsidRPr="0099771A">
        <w:rPr>
          <w:b/>
          <w:bCs/>
          <w:lang w:val="en-GB"/>
        </w:rPr>
        <w:t>Appendix B – Strategic Response Framework</w:t>
      </w:r>
    </w:p>
    <w:p w14:paraId="573CE8D4" w14:textId="77777777" w:rsidR="0099771A" w:rsidRPr="0099771A" w:rsidRDefault="0099771A" w:rsidP="0099771A">
      <w:pPr>
        <w:rPr>
          <w:lang w:val="en-GB"/>
        </w:rPr>
      </w:pPr>
      <w:r w:rsidRPr="0099771A">
        <w:rPr>
          <w:b/>
          <w:bCs/>
          <w:lang w:val="en-GB"/>
        </w:rPr>
        <w:t>Socioeconomic Environment</w:t>
      </w:r>
    </w:p>
    <w:p w14:paraId="56BCE940" w14:textId="77777777" w:rsidR="0099771A" w:rsidRPr="0099771A" w:rsidRDefault="0099771A" w:rsidP="0099771A">
      <w:pPr>
        <w:rPr>
          <w:lang w:val="en-GB"/>
        </w:rPr>
      </w:pPr>
      <w:r w:rsidRPr="0099771A">
        <w:rPr>
          <w:lang w:val="en-GB"/>
        </w:rPr>
        <w:t>Inflation + Interest Rates + Employment + GDP Growth + Income + Demographics</w:t>
      </w:r>
    </w:p>
    <w:p w14:paraId="284D2D18" w14:textId="77777777" w:rsidR="0099771A" w:rsidRPr="0099771A" w:rsidRDefault="0099771A" w:rsidP="0099771A">
      <w:pPr>
        <w:rPr>
          <w:lang w:val="en-GB"/>
        </w:rPr>
      </w:pPr>
      <w:r w:rsidRPr="0099771A">
        <w:rPr>
          <w:lang w:val="en-GB"/>
        </w:rPr>
        <w:t>↓</w:t>
      </w:r>
    </w:p>
    <w:p w14:paraId="33C7BA53" w14:textId="77777777" w:rsidR="0099771A" w:rsidRPr="0099771A" w:rsidRDefault="0099771A" w:rsidP="0099771A">
      <w:pPr>
        <w:rPr>
          <w:lang w:val="en-GB"/>
        </w:rPr>
      </w:pPr>
      <w:r w:rsidRPr="0099771A">
        <w:rPr>
          <w:b/>
          <w:bCs/>
          <w:lang w:val="en-GB"/>
        </w:rPr>
        <w:t>Consumer Effects</w:t>
      </w:r>
    </w:p>
    <w:p w14:paraId="1043DC5F" w14:textId="77777777" w:rsidR="0099771A" w:rsidRPr="0099771A" w:rsidRDefault="0099771A" w:rsidP="0099771A">
      <w:pPr>
        <w:rPr>
          <w:lang w:val="en-GB"/>
        </w:rPr>
      </w:pPr>
      <w:r w:rsidRPr="0099771A">
        <w:rPr>
          <w:lang w:val="en-GB"/>
        </w:rPr>
        <w:t>Affordability + Confidence + Financing Cost + Vehicle Preferences</w:t>
      </w:r>
    </w:p>
    <w:p w14:paraId="1669D04D" w14:textId="77777777" w:rsidR="0099771A" w:rsidRPr="0099771A" w:rsidRDefault="0099771A" w:rsidP="0099771A">
      <w:pPr>
        <w:rPr>
          <w:lang w:val="en-GB"/>
        </w:rPr>
      </w:pPr>
      <w:r w:rsidRPr="0099771A">
        <w:rPr>
          <w:lang w:val="en-GB"/>
        </w:rPr>
        <w:t>↓</w:t>
      </w:r>
    </w:p>
    <w:p w14:paraId="7468DEC1" w14:textId="77777777" w:rsidR="0099771A" w:rsidRPr="0099771A" w:rsidRDefault="0099771A" w:rsidP="0099771A">
      <w:pPr>
        <w:rPr>
          <w:lang w:val="en-GB"/>
        </w:rPr>
      </w:pPr>
      <w:r w:rsidRPr="0099771A">
        <w:rPr>
          <w:b/>
          <w:bCs/>
          <w:lang w:val="en-GB"/>
        </w:rPr>
        <w:t>Toyota Business Effects</w:t>
      </w:r>
    </w:p>
    <w:p w14:paraId="76368892" w14:textId="77777777" w:rsidR="0099771A" w:rsidRPr="0099771A" w:rsidRDefault="0099771A" w:rsidP="0099771A">
      <w:pPr>
        <w:rPr>
          <w:lang w:val="en-GB"/>
        </w:rPr>
      </w:pPr>
      <w:r w:rsidRPr="0099771A">
        <w:rPr>
          <w:lang w:val="en-GB"/>
        </w:rPr>
        <w:t>Demand + Input Costs + Investment Returns + Supply Risk + Profitability</w:t>
      </w:r>
    </w:p>
    <w:p w14:paraId="25224FFD" w14:textId="77777777" w:rsidR="0099771A" w:rsidRPr="0099771A" w:rsidRDefault="0099771A" w:rsidP="0099771A">
      <w:pPr>
        <w:rPr>
          <w:lang w:val="en-GB"/>
        </w:rPr>
      </w:pPr>
      <w:r w:rsidRPr="0099771A">
        <w:rPr>
          <w:lang w:val="en-GB"/>
        </w:rPr>
        <w:t>↓</w:t>
      </w:r>
    </w:p>
    <w:p w14:paraId="306355A2" w14:textId="77777777" w:rsidR="0099771A" w:rsidRPr="0099771A" w:rsidRDefault="0099771A" w:rsidP="0099771A">
      <w:pPr>
        <w:rPr>
          <w:lang w:val="en-GB"/>
        </w:rPr>
      </w:pPr>
      <w:r w:rsidRPr="0099771A">
        <w:rPr>
          <w:b/>
          <w:bCs/>
          <w:lang w:val="en-GB"/>
        </w:rPr>
        <w:t>Strategic Decisions</w:t>
      </w:r>
    </w:p>
    <w:p w14:paraId="6DD8EE95" w14:textId="77777777" w:rsidR="0099771A" w:rsidRPr="0099771A" w:rsidRDefault="0099771A" w:rsidP="0099771A">
      <w:pPr>
        <w:rPr>
          <w:lang w:val="en-GB"/>
        </w:rPr>
      </w:pPr>
      <w:r w:rsidRPr="0099771A">
        <w:rPr>
          <w:lang w:val="en-GB"/>
        </w:rPr>
        <w:lastRenderedPageBreak/>
        <w:t>Pricing + Product Mix + Financing + Production + Localisation + Technology Investment</w:t>
      </w:r>
    </w:p>
    <w:p w14:paraId="3645B5F4" w14:textId="77777777" w:rsidR="0099771A" w:rsidRPr="0099771A" w:rsidRDefault="0099771A" w:rsidP="0099771A">
      <w:pPr>
        <w:rPr>
          <w:lang w:val="en-GB"/>
        </w:rPr>
      </w:pPr>
      <w:r w:rsidRPr="0099771A">
        <w:rPr>
          <w:lang w:val="en-GB"/>
        </w:rPr>
        <w:t>↓</w:t>
      </w:r>
    </w:p>
    <w:p w14:paraId="2B6213CE" w14:textId="77777777" w:rsidR="0099771A" w:rsidRPr="0099771A" w:rsidRDefault="0099771A" w:rsidP="0099771A">
      <w:pPr>
        <w:rPr>
          <w:lang w:val="en-GB"/>
        </w:rPr>
      </w:pPr>
      <w:r w:rsidRPr="0099771A">
        <w:rPr>
          <w:b/>
          <w:bCs/>
          <w:lang w:val="en-GB"/>
        </w:rPr>
        <w:t>Organisational Performance</w:t>
      </w:r>
    </w:p>
    <w:p w14:paraId="6C9E8838" w14:textId="77777777" w:rsidR="0099771A" w:rsidRPr="0099771A" w:rsidRDefault="0099771A" w:rsidP="0099771A">
      <w:pPr>
        <w:rPr>
          <w:lang w:val="en-GB"/>
        </w:rPr>
      </w:pPr>
      <w:r w:rsidRPr="0099771A">
        <w:rPr>
          <w:lang w:val="en-GB"/>
        </w:rPr>
        <w:t>Revenue + Market Share + Profitability + Resilience + Long-Term Competitiveness</w:t>
      </w:r>
    </w:p>
    <w:p w14:paraId="1B2EA3A9" w14:textId="77777777" w:rsidR="0099771A" w:rsidRPr="00F23CCE" w:rsidRDefault="0099771A" w:rsidP="00F23CCE"/>
    <w:sectPr w:rsidR="0099771A" w:rsidRPr="00F23CCE" w:rsidSect="000346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243A" w14:textId="77777777" w:rsidR="00C41B44" w:rsidRDefault="00C41B44">
      <w:pPr>
        <w:spacing w:line="240" w:lineRule="auto"/>
      </w:pPr>
      <w:r>
        <w:separator/>
      </w:r>
    </w:p>
  </w:endnote>
  <w:endnote w:type="continuationSeparator" w:id="0">
    <w:p w14:paraId="5963F4AE" w14:textId="77777777" w:rsidR="00C41B44" w:rsidRDefault="00C41B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5ADCD" w14:textId="77777777" w:rsidR="002800B9" w:rsidRDefault="00000000">
    <w:pPr>
      <w:pStyle w:val="Footer"/>
      <w:jc w:val="center"/>
    </w:pPr>
    <w:r>
      <w:fldChar w:fldCharType="begin"/>
    </w:r>
    <w:r>
      <w:instrText>PAGE</w:instrText>
    </w:r>
    <w:r>
      <w:fldChar w:fldCharType="separate"/>
    </w:r>
    <w:r w:rsidR="00EE29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5D28" w14:textId="77777777" w:rsidR="00C41B44" w:rsidRDefault="00C41B44">
      <w:pPr>
        <w:spacing w:line="240" w:lineRule="auto"/>
      </w:pPr>
      <w:r>
        <w:separator/>
      </w:r>
    </w:p>
  </w:footnote>
  <w:footnote w:type="continuationSeparator" w:id="0">
    <w:p w14:paraId="4390B08B" w14:textId="77777777" w:rsidR="00C41B44" w:rsidRDefault="00C41B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7013208">
    <w:abstractNumId w:val="8"/>
  </w:num>
  <w:num w:numId="2" w16cid:durableId="621422643">
    <w:abstractNumId w:val="6"/>
  </w:num>
  <w:num w:numId="3" w16cid:durableId="1968585780">
    <w:abstractNumId w:val="5"/>
  </w:num>
  <w:num w:numId="4" w16cid:durableId="2088452177">
    <w:abstractNumId w:val="4"/>
  </w:num>
  <w:num w:numId="5" w16cid:durableId="89816284">
    <w:abstractNumId w:val="7"/>
  </w:num>
  <w:num w:numId="6" w16cid:durableId="1485972762">
    <w:abstractNumId w:val="3"/>
  </w:num>
  <w:num w:numId="7" w16cid:durableId="318392288">
    <w:abstractNumId w:val="2"/>
  </w:num>
  <w:num w:numId="8" w16cid:durableId="673650923">
    <w:abstractNumId w:val="1"/>
  </w:num>
  <w:num w:numId="9" w16cid:durableId="47638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800B9"/>
    <w:rsid w:val="0029639D"/>
    <w:rsid w:val="002D0A8F"/>
    <w:rsid w:val="00326F90"/>
    <w:rsid w:val="003F41CF"/>
    <w:rsid w:val="008B1B26"/>
    <w:rsid w:val="0099771A"/>
    <w:rsid w:val="00AA1D8D"/>
    <w:rsid w:val="00B47730"/>
    <w:rsid w:val="00C41B44"/>
    <w:rsid w:val="00C6178E"/>
    <w:rsid w:val="00CB0664"/>
    <w:rsid w:val="00EE2930"/>
    <w:rsid w:val="00F23C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3683F6"/>
  <w14:defaultImageDpi w14:val="300"/>
  <w15:docId w15:val="{CC8854F2-89CC-4DE5-A5AA-E43E94D7D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9771A"/>
    <w:rPr>
      <w:color w:val="0000FF" w:themeColor="hyperlink"/>
      <w:u w:val="single"/>
    </w:rPr>
  </w:style>
  <w:style w:type="character" w:styleId="UnresolvedMention">
    <w:name w:val="Unresolved Mention"/>
    <w:basedOn w:val="DefaultParagraphFont"/>
    <w:uiPriority w:val="99"/>
    <w:semiHidden/>
    <w:unhideWhenUsed/>
    <w:rsid w:val="00997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toyota/en/?utm_source=chatgpt.com" TargetMode="External"/><Relationship Id="rId13" Type="http://schemas.openxmlformats.org/officeDocument/2006/relationships/hyperlink" Target="https://doi.org/10.1016/j.geits.2024.100153?utm_source=chatgpt.com" TargetMode="External"/><Relationship Id="rId18" Type="http://schemas.openxmlformats.org/officeDocument/2006/relationships/hyperlink" Target="https://global.toyota/en/ir/financial-results/?utm_source=chatgp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93/jeea/jvad009" TargetMode="External"/><Relationship Id="rId17" Type="http://schemas.openxmlformats.org/officeDocument/2006/relationships/hyperlink" Target="https://global.toyota/en/ir/library/annual/?utm_source=chatgpt.com" TargetMode="External"/><Relationship Id="rId2" Type="http://schemas.openxmlformats.org/officeDocument/2006/relationships/numbering" Target="numbering.xml"/><Relationship Id="rId16" Type="http://schemas.openxmlformats.org/officeDocument/2006/relationships/hyperlink" Target="https://doi.org/10.1016/j.egyr.2024.12.054?utm_source=chatgpt.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57/aer.20191823" TargetMode="External"/><Relationship Id="rId5" Type="http://schemas.openxmlformats.org/officeDocument/2006/relationships/webSettings" Target="webSettings.xml"/><Relationship Id="rId15" Type="http://schemas.openxmlformats.org/officeDocument/2006/relationships/hyperlink" Target="https://doi.org/10.1287/mnsc.2019.3473" TargetMode="External"/><Relationship Id="rId10" Type="http://schemas.openxmlformats.org/officeDocument/2006/relationships/hyperlink" Target="https://doi.org/10.1162/rest_a_01118" TargetMode="External"/><Relationship Id="rId19" Type="http://schemas.openxmlformats.org/officeDocument/2006/relationships/hyperlink" Target="https://global.toyota/en/ir/finance/?utm_source=chatgpt.com" TargetMode="External"/><Relationship Id="rId4" Type="http://schemas.openxmlformats.org/officeDocument/2006/relationships/settings" Target="settings.xml"/><Relationship Id="rId9" Type="http://schemas.openxmlformats.org/officeDocument/2006/relationships/hyperlink" Target="https://doi.org/10.1111/j.1540-5982.2009.01513.x?utm_source=chatgpt.com" TargetMode="External"/><Relationship Id="rId14" Type="http://schemas.openxmlformats.org/officeDocument/2006/relationships/hyperlink" Target="https://doi.org/10.1016/j.jbusres.2022.06.01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6877</Words>
  <Characters>39205</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Sustainable Management of Cultural Heritage Sites: Balancing Conservation, Tourism and Community Stewardship</vt:lpstr>
    </vt:vector>
  </TitlesOfParts>
  <Manager/>
  <Company/>
  <LinksUpToDate>false</LinksUpToDate>
  <CharactersWithSpaces>45991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Management of Cultural Heritage Sites: Balancing Conservation, Tourism and Community Stewardship</dc:title>
  <dc:subject>M22 Cultural Heritage Management</dc:subject>
  <dc:creator>Student</dc:creator>
  <cp:keywords/>
  <dc:description>generated by python-docx</dc:description>
  <cp:lastModifiedBy>xx5949@365mak.com</cp:lastModifiedBy>
  <cp:revision>3</cp:revision>
  <dcterms:created xsi:type="dcterms:W3CDTF">2026-09-18T05:26:00Z</dcterms:created>
  <dcterms:modified xsi:type="dcterms:W3CDTF">2026-09-18T05:26:00Z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e9a7f029-1f28-4ab4-a132-561af16128f9</vt:lpwstr>
  </property>
</Properties>
</file>