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D9F1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F35196E" wp14:editId="531D528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E2DB8C2" w14:textId="77777777" w:rsidR="00BD5EF8" w:rsidRDefault="00BD5EF8" w:rsidP="0019504D">
      <w:pPr>
        <w:rPr>
          <w:lang w:val="en-US"/>
        </w:rPr>
      </w:pPr>
    </w:p>
    <w:p w14:paraId="4B15BE2C" w14:textId="77777777" w:rsidR="00426865" w:rsidRPr="0019504D" w:rsidRDefault="00CD620A" w:rsidP="0019504D">
      <w:pPr>
        <w:rPr>
          <w:b/>
          <w:bCs/>
          <w:lang w:val="en-US"/>
        </w:rPr>
      </w:pPr>
      <w:r>
        <w:rPr>
          <w:b/>
          <w:bCs/>
          <w:lang w:val="en-US"/>
        </w:rPr>
        <w:t>Recreation Course</w:t>
      </w:r>
    </w:p>
    <w:p w14:paraId="1C2D73B4" w14:textId="77777777" w:rsidR="0019504D" w:rsidRDefault="0019504D" w:rsidP="0019504D">
      <w:pPr>
        <w:rPr>
          <w:lang w:val="en-US"/>
        </w:rPr>
      </w:pPr>
      <w:r w:rsidRPr="0019504D">
        <w:rPr>
          <w:lang w:val="en-US"/>
        </w:rPr>
        <w:t>Ass</w:t>
      </w:r>
      <w:r>
        <w:rPr>
          <w:lang w:val="en-US"/>
        </w:rPr>
        <w:t xml:space="preserve">ignment </w:t>
      </w:r>
      <w:r w:rsidR="00A95CBF">
        <w:rPr>
          <w:lang w:val="en-US"/>
        </w:rPr>
        <w:t>4</w:t>
      </w:r>
    </w:p>
    <w:p w14:paraId="16BC9271" w14:textId="77777777" w:rsidR="0019504D" w:rsidRPr="0019504D" w:rsidRDefault="00A95CBF" w:rsidP="0019504D">
      <w:pPr>
        <w:rPr>
          <w:lang w:val="en-US"/>
        </w:rPr>
      </w:pPr>
      <w:r>
        <w:rPr>
          <w:lang w:val="en-US"/>
        </w:rPr>
        <w:t>25</w:t>
      </w:r>
      <w:r w:rsidR="0019504D">
        <w:rPr>
          <w:lang w:val="en-US"/>
        </w:rPr>
        <w:t>.0</w:t>
      </w:r>
      <w:r w:rsidR="00CD620A">
        <w:rPr>
          <w:lang w:val="en-US"/>
        </w:rPr>
        <w:t>7</w:t>
      </w:r>
      <w:r w:rsidR="0019504D">
        <w:rPr>
          <w:lang w:val="en-US"/>
        </w:rPr>
        <w:t>.2025</w:t>
      </w:r>
    </w:p>
    <w:p w14:paraId="5B4AA88E" w14:textId="77777777" w:rsidR="0019504D" w:rsidRDefault="0019504D"/>
    <w:p w14:paraId="5A312F91" w14:textId="77777777" w:rsidR="0019504D" w:rsidRDefault="0019504D"/>
    <w:p w14:paraId="2BFAC1AB" w14:textId="77777777" w:rsidR="0019504D" w:rsidRDefault="0019504D"/>
    <w:p w14:paraId="4DE4777D" w14:textId="77777777" w:rsidR="0019504D" w:rsidRDefault="0019504D"/>
    <w:p w14:paraId="50C8E35B" w14:textId="77777777" w:rsidR="0019504D" w:rsidRDefault="0019504D"/>
    <w:p w14:paraId="45C6F7F2" w14:textId="77777777" w:rsidR="00CD620A" w:rsidRDefault="00CD620A"/>
    <w:p w14:paraId="7D22C93D" w14:textId="77777777" w:rsidR="00CD620A" w:rsidRDefault="00CD620A"/>
    <w:p w14:paraId="3A8F308E" w14:textId="77777777" w:rsidR="00CD620A" w:rsidRDefault="00CD620A"/>
    <w:p w14:paraId="22469A1E" w14:textId="77777777" w:rsidR="00CD620A" w:rsidRDefault="00CD620A"/>
    <w:p w14:paraId="09934545" w14:textId="77777777" w:rsidR="00CD620A" w:rsidRDefault="00CD620A"/>
    <w:p w14:paraId="71D52FC5" w14:textId="77777777" w:rsidR="0019504D" w:rsidRDefault="0019504D"/>
    <w:p w14:paraId="1A969241" w14:textId="77777777" w:rsidR="0019504D" w:rsidRDefault="0019504D"/>
    <w:p w14:paraId="1D757A7E" w14:textId="77777777" w:rsidR="00BD5EF8" w:rsidRPr="00BD5EF8" w:rsidRDefault="00CD620A" w:rsidP="00CD620A">
      <w:pPr>
        <w:spacing w:line="276" w:lineRule="auto"/>
        <w:rPr>
          <w:b/>
          <w:bCs/>
          <w:lang w:val="en-US"/>
        </w:rPr>
      </w:pPr>
      <w:r w:rsidRPr="00BD5EF8">
        <w:rPr>
          <w:b/>
          <w:bCs/>
          <w:lang w:val="en-US"/>
        </w:rPr>
        <w:t xml:space="preserve">In no more than </w:t>
      </w:r>
      <w:r w:rsidR="00A95CBF">
        <w:rPr>
          <w:b/>
          <w:bCs/>
          <w:lang w:val="en-US"/>
        </w:rPr>
        <w:t>10</w:t>
      </w:r>
      <w:r w:rsidRPr="00BD5EF8">
        <w:rPr>
          <w:b/>
          <w:bCs/>
          <w:lang w:val="en-US"/>
        </w:rPr>
        <w:t xml:space="preserve">00 words, </w:t>
      </w:r>
    </w:p>
    <w:p w14:paraId="3EE8F410" w14:textId="77777777" w:rsidR="00BD5EF8" w:rsidRDefault="00BD5EF8" w:rsidP="00CD620A">
      <w:pPr>
        <w:spacing w:line="276" w:lineRule="auto"/>
        <w:rPr>
          <w:lang w:val="en-US"/>
        </w:rPr>
      </w:pPr>
    </w:p>
    <w:p w14:paraId="09E7DDD0" w14:textId="77777777" w:rsidR="00903466" w:rsidRDefault="00A95CBF" w:rsidP="00A95CBF">
      <w:pPr>
        <w:pStyle w:val="ListParagraph"/>
        <w:numPr>
          <w:ilvl w:val="0"/>
          <w:numId w:val="1"/>
        </w:numPr>
        <w:spacing w:line="276" w:lineRule="auto"/>
        <w:rPr>
          <w:lang w:val="en-US"/>
        </w:rPr>
      </w:pPr>
      <w:r w:rsidRPr="00A95CBF">
        <w:rPr>
          <w:lang w:val="en-US"/>
        </w:rPr>
        <w:t>Explain the nexus between Recreational Resource Planning and Sustainable Tourism</w:t>
      </w:r>
    </w:p>
    <w:p w14:paraId="162E9503" w14:textId="77777777" w:rsidR="00A32DF1" w:rsidRDefault="00A32DF1" w:rsidP="00A32DF1">
      <w:pPr>
        <w:pStyle w:val="ListParagraph"/>
        <w:spacing w:line="276" w:lineRule="auto"/>
        <w:rPr>
          <w:lang w:val="en-US"/>
        </w:rPr>
      </w:pPr>
    </w:p>
    <w:p w14:paraId="5F3AB3A7" w14:textId="77777777" w:rsidR="00A32DF1" w:rsidRDefault="00A32DF1" w:rsidP="00A32DF1">
      <w:pPr>
        <w:pStyle w:val="ListParagraph"/>
        <w:spacing w:line="276" w:lineRule="auto"/>
        <w:rPr>
          <w:lang w:val="en-US"/>
        </w:rPr>
      </w:pPr>
    </w:p>
    <w:p w14:paraId="41546165" w14:textId="77777777" w:rsidR="00A32DF1" w:rsidRDefault="00A32DF1" w:rsidP="00A32DF1">
      <w:pPr>
        <w:pStyle w:val="ListParagraph"/>
        <w:spacing w:line="276" w:lineRule="auto"/>
        <w:rPr>
          <w:lang w:val="en-US"/>
        </w:rPr>
      </w:pPr>
    </w:p>
    <w:p w14:paraId="1345D46C" w14:textId="77777777" w:rsidR="00A32DF1" w:rsidRDefault="00A32DF1" w:rsidP="00A32DF1">
      <w:pPr>
        <w:pStyle w:val="ListParagraph"/>
        <w:spacing w:line="276" w:lineRule="auto"/>
        <w:rPr>
          <w:lang w:val="en-US"/>
        </w:rPr>
      </w:pPr>
    </w:p>
    <w:p w14:paraId="1D553A14" w14:textId="77777777" w:rsidR="00A32DF1" w:rsidRDefault="00A32DF1" w:rsidP="00A32DF1">
      <w:pPr>
        <w:pStyle w:val="ListParagraph"/>
        <w:spacing w:line="276" w:lineRule="auto"/>
        <w:rPr>
          <w:lang w:val="en-US"/>
        </w:rPr>
      </w:pPr>
    </w:p>
    <w:p w14:paraId="01EDD1B2" w14:textId="77777777" w:rsidR="00A32DF1" w:rsidRDefault="00A32DF1" w:rsidP="00A32DF1">
      <w:pPr>
        <w:pStyle w:val="ListParagraph"/>
        <w:spacing w:line="276" w:lineRule="auto"/>
        <w:rPr>
          <w:lang w:val="en-US"/>
        </w:rPr>
      </w:pPr>
    </w:p>
    <w:p w14:paraId="546189E0" w14:textId="77777777" w:rsidR="00A32DF1" w:rsidRDefault="00A32DF1" w:rsidP="00A32DF1">
      <w:pPr>
        <w:pStyle w:val="ListParagraph"/>
        <w:spacing w:line="276" w:lineRule="auto"/>
        <w:rPr>
          <w:lang w:val="en-US"/>
        </w:rPr>
      </w:pPr>
    </w:p>
    <w:p w14:paraId="5A340CA4" w14:textId="77777777" w:rsidR="00A32DF1" w:rsidRDefault="00A32DF1" w:rsidP="00A32DF1">
      <w:pPr>
        <w:pStyle w:val="ListParagraph"/>
        <w:spacing w:line="276" w:lineRule="auto"/>
        <w:rPr>
          <w:lang w:val="en-US"/>
        </w:rPr>
      </w:pPr>
    </w:p>
    <w:p w14:paraId="3ABF327B" w14:textId="77777777" w:rsidR="00A32DF1" w:rsidRDefault="00A32DF1" w:rsidP="00A32DF1">
      <w:pPr>
        <w:pStyle w:val="ListParagraph"/>
        <w:spacing w:line="276" w:lineRule="auto"/>
        <w:rPr>
          <w:lang w:val="en-US"/>
        </w:rPr>
      </w:pPr>
    </w:p>
    <w:p w14:paraId="3102672C" w14:textId="77777777" w:rsidR="00A32DF1" w:rsidRDefault="00A32DF1" w:rsidP="00A32DF1">
      <w:pPr>
        <w:pStyle w:val="ListParagraph"/>
        <w:spacing w:line="276" w:lineRule="auto"/>
        <w:rPr>
          <w:lang w:val="en-US"/>
        </w:rPr>
      </w:pPr>
    </w:p>
    <w:p w14:paraId="6A44669D" w14:textId="77777777" w:rsidR="00A32DF1" w:rsidRDefault="00A32DF1" w:rsidP="00A32DF1">
      <w:pPr>
        <w:pStyle w:val="ListParagraph"/>
        <w:spacing w:line="276" w:lineRule="auto"/>
        <w:rPr>
          <w:lang w:val="en-US"/>
        </w:rPr>
      </w:pPr>
    </w:p>
    <w:p w14:paraId="6750F16A" w14:textId="77777777" w:rsidR="00A32DF1" w:rsidRDefault="00A32DF1" w:rsidP="00A32DF1">
      <w:pPr>
        <w:pStyle w:val="ListParagraph"/>
        <w:spacing w:line="276" w:lineRule="auto"/>
        <w:rPr>
          <w:lang w:val="en-US"/>
        </w:rPr>
      </w:pPr>
    </w:p>
    <w:p w14:paraId="6BA9E1F0" w14:textId="77777777" w:rsidR="00A32DF1" w:rsidRDefault="00A32DF1" w:rsidP="00A32DF1">
      <w:pPr>
        <w:pStyle w:val="ListParagraph"/>
        <w:spacing w:line="276" w:lineRule="auto"/>
        <w:rPr>
          <w:lang w:val="en-US"/>
        </w:rPr>
      </w:pPr>
    </w:p>
    <w:p w14:paraId="0E8D8603" w14:textId="77777777" w:rsidR="00A32DF1" w:rsidRDefault="00A32DF1" w:rsidP="00A32DF1">
      <w:pPr>
        <w:pStyle w:val="ListParagraph"/>
        <w:spacing w:line="276" w:lineRule="auto"/>
        <w:rPr>
          <w:lang w:val="en-US"/>
        </w:rPr>
      </w:pPr>
    </w:p>
    <w:p w14:paraId="4811F3E5" w14:textId="77777777" w:rsidR="00A32DF1" w:rsidRDefault="00A32DF1" w:rsidP="00A32DF1">
      <w:pPr>
        <w:pStyle w:val="ListParagraph"/>
        <w:spacing w:line="276" w:lineRule="auto"/>
        <w:rPr>
          <w:lang w:val="en-US"/>
        </w:rPr>
      </w:pPr>
    </w:p>
    <w:p w14:paraId="211C970B" w14:textId="77777777" w:rsidR="00A32DF1" w:rsidRDefault="00A32DF1" w:rsidP="00A32DF1">
      <w:pPr>
        <w:pStyle w:val="ListParagraph"/>
        <w:spacing w:line="276" w:lineRule="auto"/>
        <w:rPr>
          <w:lang w:val="en-US"/>
        </w:rPr>
      </w:pPr>
    </w:p>
    <w:p w14:paraId="56FCBAA9" w14:textId="77777777" w:rsidR="00A32DF1" w:rsidRDefault="00A32DF1" w:rsidP="00A32DF1">
      <w:pPr>
        <w:pStyle w:val="ListParagraph"/>
        <w:spacing w:line="276" w:lineRule="auto"/>
        <w:rPr>
          <w:lang w:val="en-US"/>
        </w:rPr>
      </w:pPr>
    </w:p>
    <w:p w14:paraId="49F4F762" w14:textId="77777777" w:rsidR="00A32DF1" w:rsidRDefault="00A32DF1" w:rsidP="00A32DF1">
      <w:pPr>
        <w:pStyle w:val="ListParagraph"/>
        <w:spacing w:line="276" w:lineRule="auto"/>
        <w:rPr>
          <w:lang w:val="en-US"/>
        </w:rPr>
      </w:pPr>
    </w:p>
    <w:p w14:paraId="3F8CF011" w14:textId="77777777" w:rsidR="00A32DF1" w:rsidRDefault="00A32DF1" w:rsidP="00A32DF1">
      <w:pPr>
        <w:pStyle w:val="ListParagraph"/>
        <w:spacing w:line="276" w:lineRule="auto"/>
        <w:rPr>
          <w:lang w:val="en-US"/>
        </w:rPr>
      </w:pPr>
    </w:p>
    <w:p w14:paraId="3C54211B" w14:textId="77777777" w:rsidR="00A32DF1" w:rsidRDefault="00A32DF1" w:rsidP="00A32DF1">
      <w:pPr>
        <w:pStyle w:val="ListParagraph"/>
        <w:spacing w:line="276" w:lineRule="auto"/>
        <w:rPr>
          <w:lang w:val="en-US"/>
        </w:rPr>
      </w:pPr>
    </w:p>
    <w:p w14:paraId="760F88E5" w14:textId="77777777" w:rsidR="00A32DF1" w:rsidRDefault="00A32DF1" w:rsidP="00A32DF1">
      <w:pPr>
        <w:pStyle w:val="ListParagraph"/>
        <w:spacing w:line="276" w:lineRule="auto"/>
        <w:rPr>
          <w:lang w:val="en-US"/>
        </w:rPr>
      </w:pPr>
    </w:p>
    <w:p w14:paraId="1FFDEB45" w14:textId="77777777" w:rsidR="00A32DF1" w:rsidRDefault="00A32DF1" w:rsidP="00A32DF1">
      <w:pPr>
        <w:pStyle w:val="ListParagraph"/>
        <w:spacing w:line="276" w:lineRule="auto"/>
        <w:rPr>
          <w:lang w:val="en-US"/>
        </w:rPr>
      </w:pPr>
    </w:p>
    <w:p w14:paraId="4A14D16F" w14:textId="77777777" w:rsidR="00A32DF1" w:rsidRDefault="00A32DF1" w:rsidP="00A32DF1">
      <w:pPr>
        <w:pStyle w:val="ListParagraph"/>
        <w:spacing w:line="276" w:lineRule="auto"/>
        <w:rPr>
          <w:lang w:val="en-US"/>
        </w:rPr>
      </w:pPr>
    </w:p>
    <w:p w14:paraId="1F587478" w14:textId="1BB35A54" w:rsidR="00A32DF1" w:rsidRPr="00A32DF1" w:rsidRDefault="00A32DF1" w:rsidP="00A32DF1">
      <w:pPr>
        <w:pStyle w:val="ListParagraph"/>
        <w:spacing w:line="276" w:lineRule="auto"/>
        <w:rPr>
          <w:b/>
          <w:bCs/>
          <w:lang w:val="en-GB"/>
        </w:rPr>
      </w:pPr>
      <w:r w:rsidRPr="00A32DF1">
        <w:rPr>
          <w:b/>
          <w:bCs/>
          <w:lang w:val="en-GB"/>
        </w:rPr>
        <w:lastRenderedPageBreak/>
        <w:t>The Nexus Between Recreational Resource Planning and Sustainable Tourism</w:t>
      </w:r>
    </w:p>
    <w:p w14:paraId="1F78D997" w14:textId="77777777" w:rsidR="00A32DF1" w:rsidRPr="00A32DF1" w:rsidRDefault="00A32DF1" w:rsidP="00A32DF1">
      <w:pPr>
        <w:pStyle w:val="ListParagraph"/>
        <w:spacing w:line="276" w:lineRule="auto"/>
        <w:rPr>
          <w:lang w:val="en-GB"/>
        </w:rPr>
      </w:pPr>
      <w:r w:rsidRPr="00A32DF1">
        <w:rPr>
          <w:lang w:val="en-GB"/>
        </w:rPr>
        <w:t>Recreational Resource Planning (RRP) and Sustainable Tourism are closely interconnected concepts that together support the long-term viability of tourism destinations. Recreational resources—such as parks, forests, coastal areas, heritage landscapes, and leisure facilities—form the physical and experiential foundation of tourism. Effective planning and management of these resources is essential to ensure that tourism development meets present recreational needs without compromising environmental integrity, social equity, or future use opportunities. Sustainable tourism provides the overarching framework within which recreational resources are planned, conserved, and utilized responsibly.</w:t>
      </w:r>
    </w:p>
    <w:p w14:paraId="7A403FF5" w14:textId="77777777" w:rsidR="00A32DF1" w:rsidRPr="00A32DF1" w:rsidRDefault="00A32DF1" w:rsidP="00A32DF1">
      <w:pPr>
        <w:pStyle w:val="ListParagraph"/>
        <w:spacing w:line="276" w:lineRule="auto"/>
        <w:rPr>
          <w:lang w:val="en-GB"/>
        </w:rPr>
      </w:pPr>
      <w:r w:rsidRPr="00A32DF1">
        <w:rPr>
          <w:lang w:val="en-GB"/>
        </w:rPr>
        <w:t xml:space="preserve">At its core, Recreational Resource Planning focuses on the </w:t>
      </w:r>
      <w:r w:rsidRPr="00A32DF1">
        <w:rPr>
          <w:b/>
          <w:bCs/>
          <w:lang w:val="en-GB"/>
        </w:rPr>
        <w:t>systematic assessment, allocation, and management of natural and built environments</w:t>
      </w:r>
      <w:r w:rsidRPr="00A32DF1">
        <w:rPr>
          <w:lang w:val="en-GB"/>
        </w:rPr>
        <w:t xml:space="preserve"> used for leisure and recreation. This includes zoning, carrying capacity assessment, infrastructure provision, and visitor management. Sustainable tourism aligns with these objectives by emphasizing balanced development that integrates environmental protection, economic benefits, and community well-being. Research highlights that poorly planned recreational use often leads to resource degradation, overcrowding, and conflicts between visitors and local communities, undermining destination sustainability (Buckley, 2012).</w:t>
      </w:r>
    </w:p>
    <w:p w14:paraId="0DE28C7F" w14:textId="77777777" w:rsidR="00A32DF1" w:rsidRPr="00A32DF1" w:rsidRDefault="00A32DF1" w:rsidP="00A32DF1">
      <w:pPr>
        <w:pStyle w:val="ListParagraph"/>
        <w:spacing w:line="276" w:lineRule="auto"/>
        <w:rPr>
          <w:lang w:val="en-GB"/>
        </w:rPr>
      </w:pPr>
      <w:r w:rsidRPr="00A32DF1">
        <w:rPr>
          <w:lang w:val="en-GB"/>
        </w:rPr>
        <w:t xml:space="preserve">One of the most important linkages between RRP and sustainable tourism is </w:t>
      </w:r>
      <w:r w:rsidRPr="00A32DF1">
        <w:rPr>
          <w:b/>
          <w:bCs/>
          <w:lang w:val="en-GB"/>
        </w:rPr>
        <w:t>environmental conservation</w:t>
      </w:r>
      <w:r w:rsidRPr="00A32DF1">
        <w:rPr>
          <w:lang w:val="en-GB"/>
        </w:rPr>
        <w:t>. Recreational planning helps identify sensitive ecosystems and establish appropriate use levels through tools such as protected areas, trail design, and seasonal access controls. Sustainable tourism depends on these planning measures to protect biodiversity, landscapes, and ecosystem services that attract visitors in the first place. Studies show that destinations integrating recreation planning with conservation strategies achieve higher resilience and long-term competitiveness (</w:t>
      </w:r>
      <w:proofErr w:type="spellStart"/>
      <w:r w:rsidRPr="00A32DF1">
        <w:rPr>
          <w:lang w:val="en-GB"/>
        </w:rPr>
        <w:t>Gössling</w:t>
      </w:r>
      <w:proofErr w:type="spellEnd"/>
      <w:r w:rsidRPr="00A32DF1">
        <w:rPr>
          <w:lang w:val="en-GB"/>
        </w:rPr>
        <w:t>, Hall, &amp; Weaver, 2011).</w:t>
      </w:r>
    </w:p>
    <w:p w14:paraId="4734AC98" w14:textId="77777777" w:rsidR="00A32DF1" w:rsidRPr="00A32DF1" w:rsidRDefault="00A32DF1" w:rsidP="00A32DF1">
      <w:pPr>
        <w:pStyle w:val="ListParagraph"/>
        <w:spacing w:line="276" w:lineRule="auto"/>
        <w:rPr>
          <w:lang w:val="en-GB"/>
        </w:rPr>
      </w:pPr>
      <w:r w:rsidRPr="00A32DF1">
        <w:rPr>
          <w:lang w:val="en-GB"/>
        </w:rPr>
        <w:t xml:space="preserve">Another key nexus lies in </w:t>
      </w:r>
      <w:r w:rsidRPr="00A32DF1">
        <w:rPr>
          <w:b/>
          <w:bCs/>
          <w:lang w:val="en-GB"/>
        </w:rPr>
        <w:t>visitor management and carrying capacity</w:t>
      </w:r>
      <w:r w:rsidRPr="00A32DF1">
        <w:rPr>
          <w:lang w:val="en-GB"/>
        </w:rPr>
        <w:t>. Recreational resource planning provides mechanisms to regulate visitor numbers, distribute use spatially and temporally, and minimize environmental and social impacts. Sustainable tourism adopts these mechanisms to maintain quality visitor experiences while preventing overuse. For example, controlled access to national parks, differentiated recreational zones, and infrastructure designed for low-impact use help balance tourism demand with resource limits. Without such planning, tourism growth can exceed the carrying capacity of recreational spaces, leading to degradation and declining visitor satisfaction.</w:t>
      </w:r>
    </w:p>
    <w:p w14:paraId="4ACE0F7F" w14:textId="77777777" w:rsidR="00A32DF1" w:rsidRPr="00A32DF1" w:rsidRDefault="00A32DF1" w:rsidP="00A32DF1">
      <w:pPr>
        <w:pStyle w:val="ListParagraph"/>
        <w:spacing w:line="276" w:lineRule="auto"/>
        <w:rPr>
          <w:lang w:val="en-GB"/>
        </w:rPr>
      </w:pPr>
      <w:r w:rsidRPr="00A32DF1">
        <w:rPr>
          <w:lang w:val="en-GB"/>
        </w:rPr>
        <w:t xml:space="preserve">Recreational Resource Planning also supports the </w:t>
      </w:r>
      <w:r w:rsidRPr="00A32DF1">
        <w:rPr>
          <w:b/>
          <w:bCs/>
          <w:lang w:val="en-GB"/>
        </w:rPr>
        <w:t>social dimension of sustainable tourism</w:t>
      </w:r>
      <w:r w:rsidRPr="00A32DF1">
        <w:rPr>
          <w:lang w:val="en-GB"/>
        </w:rPr>
        <w:t xml:space="preserve">. Recreational spaces are not solely tourism assets; they are shared by residents and visitors. Inclusive planning ensures equitable access, respects local values, and reduces conflicts between tourism and community use. Sustainable tourism frameworks emphasize stakeholder participation, and recreational planning </w:t>
      </w:r>
      <w:r w:rsidRPr="00A32DF1">
        <w:rPr>
          <w:lang w:val="en-GB"/>
        </w:rPr>
        <w:lastRenderedPageBreak/>
        <w:t>provides a practical platform for involving local communities in decision-making. Evidence suggests that destinations where residents benefit from well-managed recreational resources demonstrate higher levels of social acceptance of tourism (Bramwell &amp; Lane, 2011).</w:t>
      </w:r>
    </w:p>
    <w:p w14:paraId="5E355187" w14:textId="77777777" w:rsidR="00A32DF1" w:rsidRPr="00A32DF1" w:rsidRDefault="00A32DF1" w:rsidP="00A32DF1">
      <w:pPr>
        <w:pStyle w:val="ListParagraph"/>
        <w:spacing w:line="276" w:lineRule="auto"/>
        <w:rPr>
          <w:lang w:val="en-GB"/>
        </w:rPr>
      </w:pPr>
      <w:r w:rsidRPr="00A32DF1">
        <w:rPr>
          <w:lang w:val="en-GB"/>
        </w:rPr>
        <w:t xml:space="preserve">From an economic perspective, well-planned recreational resources contribute to </w:t>
      </w:r>
      <w:r w:rsidRPr="00A32DF1">
        <w:rPr>
          <w:b/>
          <w:bCs/>
          <w:lang w:val="en-GB"/>
        </w:rPr>
        <w:t>sustainable destination economies</w:t>
      </w:r>
      <w:r w:rsidRPr="00A32DF1">
        <w:rPr>
          <w:lang w:val="en-GB"/>
        </w:rPr>
        <w:t>. Recreational assets enhance destination attractiveness, extend visitor stays, and support diversified tourism products such as nature-based tourism, wellness tourism, and outdoor recreation. Sustainable tourism leverages these assets to generate income while reinvesting in maintenance and conservation. Long-term economic benefits are more stable when recreational resources are managed to avoid degradation and costly restoration (Buckley, 2012).</w:t>
      </w:r>
    </w:p>
    <w:p w14:paraId="3E859271" w14:textId="77777777" w:rsidR="00A32DF1" w:rsidRPr="00A32DF1" w:rsidRDefault="00A32DF1" w:rsidP="00A32DF1">
      <w:pPr>
        <w:pStyle w:val="ListParagraph"/>
        <w:spacing w:line="276" w:lineRule="auto"/>
        <w:rPr>
          <w:lang w:val="en-GB"/>
        </w:rPr>
      </w:pPr>
      <w:r w:rsidRPr="00A32DF1">
        <w:rPr>
          <w:lang w:val="en-GB"/>
        </w:rPr>
        <w:t xml:space="preserve">Finally, Recreational Resource Planning plays a strategic role in </w:t>
      </w:r>
      <w:r w:rsidRPr="00A32DF1">
        <w:rPr>
          <w:b/>
          <w:bCs/>
          <w:lang w:val="en-GB"/>
        </w:rPr>
        <w:t>climate adaptation and resilience</w:t>
      </w:r>
      <w:r w:rsidRPr="00A32DF1">
        <w:rPr>
          <w:lang w:val="en-GB"/>
        </w:rPr>
        <w:t xml:space="preserve">, which is increasingly central to sustainable tourism. Planning recreational infrastructure that is climate-resilient—such as nature-based trails, green spaces, and low-impact facilities—reduces vulnerability to environmental change. Sustainable tourism relies on adaptive planning approaches to safeguard recreational resources against climate-related risks, ensuring continued tourism viability (Scott, Hall, &amp; </w:t>
      </w:r>
      <w:proofErr w:type="spellStart"/>
      <w:r w:rsidRPr="00A32DF1">
        <w:rPr>
          <w:lang w:val="en-GB"/>
        </w:rPr>
        <w:t>Gössling</w:t>
      </w:r>
      <w:proofErr w:type="spellEnd"/>
      <w:r w:rsidRPr="00A32DF1">
        <w:rPr>
          <w:lang w:val="en-GB"/>
        </w:rPr>
        <w:t>, 2019).</w:t>
      </w:r>
    </w:p>
    <w:p w14:paraId="254FD032" w14:textId="77777777" w:rsidR="00A32DF1" w:rsidRPr="00A32DF1" w:rsidRDefault="00A32DF1" w:rsidP="00A32DF1">
      <w:pPr>
        <w:pStyle w:val="ListParagraph"/>
        <w:spacing w:line="276" w:lineRule="auto"/>
        <w:rPr>
          <w:lang w:val="en-GB"/>
        </w:rPr>
      </w:pPr>
      <w:r w:rsidRPr="00A32DF1">
        <w:rPr>
          <w:lang w:val="en-GB"/>
        </w:rPr>
        <w:t>In conclusion, Recreational Resource Planning and Sustainable Tourism are mutually reinforcing. Recreational planning provides the operational tools to manage leisure spaces responsibly, while sustainable tourism offers the guiding principles that ensure long-term environmental, social, and economic balance. Destinations that integrate recreational resource planning into sustainable tourism strategies are better equipped to protect natural assets, enhance visitor experiences, support local communities, and maintain destination competitiveness over time.</w:t>
      </w:r>
    </w:p>
    <w:p w14:paraId="01F2CB29" w14:textId="23AEBD1F" w:rsidR="00A32DF1" w:rsidRPr="00A32DF1" w:rsidRDefault="00A32DF1" w:rsidP="00A32DF1">
      <w:pPr>
        <w:pStyle w:val="ListParagraph"/>
        <w:spacing w:line="276" w:lineRule="auto"/>
        <w:rPr>
          <w:lang w:val="en-GB"/>
        </w:rPr>
      </w:pPr>
    </w:p>
    <w:p w14:paraId="5A6891D3" w14:textId="77777777" w:rsidR="00A32DF1" w:rsidRPr="00A32DF1" w:rsidRDefault="00A32DF1" w:rsidP="00A32DF1">
      <w:pPr>
        <w:pStyle w:val="ListParagraph"/>
        <w:spacing w:line="276" w:lineRule="auto"/>
        <w:ind w:left="0"/>
        <w:rPr>
          <w:b/>
          <w:bCs/>
          <w:lang w:val="en-GB"/>
        </w:rPr>
      </w:pPr>
      <w:r w:rsidRPr="00A32DF1">
        <w:rPr>
          <w:b/>
          <w:bCs/>
          <w:lang w:val="en-GB"/>
        </w:rPr>
        <w:t>References (APA – DOI Based)</w:t>
      </w:r>
    </w:p>
    <w:p w14:paraId="11ADE2DF" w14:textId="77777777" w:rsidR="00A32DF1" w:rsidRDefault="00A32DF1" w:rsidP="00A32DF1">
      <w:pPr>
        <w:pStyle w:val="ListParagraph"/>
        <w:spacing w:line="276" w:lineRule="auto"/>
        <w:ind w:left="0"/>
        <w:rPr>
          <w:lang w:val="en-GB"/>
        </w:rPr>
      </w:pPr>
    </w:p>
    <w:p w14:paraId="78AF32C1" w14:textId="019A25EF" w:rsidR="00A32DF1" w:rsidRPr="00A32DF1" w:rsidRDefault="00A32DF1" w:rsidP="00A32DF1">
      <w:pPr>
        <w:pStyle w:val="ListParagraph"/>
        <w:spacing w:line="276" w:lineRule="auto"/>
        <w:ind w:left="0"/>
        <w:rPr>
          <w:lang w:val="en-GB"/>
        </w:rPr>
      </w:pPr>
      <w:r w:rsidRPr="00A32DF1">
        <w:rPr>
          <w:lang w:val="en-GB"/>
        </w:rPr>
        <w:t xml:space="preserve">Bramwell, B., &amp; Lane, B. (2011). Critical research on the governance of tourism and sustainability. </w:t>
      </w:r>
      <w:r w:rsidRPr="00A32DF1">
        <w:rPr>
          <w:i/>
          <w:iCs/>
          <w:lang w:val="en-GB"/>
        </w:rPr>
        <w:t>Journal of Sustainable Tourism, 19</w:t>
      </w:r>
      <w:r w:rsidRPr="00A32DF1">
        <w:rPr>
          <w:lang w:val="en-GB"/>
        </w:rPr>
        <w:t>(4–5), 411–421.</w:t>
      </w:r>
      <w:r w:rsidRPr="00A32DF1">
        <w:rPr>
          <w:lang w:val="en-GB"/>
        </w:rPr>
        <w:br/>
      </w:r>
      <w:hyperlink r:id="rId6" w:tgtFrame="_new" w:history="1">
        <w:r w:rsidRPr="00A32DF1">
          <w:rPr>
            <w:rStyle w:val="Hyperlink"/>
            <w:lang w:val="en-GB"/>
          </w:rPr>
          <w:t>https://doi.org/10.1080/09669582.2011.580586</w:t>
        </w:r>
      </w:hyperlink>
    </w:p>
    <w:p w14:paraId="334D49BB" w14:textId="77777777" w:rsidR="00A32DF1" w:rsidRDefault="00A32DF1" w:rsidP="00A32DF1">
      <w:pPr>
        <w:pStyle w:val="ListParagraph"/>
        <w:spacing w:line="276" w:lineRule="auto"/>
        <w:ind w:left="0"/>
        <w:rPr>
          <w:lang w:val="en-GB"/>
        </w:rPr>
      </w:pPr>
    </w:p>
    <w:p w14:paraId="743B048E" w14:textId="56E53C75" w:rsidR="00A32DF1" w:rsidRPr="00A32DF1" w:rsidRDefault="00A32DF1" w:rsidP="00A32DF1">
      <w:pPr>
        <w:pStyle w:val="ListParagraph"/>
        <w:spacing w:line="276" w:lineRule="auto"/>
        <w:ind w:left="0"/>
        <w:rPr>
          <w:lang w:val="en-GB"/>
        </w:rPr>
      </w:pPr>
      <w:r w:rsidRPr="00A32DF1">
        <w:rPr>
          <w:lang w:val="en-GB"/>
        </w:rPr>
        <w:t xml:space="preserve">Buckley, R. (2012). Sustainable tourism: Research and reality. </w:t>
      </w:r>
      <w:r w:rsidRPr="00A32DF1">
        <w:rPr>
          <w:i/>
          <w:iCs/>
          <w:lang w:val="en-GB"/>
        </w:rPr>
        <w:t>Annals of Tourism Research, 39</w:t>
      </w:r>
      <w:r w:rsidRPr="00A32DF1">
        <w:rPr>
          <w:lang w:val="en-GB"/>
        </w:rPr>
        <w:t>(2), 528–546.</w:t>
      </w:r>
      <w:r w:rsidRPr="00A32DF1">
        <w:rPr>
          <w:lang w:val="en-GB"/>
        </w:rPr>
        <w:br/>
      </w:r>
      <w:hyperlink r:id="rId7" w:tgtFrame="_new" w:history="1">
        <w:r w:rsidRPr="00A32DF1">
          <w:rPr>
            <w:rStyle w:val="Hyperlink"/>
            <w:lang w:val="en-GB"/>
          </w:rPr>
          <w:t>https://doi.org/10.1016/j.annals.2012.02.003</w:t>
        </w:r>
      </w:hyperlink>
    </w:p>
    <w:p w14:paraId="55D686F0" w14:textId="77777777" w:rsidR="00A32DF1" w:rsidRDefault="00A32DF1" w:rsidP="00A32DF1">
      <w:pPr>
        <w:pStyle w:val="ListParagraph"/>
        <w:spacing w:line="276" w:lineRule="auto"/>
        <w:ind w:left="0"/>
        <w:rPr>
          <w:lang w:val="en-GB"/>
        </w:rPr>
      </w:pPr>
    </w:p>
    <w:p w14:paraId="172AB1E7" w14:textId="37125869" w:rsidR="00A32DF1" w:rsidRPr="00A32DF1" w:rsidRDefault="00A32DF1" w:rsidP="00A32DF1">
      <w:pPr>
        <w:pStyle w:val="ListParagraph"/>
        <w:spacing w:line="276" w:lineRule="auto"/>
        <w:ind w:left="0"/>
        <w:rPr>
          <w:lang w:val="en-GB"/>
        </w:rPr>
      </w:pPr>
      <w:proofErr w:type="spellStart"/>
      <w:r w:rsidRPr="00A32DF1">
        <w:rPr>
          <w:lang w:val="en-GB"/>
        </w:rPr>
        <w:t>Gössling</w:t>
      </w:r>
      <w:proofErr w:type="spellEnd"/>
      <w:r w:rsidRPr="00A32DF1">
        <w:rPr>
          <w:lang w:val="en-GB"/>
        </w:rPr>
        <w:t xml:space="preserve">, S., Hall, C. M., &amp; Weaver, D. (2011). Sustainable tourism futures. </w:t>
      </w:r>
      <w:r w:rsidRPr="00A32DF1">
        <w:rPr>
          <w:i/>
          <w:iCs/>
          <w:lang w:val="en-GB"/>
        </w:rPr>
        <w:t>Tourism Recreation Research, 36</w:t>
      </w:r>
      <w:r w:rsidRPr="00A32DF1">
        <w:rPr>
          <w:lang w:val="en-GB"/>
        </w:rPr>
        <w:t>(1), 9–22.</w:t>
      </w:r>
      <w:r w:rsidRPr="00A32DF1">
        <w:rPr>
          <w:lang w:val="en-GB"/>
        </w:rPr>
        <w:br/>
        <w:t>https://doi.org/10.1080/02508281.2011.11081656</w:t>
      </w:r>
    </w:p>
    <w:p w14:paraId="7F463202" w14:textId="77777777" w:rsidR="00A32DF1" w:rsidRDefault="00A32DF1" w:rsidP="00A32DF1">
      <w:pPr>
        <w:pStyle w:val="ListParagraph"/>
        <w:spacing w:line="276" w:lineRule="auto"/>
        <w:ind w:left="0"/>
        <w:rPr>
          <w:lang w:val="en-GB"/>
        </w:rPr>
      </w:pPr>
    </w:p>
    <w:p w14:paraId="5BF79733" w14:textId="22039A61" w:rsidR="00A32DF1" w:rsidRPr="00A32DF1" w:rsidRDefault="00A32DF1" w:rsidP="00A32DF1">
      <w:pPr>
        <w:pStyle w:val="ListParagraph"/>
        <w:spacing w:line="276" w:lineRule="auto"/>
        <w:ind w:left="0"/>
        <w:rPr>
          <w:lang w:val="en-GB"/>
        </w:rPr>
      </w:pPr>
      <w:r w:rsidRPr="00A32DF1">
        <w:rPr>
          <w:lang w:val="en-GB"/>
        </w:rPr>
        <w:lastRenderedPageBreak/>
        <w:t xml:space="preserve">Scott, D., Hall, C. M., &amp; </w:t>
      </w:r>
      <w:proofErr w:type="spellStart"/>
      <w:r w:rsidRPr="00A32DF1">
        <w:rPr>
          <w:lang w:val="en-GB"/>
        </w:rPr>
        <w:t>Gössling</w:t>
      </w:r>
      <w:proofErr w:type="spellEnd"/>
      <w:r w:rsidRPr="00A32DF1">
        <w:rPr>
          <w:lang w:val="en-GB"/>
        </w:rPr>
        <w:t xml:space="preserve">, S. (2019). Global tourism vulnerability to climate change. </w:t>
      </w:r>
      <w:r w:rsidRPr="00A32DF1">
        <w:rPr>
          <w:i/>
          <w:iCs/>
          <w:lang w:val="en-GB"/>
        </w:rPr>
        <w:t>Annals of Tourism Research, 77</w:t>
      </w:r>
      <w:r w:rsidRPr="00A32DF1">
        <w:rPr>
          <w:lang w:val="en-GB"/>
        </w:rPr>
        <w:t>, 49–61.</w:t>
      </w:r>
      <w:r w:rsidRPr="00A32DF1">
        <w:rPr>
          <w:lang w:val="en-GB"/>
        </w:rPr>
        <w:br/>
      </w:r>
      <w:hyperlink r:id="rId8" w:tgtFrame="_new" w:history="1">
        <w:r w:rsidRPr="00A32DF1">
          <w:rPr>
            <w:rStyle w:val="Hyperlink"/>
            <w:lang w:val="en-GB"/>
          </w:rPr>
          <w:t>https://doi.org/10.1016/j.annals.2019.05.007</w:t>
        </w:r>
      </w:hyperlink>
    </w:p>
    <w:p w14:paraId="55DC7894" w14:textId="77777777" w:rsidR="00A32DF1" w:rsidRPr="00BD5EF8" w:rsidRDefault="00A32DF1" w:rsidP="00A32DF1">
      <w:pPr>
        <w:pStyle w:val="ListParagraph"/>
        <w:spacing w:line="276" w:lineRule="auto"/>
        <w:rPr>
          <w:lang w:val="en-US"/>
        </w:rPr>
      </w:pPr>
    </w:p>
    <w:sectPr w:rsidR="00A32DF1" w:rsidRPr="00BD5E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0D114E4-3964-4FEB-A7AF-507F598F8822}"/>
    <w:embedBold r:id="rId2" w:fontKey="{12B219B6-8A9F-44CF-A7AE-ACD5E3A8577A}"/>
    <w:embedItalic r:id="rId3" w:fontKey="{E8B5840E-8581-49A3-A9EA-9623564A1F4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729F966-06E9-4684-B7B7-D5AB0ED4E6E4}"/>
  </w:font>
  <w:font w:name="Calibri Light">
    <w:panose1 w:val="020F0302020204030204"/>
    <w:charset w:val="00"/>
    <w:family w:val="swiss"/>
    <w:pitch w:val="variable"/>
    <w:sig w:usb0="E4002EFF" w:usb1="C000247B" w:usb2="00000009" w:usb3="00000000" w:csb0="000001FF" w:csb1="00000000"/>
    <w:embedRegular r:id="rId5" w:fontKey="{F4D5DE0C-93EE-48FA-A663-D75803EECE9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05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D6A3E"/>
    <w:rsid w:val="00844EC2"/>
    <w:rsid w:val="008516FE"/>
    <w:rsid w:val="00903466"/>
    <w:rsid w:val="009C1D0A"/>
    <w:rsid w:val="00A044F7"/>
    <w:rsid w:val="00A32DF1"/>
    <w:rsid w:val="00A8150E"/>
    <w:rsid w:val="00A95CBF"/>
    <w:rsid w:val="00AC1565"/>
    <w:rsid w:val="00B20343"/>
    <w:rsid w:val="00B85EA7"/>
    <w:rsid w:val="00BD5EF8"/>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0678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 w:type="character" w:styleId="Hyperlink">
    <w:name w:val="Hyperlink"/>
    <w:basedOn w:val="DefaultParagraphFont"/>
    <w:uiPriority w:val="99"/>
    <w:unhideWhenUsed/>
    <w:rsid w:val="00A32DF1"/>
    <w:rPr>
      <w:color w:val="0563C1" w:themeColor="hyperlink"/>
      <w:u w:val="single"/>
    </w:rPr>
  </w:style>
  <w:style w:type="character" w:styleId="UnresolvedMention">
    <w:name w:val="Unresolved Mention"/>
    <w:basedOn w:val="DefaultParagraphFont"/>
    <w:uiPriority w:val="99"/>
    <w:semiHidden/>
    <w:unhideWhenUsed/>
    <w:rsid w:val="00A32D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nnals.2019.05.007" TargetMode="External"/><Relationship Id="rId3" Type="http://schemas.openxmlformats.org/officeDocument/2006/relationships/settings" Target="settings.xml"/><Relationship Id="rId7" Type="http://schemas.openxmlformats.org/officeDocument/2006/relationships/hyperlink" Target="https://doi.org/10.1016/j.annals.2012.02.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923</Words>
  <Characters>5267</Characters>
  <Application>Microsoft Office Word</Application>
  <DocSecurity>0</DocSecurity>
  <Lines>43</Lines>
  <Paragraphs>12</Paragraphs>
  <ScaleCrop>false</ScaleCrop>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2026-02-10T08:25:00Z</dcterms:created>
  <dcterms:modified xsi:type="dcterms:W3CDTF">2026-02-10T08:25:00Z</dcterms:modified>
</cp:coreProperties>
</file>