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41DE93">
      <w:pPr>
        <w:jc w:val="right"/>
        <w:rPr>
          <w:rFonts w:hint="default" w:ascii="Times New Roman" w:hAnsi="Times New Roman" w:cs="Times New Roman"/>
          <w:b/>
          <w:bCs/>
          <w:sz w:val="44"/>
          <w:szCs w:val="44"/>
          <w:lang w:val="en-GB"/>
        </w:rPr>
      </w:pPr>
      <w:r>
        <w:rPr>
          <w:rFonts w:hint="default" w:ascii="Times New Roman" w:hAnsi="Times New Roman" w:cs="Times New Roman"/>
          <w:b/>
          <w:bCs/>
          <w:sz w:val="44"/>
          <w:szCs w:val="44"/>
          <w:lang w:val="en-GB"/>
        </w:rPr>
        <w:drawing>
          <wp:inline distT="0" distB="0" distL="114300" distR="114300">
            <wp:extent cx="2110105" cy="1663065"/>
            <wp:effectExtent l="0" t="0" r="4445" b="3810"/>
            <wp:docPr id="1" name="Picture 1" descr="Screenshot 2026-09-21 01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6-09-21 010407"/>
                    <pic:cNvPicPr>
                      <a:picLocks noChangeAspect="1"/>
                    </pic:cNvPicPr>
                  </pic:nvPicPr>
                  <pic:blipFill>
                    <a:blip r:embed="rId6"/>
                    <a:stretch>
                      <a:fillRect/>
                    </a:stretch>
                  </pic:blipFill>
                  <pic:spPr>
                    <a:xfrm>
                      <a:off x="0" y="0"/>
                      <a:ext cx="2110105" cy="1663065"/>
                    </a:xfrm>
                    <a:prstGeom prst="rect">
                      <a:avLst/>
                    </a:prstGeom>
                  </pic:spPr>
                </pic:pic>
              </a:graphicData>
            </a:graphic>
          </wp:inline>
        </w:drawing>
      </w:r>
    </w:p>
    <w:p w14:paraId="10A2CE13">
      <w:pPr>
        <w:jc w:val="center"/>
        <w:rPr>
          <w:rFonts w:ascii="Times New Roman" w:hAnsi="Times New Roman" w:cs="Times New Roman"/>
          <w:b/>
          <w:bCs/>
          <w:sz w:val="52"/>
          <w:szCs w:val="52"/>
        </w:rPr>
      </w:pPr>
      <w:r>
        <w:rPr>
          <w:rFonts w:ascii="Times New Roman" w:hAnsi="Times New Roman" w:cs="Times New Roman"/>
          <w:b/>
          <w:bCs/>
          <w:sz w:val="52"/>
          <w:szCs w:val="52"/>
        </w:rPr>
        <w:t>Destination</w:t>
      </w:r>
      <w:r>
        <w:rPr>
          <w:rFonts w:hint="default" w:ascii="Times New Roman" w:hAnsi="Times New Roman" w:cs="Times New Roman"/>
          <w:b/>
          <w:bCs/>
          <w:sz w:val="52"/>
          <w:szCs w:val="52"/>
          <w:lang w:val="en-GB"/>
        </w:rPr>
        <w:t xml:space="preserve"> </w:t>
      </w:r>
      <w:r>
        <w:rPr>
          <w:rFonts w:ascii="Times New Roman" w:hAnsi="Times New Roman" w:cs="Times New Roman"/>
          <w:b/>
          <w:bCs/>
          <w:sz w:val="52"/>
          <w:szCs w:val="52"/>
        </w:rPr>
        <w:t>Carrying Capacity, Visitor Management and Zoning Strategies: A Sustainable Tourism Plan for Machu Picchu, Peru</w:t>
      </w:r>
    </w:p>
    <w:p w14:paraId="277F4A38">
      <w:pPr>
        <w:jc w:val="center"/>
        <w:rPr>
          <w:rFonts w:ascii="Times New Roman" w:hAnsi="Times New Roman" w:cs="Times New Roman"/>
          <w:b/>
          <w:bCs/>
          <w:sz w:val="44"/>
          <w:szCs w:val="44"/>
        </w:rPr>
      </w:pPr>
    </w:p>
    <w:p w14:paraId="50C85D48">
      <w:pPr>
        <w:rPr>
          <w:rFonts w:ascii="Times New Roman" w:hAnsi="Times New Roman" w:cs="Times New Roman"/>
          <w:sz w:val="44"/>
          <w:szCs w:val="44"/>
        </w:rPr>
      </w:pPr>
      <w:r>
        <w:rPr>
          <w:rFonts w:ascii="Times New Roman" w:hAnsi="Times New Roman" w:cs="Times New Roman"/>
          <w:b/>
          <w:bCs/>
          <w:sz w:val="44"/>
          <w:szCs w:val="44"/>
        </w:rPr>
        <w:t>Student Name:</w:t>
      </w:r>
      <w:r>
        <w:rPr>
          <w:rFonts w:ascii="Times New Roman" w:hAnsi="Times New Roman" w:cs="Times New Roman"/>
          <w:sz w:val="44"/>
          <w:szCs w:val="44"/>
        </w:rPr>
        <w:t>Monika</w:t>
      </w:r>
      <w:r>
        <w:rPr>
          <w:rFonts w:hint="default" w:ascii="Times New Roman" w:hAnsi="Times New Roman" w:cs="Times New Roman"/>
          <w:sz w:val="44"/>
          <w:szCs w:val="44"/>
          <w:lang w:val="en-GB"/>
        </w:rPr>
        <w:t xml:space="preserve"> Moni</w:t>
      </w:r>
      <w:bookmarkStart w:id="0" w:name="_GoBack"/>
      <w:bookmarkEnd w:id="0"/>
      <w:r>
        <w:rPr>
          <w:rFonts w:hint="default" w:ascii="Times New Roman" w:hAnsi="Times New Roman" w:cs="Times New Roman"/>
          <w:sz w:val="44"/>
          <w:szCs w:val="44"/>
          <w:lang w:val="en-GB"/>
        </w:rPr>
        <w:t>ka</w:t>
      </w:r>
      <w:r>
        <w:rPr>
          <w:rFonts w:ascii="Times New Roman" w:hAnsi="Times New Roman" w:cs="Times New Roman"/>
          <w:sz w:val="44"/>
          <w:szCs w:val="44"/>
        </w:rPr>
        <w:br w:type="textWrapping"/>
      </w:r>
      <w:r>
        <w:rPr>
          <w:rFonts w:ascii="Times New Roman" w:hAnsi="Times New Roman" w:cs="Times New Roman"/>
          <w:b/>
          <w:bCs/>
          <w:sz w:val="44"/>
          <w:szCs w:val="44"/>
        </w:rPr>
        <w:t>Student ID:</w:t>
      </w:r>
      <w:r>
        <w:rPr>
          <w:rFonts w:ascii="Times New Roman" w:hAnsi="Times New Roman" w:cs="Times New Roman"/>
          <w:sz w:val="44"/>
          <w:szCs w:val="44"/>
        </w:rPr>
        <w:t>DE240147</w:t>
      </w:r>
      <w:r>
        <w:rPr>
          <w:rFonts w:ascii="Times New Roman" w:hAnsi="Times New Roman" w:cs="Times New Roman"/>
          <w:sz w:val="44"/>
          <w:szCs w:val="44"/>
        </w:rPr>
        <w:br w:type="textWrapping"/>
      </w:r>
      <w:r>
        <w:rPr>
          <w:rFonts w:ascii="Times New Roman" w:hAnsi="Times New Roman" w:cs="Times New Roman"/>
          <w:b/>
          <w:bCs/>
          <w:sz w:val="44"/>
          <w:szCs w:val="44"/>
        </w:rPr>
        <w:t>Module:</w:t>
      </w:r>
      <w:r>
        <w:rPr>
          <w:rFonts w:ascii="Times New Roman" w:hAnsi="Times New Roman" w:cs="Times New Roman"/>
          <w:sz w:val="44"/>
          <w:szCs w:val="44"/>
        </w:rPr>
        <w:t xml:space="preserve"> Planning and Management of Sustainable Tourism Spaces</w:t>
      </w:r>
      <w:r>
        <w:rPr>
          <w:rFonts w:ascii="Times New Roman" w:hAnsi="Times New Roman" w:cs="Times New Roman"/>
          <w:sz w:val="44"/>
          <w:szCs w:val="44"/>
        </w:rPr>
        <w:br w:type="textWrapping"/>
      </w:r>
    </w:p>
    <w:p w14:paraId="0277F6CB">
      <w:pPr>
        <w:rPr>
          <w:rFonts w:ascii="Times New Roman" w:hAnsi="Times New Roman" w:cs="Times New Roman"/>
        </w:rPr>
      </w:pPr>
    </w:p>
    <w:p w14:paraId="095624D1">
      <w:pPr>
        <w:rPr>
          <w:rFonts w:ascii="Times New Roman" w:hAnsi="Times New Roman" w:cs="Times New Roman"/>
          <w:b/>
          <w:bCs/>
        </w:rPr>
      </w:pPr>
    </w:p>
    <w:p w14:paraId="4C72F190">
      <w:pPr>
        <w:rPr>
          <w:rFonts w:ascii="Times New Roman" w:hAnsi="Times New Roman" w:cs="Times New Roman"/>
          <w:b/>
          <w:bCs/>
        </w:rPr>
      </w:pPr>
    </w:p>
    <w:p w14:paraId="456529B5">
      <w:pPr>
        <w:rPr>
          <w:rFonts w:ascii="Times New Roman" w:hAnsi="Times New Roman" w:cs="Times New Roman"/>
          <w:b/>
          <w:bCs/>
        </w:rPr>
      </w:pPr>
    </w:p>
    <w:p w14:paraId="7AC095DA">
      <w:pPr>
        <w:rPr>
          <w:rFonts w:ascii="Times New Roman" w:hAnsi="Times New Roman" w:cs="Times New Roman"/>
          <w:b/>
          <w:bCs/>
          <w:sz w:val="16"/>
          <w:szCs w:val="16"/>
        </w:rPr>
      </w:pPr>
      <w:r>
        <w:rPr>
          <w:rFonts w:ascii="Times New Roman" w:hAnsi="Times New Roman" w:cs="Times New Roman"/>
          <w:b/>
          <w:bCs/>
        </w:rPr>
        <w:br w:type="page"/>
      </w:r>
    </w:p>
    <w:p w14:paraId="3BDF5EA5">
      <w:pPr>
        <w:rPr>
          <w:rFonts w:ascii="Times New Roman" w:hAnsi="Times New Roman" w:cs="Times New Roman"/>
          <w:b/>
          <w:bCs/>
          <w:sz w:val="48"/>
          <w:szCs w:val="48"/>
        </w:rPr>
      </w:pPr>
      <w:r>
        <w:rPr>
          <w:rFonts w:ascii="Times New Roman" w:hAnsi="Times New Roman" w:cs="Times New Roman"/>
          <w:b/>
          <w:bCs/>
          <w:sz w:val="48"/>
          <w:szCs w:val="48"/>
        </w:rPr>
        <w:t>INDEX</w:t>
      </w:r>
    </w:p>
    <w:p w14:paraId="3481C21D">
      <w:pPr>
        <w:rPr>
          <w:rFonts w:ascii="Times New Roman" w:hAnsi="Times New Roman" w:cs="Times New Roman"/>
          <w:b/>
          <w:bCs/>
          <w:sz w:val="48"/>
          <w:szCs w:val="48"/>
        </w:rPr>
      </w:pPr>
    </w:p>
    <w:p w14:paraId="605B270D">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Executive Summary ........................................ </w:t>
      </w:r>
      <w:r>
        <w:rPr>
          <w:rFonts w:ascii="Times New Roman" w:hAnsi="Times New Roman" w:cs="Times New Roman"/>
          <w:b/>
          <w:bCs/>
          <w:sz w:val="28"/>
          <w:szCs w:val="28"/>
        </w:rPr>
        <w:t>3</w:t>
      </w:r>
    </w:p>
    <w:p w14:paraId="23F60F17">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Introduction ..................................................... </w:t>
      </w:r>
      <w:r>
        <w:rPr>
          <w:rFonts w:ascii="Times New Roman" w:hAnsi="Times New Roman" w:cs="Times New Roman"/>
          <w:b/>
          <w:bCs/>
          <w:sz w:val="28"/>
          <w:szCs w:val="28"/>
        </w:rPr>
        <w:t>3</w:t>
      </w:r>
    </w:p>
    <w:p w14:paraId="31ADB861">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Destination Baseline and Impact Assessment .... </w:t>
      </w:r>
      <w:r>
        <w:rPr>
          <w:rFonts w:ascii="Times New Roman" w:hAnsi="Times New Roman" w:cs="Times New Roman"/>
          <w:b/>
          <w:bCs/>
          <w:sz w:val="28"/>
          <w:szCs w:val="28"/>
        </w:rPr>
        <w:t>5</w:t>
      </w:r>
      <w:r>
        <w:rPr>
          <w:rFonts w:ascii="Times New Roman" w:hAnsi="Times New Roman" w:cs="Times New Roman"/>
          <w:sz w:val="28"/>
          <w:szCs w:val="28"/>
        </w:rPr>
        <w:br w:type="textWrapping"/>
      </w:r>
      <w:r>
        <w:rPr>
          <w:rFonts w:ascii="Times New Roman" w:hAnsi="Times New Roman" w:cs="Times New Roman"/>
          <w:sz w:val="28"/>
          <w:szCs w:val="28"/>
        </w:rPr>
        <w:t xml:space="preserve">3.1 Destination Background ................................ </w:t>
      </w:r>
      <w:r>
        <w:rPr>
          <w:rFonts w:ascii="Times New Roman" w:hAnsi="Times New Roman" w:cs="Times New Roman"/>
          <w:b/>
          <w:bCs/>
          <w:sz w:val="28"/>
          <w:szCs w:val="28"/>
        </w:rPr>
        <w:t>5</w:t>
      </w:r>
      <w:r>
        <w:rPr>
          <w:rFonts w:ascii="Times New Roman" w:hAnsi="Times New Roman" w:cs="Times New Roman"/>
          <w:sz w:val="28"/>
          <w:szCs w:val="28"/>
        </w:rPr>
        <w:br w:type="textWrapping"/>
      </w:r>
      <w:r>
        <w:rPr>
          <w:rFonts w:ascii="Times New Roman" w:hAnsi="Times New Roman" w:cs="Times New Roman"/>
          <w:sz w:val="28"/>
          <w:szCs w:val="28"/>
        </w:rPr>
        <w:t xml:space="preserve">3.2 Environmental Impacts ................................... </w:t>
      </w:r>
      <w:r>
        <w:rPr>
          <w:rFonts w:ascii="Times New Roman" w:hAnsi="Times New Roman" w:cs="Times New Roman"/>
          <w:b/>
          <w:bCs/>
          <w:sz w:val="28"/>
          <w:szCs w:val="28"/>
        </w:rPr>
        <w:t>6</w:t>
      </w:r>
      <w:r>
        <w:rPr>
          <w:rFonts w:ascii="Times New Roman" w:hAnsi="Times New Roman" w:cs="Times New Roman"/>
          <w:sz w:val="28"/>
          <w:szCs w:val="28"/>
        </w:rPr>
        <w:br w:type="textWrapping"/>
      </w:r>
      <w:r>
        <w:rPr>
          <w:rFonts w:ascii="Times New Roman" w:hAnsi="Times New Roman" w:cs="Times New Roman"/>
          <w:sz w:val="28"/>
          <w:szCs w:val="28"/>
        </w:rPr>
        <w:t xml:space="preserve">3.3 Socio-Cultural Impacts ................................... </w:t>
      </w:r>
      <w:r>
        <w:rPr>
          <w:rFonts w:ascii="Times New Roman" w:hAnsi="Times New Roman" w:cs="Times New Roman"/>
          <w:b/>
          <w:bCs/>
          <w:sz w:val="28"/>
          <w:szCs w:val="28"/>
        </w:rPr>
        <w:t>7</w:t>
      </w:r>
      <w:r>
        <w:rPr>
          <w:rFonts w:ascii="Times New Roman" w:hAnsi="Times New Roman" w:cs="Times New Roman"/>
          <w:sz w:val="28"/>
          <w:szCs w:val="28"/>
        </w:rPr>
        <w:br w:type="textWrapping"/>
      </w:r>
      <w:r>
        <w:rPr>
          <w:rFonts w:ascii="Times New Roman" w:hAnsi="Times New Roman" w:cs="Times New Roman"/>
          <w:sz w:val="28"/>
          <w:szCs w:val="28"/>
        </w:rPr>
        <w:t xml:space="preserve">3.4 Economic Impacts ........................................... </w:t>
      </w:r>
      <w:r>
        <w:rPr>
          <w:rFonts w:ascii="Times New Roman" w:hAnsi="Times New Roman" w:cs="Times New Roman"/>
          <w:b/>
          <w:bCs/>
          <w:sz w:val="28"/>
          <w:szCs w:val="28"/>
        </w:rPr>
        <w:t>8</w:t>
      </w:r>
    </w:p>
    <w:p w14:paraId="70871E9A">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Theoretical and Spatial Planning Framework ..... </w:t>
      </w:r>
      <w:r>
        <w:rPr>
          <w:rFonts w:ascii="Times New Roman" w:hAnsi="Times New Roman" w:cs="Times New Roman"/>
          <w:b/>
          <w:bCs/>
          <w:sz w:val="28"/>
          <w:szCs w:val="28"/>
        </w:rPr>
        <w:t>9</w:t>
      </w:r>
      <w:r>
        <w:rPr>
          <w:rFonts w:ascii="Times New Roman" w:hAnsi="Times New Roman" w:cs="Times New Roman"/>
          <w:sz w:val="28"/>
          <w:szCs w:val="28"/>
        </w:rPr>
        <w:br w:type="textWrapping"/>
      </w:r>
      <w:r>
        <w:rPr>
          <w:rFonts w:ascii="Times New Roman" w:hAnsi="Times New Roman" w:cs="Times New Roman"/>
          <w:sz w:val="28"/>
          <w:szCs w:val="28"/>
        </w:rPr>
        <w:t xml:space="preserve">4.1 Tourism Carrying Capacity Assessment ............. </w:t>
      </w:r>
      <w:r>
        <w:rPr>
          <w:rFonts w:ascii="Times New Roman" w:hAnsi="Times New Roman" w:cs="Times New Roman"/>
          <w:b/>
          <w:bCs/>
          <w:sz w:val="28"/>
          <w:szCs w:val="28"/>
        </w:rPr>
        <w:t>9</w:t>
      </w:r>
      <w:r>
        <w:rPr>
          <w:rFonts w:ascii="Times New Roman" w:hAnsi="Times New Roman" w:cs="Times New Roman"/>
          <w:sz w:val="28"/>
          <w:szCs w:val="28"/>
        </w:rPr>
        <w:br w:type="textWrapping"/>
      </w:r>
      <w:r>
        <w:rPr>
          <w:rFonts w:ascii="Times New Roman" w:hAnsi="Times New Roman" w:cs="Times New Roman"/>
          <w:sz w:val="28"/>
          <w:szCs w:val="28"/>
        </w:rPr>
        <w:t xml:space="preserve">4.2 Limits of Acceptable Change ............................ </w:t>
      </w:r>
      <w:r>
        <w:rPr>
          <w:rFonts w:ascii="Times New Roman" w:hAnsi="Times New Roman" w:cs="Times New Roman"/>
          <w:b/>
          <w:bCs/>
          <w:sz w:val="28"/>
          <w:szCs w:val="28"/>
        </w:rPr>
        <w:t>10</w:t>
      </w:r>
    </w:p>
    <w:p w14:paraId="0AADF116">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Stakeholder and Policy Analysis ....................... </w:t>
      </w:r>
      <w:r>
        <w:rPr>
          <w:rFonts w:ascii="Times New Roman" w:hAnsi="Times New Roman" w:cs="Times New Roman"/>
          <w:b/>
          <w:bCs/>
          <w:sz w:val="28"/>
          <w:szCs w:val="28"/>
        </w:rPr>
        <w:t>11</w:t>
      </w:r>
    </w:p>
    <w:p w14:paraId="4E068546">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International Visitor Management Examples ..... </w:t>
      </w:r>
      <w:r>
        <w:rPr>
          <w:rFonts w:ascii="Times New Roman" w:hAnsi="Times New Roman" w:cs="Times New Roman"/>
          <w:b/>
          <w:bCs/>
          <w:sz w:val="28"/>
          <w:szCs w:val="28"/>
        </w:rPr>
        <w:t>13</w:t>
      </w:r>
      <w:r>
        <w:rPr>
          <w:rFonts w:ascii="Times New Roman" w:hAnsi="Times New Roman" w:cs="Times New Roman"/>
          <w:sz w:val="28"/>
          <w:szCs w:val="28"/>
        </w:rPr>
        <w:br w:type="textWrapping"/>
      </w:r>
      <w:r>
        <w:rPr>
          <w:rFonts w:ascii="Times New Roman" w:hAnsi="Times New Roman" w:cs="Times New Roman"/>
          <w:sz w:val="28"/>
          <w:szCs w:val="28"/>
        </w:rPr>
        <w:t xml:space="preserve">6.1 Venice: Pricing and Demand Management ........ </w:t>
      </w:r>
      <w:r>
        <w:rPr>
          <w:rFonts w:ascii="Times New Roman" w:hAnsi="Times New Roman" w:cs="Times New Roman"/>
          <w:b/>
          <w:bCs/>
          <w:sz w:val="28"/>
          <w:szCs w:val="28"/>
        </w:rPr>
        <w:t>13</w:t>
      </w:r>
      <w:r>
        <w:rPr>
          <w:rFonts w:ascii="Times New Roman" w:hAnsi="Times New Roman" w:cs="Times New Roman"/>
          <w:sz w:val="28"/>
          <w:szCs w:val="28"/>
        </w:rPr>
        <w:br w:type="textWrapping"/>
      </w:r>
      <w:r>
        <w:rPr>
          <w:rFonts w:ascii="Times New Roman" w:hAnsi="Times New Roman" w:cs="Times New Roman"/>
          <w:sz w:val="28"/>
          <w:szCs w:val="28"/>
        </w:rPr>
        <w:t xml:space="preserve">6.2 Galápagos Islands: Spatial Zoning ................... </w:t>
      </w:r>
      <w:r>
        <w:rPr>
          <w:rFonts w:ascii="Times New Roman" w:hAnsi="Times New Roman" w:cs="Times New Roman"/>
          <w:b/>
          <w:bCs/>
          <w:sz w:val="28"/>
          <w:szCs w:val="28"/>
        </w:rPr>
        <w:t>13</w:t>
      </w:r>
    </w:p>
    <w:p w14:paraId="6B33B5AE">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Strategic Sustainable Planning Proposal ........... </w:t>
      </w:r>
      <w:r>
        <w:rPr>
          <w:rFonts w:ascii="Times New Roman" w:hAnsi="Times New Roman" w:cs="Times New Roman"/>
          <w:b/>
          <w:bCs/>
          <w:sz w:val="28"/>
          <w:szCs w:val="28"/>
        </w:rPr>
        <w:t>14</w:t>
      </w:r>
      <w:r>
        <w:rPr>
          <w:rFonts w:ascii="Times New Roman" w:hAnsi="Times New Roman" w:cs="Times New Roman"/>
          <w:sz w:val="28"/>
          <w:szCs w:val="28"/>
        </w:rPr>
        <w:br w:type="textWrapping"/>
      </w:r>
      <w:r>
        <w:rPr>
          <w:rFonts w:ascii="Times New Roman" w:hAnsi="Times New Roman" w:cs="Times New Roman"/>
          <w:sz w:val="28"/>
          <w:szCs w:val="28"/>
        </w:rPr>
        <w:t xml:space="preserve">7.1 Proposed Spatial Zoning System ....................... </w:t>
      </w:r>
      <w:r>
        <w:rPr>
          <w:rFonts w:ascii="Times New Roman" w:hAnsi="Times New Roman" w:cs="Times New Roman"/>
          <w:b/>
          <w:bCs/>
          <w:sz w:val="28"/>
          <w:szCs w:val="28"/>
        </w:rPr>
        <w:t>14</w:t>
      </w:r>
      <w:r>
        <w:rPr>
          <w:rFonts w:ascii="Times New Roman" w:hAnsi="Times New Roman" w:cs="Times New Roman"/>
          <w:sz w:val="28"/>
          <w:szCs w:val="28"/>
        </w:rPr>
        <w:br w:type="textWrapping"/>
      </w:r>
      <w:r>
        <w:rPr>
          <w:rFonts w:ascii="Times New Roman" w:hAnsi="Times New Roman" w:cs="Times New Roman"/>
          <w:sz w:val="28"/>
          <w:szCs w:val="28"/>
        </w:rPr>
        <w:t xml:space="preserve">7.2 Dynamic Visitor Capacity ................................ </w:t>
      </w:r>
      <w:r>
        <w:rPr>
          <w:rFonts w:ascii="Times New Roman" w:hAnsi="Times New Roman" w:cs="Times New Roman"/>
          <w:b/>
          <w:bCs/>
          <w:sz w:val="28"/>
          <w:szCs w:val="28"/>
        </w:rPr>
        <w:t>15</w:t>
      </w:r>
      <w:r>
        <w:rPr>
          <w:rFonts w:ascii="Times New Roman" w:hAnsi="Times New Roman" w:cs="Times New Roman"/>
          <w:sz w:val="28"/>
          <w:szCs w:val="28"/>
        </w:rPr>
        <w:br w:type="textWrapping"/>
      </w:r>
      <w:r>
        <w:rPr>
          <w:rFonts w:ascii="Times New Roman" w:hAnsi="Times New Roman" w:cs="Times New Roman"/>
          <w:sz w:val="28"/>
          <w:szCs w:val="28"/>
        </w:rPr>
        <w:t xml:space="preserve">7.3 Timed Entry and Visitor Distribution ............... </w:t>
      </w:r>
      <w:r>
        <w:rPr>
          <w:rFonts w:ascii="Times New Roman" w:hAnsi="Times New Roman" w:cs="Times New Roman"/>
          <w:b/>
          <w:bCs/>
          <w:sz w:val="28"/>
          <w:szCs w:val="28"/>
        </w:rPr>
        <w:t>16</w:t>
      </w:r>
      <w:r>
        <w:rPr>
          <w:rFonts w:ascii="Times New Roman" w:hAnsi="Times New Roman" w:cs="Times New Roman"/>
          <w:sz w:val="28"/>
          <w:szCs w:val="28"/>
        </w:rPr>
        <w:br w:type="textWrapping"/>
      </w:r>
      <w:r>
        <w:rPr>
          <w:rFonts w:ascii="Times New Roman" w:hAnsi="Times New Roman" w:cs="Times New Roman"/>
          <w:sz w:val="28"/>
          <w:szCs w:val="28"/>
        </w:rPr>
        <w:t xml:space="preserve">7.4 Community Participation and Local Economic Benefits .............................................................. </w:t>
      </w:r>
      <w:r>
        <w:rPr>
          <w:rFonts w:ascii="Times New Roman" w:hAnsi="Times New Roman" w:cs="Times New Roman"/>
          <w:b/>
          <w:bCs/>
          <w:sz w:val="28"/>
          <w:szCs w:val="28"/>
        </w:rPr>
        <w:t>17</w:t>
      </w:r>
    </w:p>
    <w:p w14:paraId="39CDB997">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Action Plan, Monitoring and KPIs ...................... </w:t>
      </w:r>
      <w:r>
        <w:rPr>
          <w:rFonts w:ascii="Times New Roman" w:hAnsi="Times New Roman" w:cs="Times New Roman"/>
          <w:b/>
          <w:bCs/>
          <w:sz w:val="28"/>
          <w:szCs w:val="28"/>
        </w:rPr>
        <w:t>18</w:t>
      </w:r>
    </w:p>
    <w:p w14:paraId="2455A68E">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Conclusion and Recommendations .................... </w:t>
      </w:r>
      <w:r>
        <w:rPr>
          <w:rFonts w:ascii="Times New Roman" w:hAnsi="Times New Roman" w:cs="Times New Roman"/>
          <w:b/>
          <w:bCs/>
          <w:sz w:val="28"/>
          <w:szCs w:val="28"/>
        </w:rPr>
        <w:t>21</w:t>
      </w:r>
    </w:p>
    <w:p w14:paraId="04E3611E">
      <w:pPr>
        <w:rPr>
          <w:rFonts w:ascii="Times New Roman" w:hAnsi="Times New Roman" w:cs="Times New Roman"/>
          <w:sz w:val="28"/>
          <w:szCs w:val="28"/>
        </w:rPr>
      </w:pPr>
      <w:r>
        <w:rPr>
          <w:rFonts w:ascii="Times New Roman" w:hAnsi="Times New Roman" w:cs="Times New Roman"/>
          <w:sz w:val="28"/>
          <w:szCs w:val="28"/>
        </w:rPr>
        <w:t xml:space="preserve">References ................................................................ </w:t>
      </w:r>
      <w:r>
        <w:rPr>
          <w:rFonts w:ascii="Times New Roman" w:hAnsi="Times New Roman" w:cs="Times New Roman"/>
          <w:b/>
          <w:bCs/>
          <w:sz w:val="28"/>
          <w:szCs w:val="28"/>
        </w:rPr>
        <w:t>22</w:t>
      </w:r>
      <w:r>
        <w:rPr>
          <w:rFonts w:ascii="Times New Roman" w:hAnsi="Times New Roman" w:cs="Times New Roman"/>
          <w:sz w:val="28"/>
          <w:szCs w:val="28"/>
        </w:rPr>
        <w:br w:type="textWrapping"/>
      </w:r>
      <w:r>
        <w:rPr>
          <w:rFonts w:ascii="Times New Roman" w:hAnsi="Times New Roman" w:cs="Times New Roman"/>
          <w:sz w:val="28"/>
          <w:szCs w:val="28"/>
        </w:rPr>
        <w:t xml:space="preserve">Appendix A – Proposed Spatial Planning Model ..... </w:t>
      </w:r>
      <w:r>
        <w:rPr>
          <w:rFonts w:ascii="Times New Roman" w:hAnsi="Times New Roman" w:cs="Times New Roman"/>
          <w:b/>
          <w:bCs/>
          <w:sz w:val="28"/>
          <w:szCs w:val="28"/>
        </w:rPr>
        <w:t>24</w:t>
      </w:r>
    </w:p>
    <w:p w14:paraId="2CBE22F5">
      <w:pPr>
        <w:rPr>
          <w:rFonts w:ascii="Times New Roman" w:hAnsi="Times New Roman" w:cs="Times New Roman"/>
          <w:sz w:val="28"/>
          <w:szCs w:val="28"/>
        </w:rPr>
      </w:pPr>
    </w:p>
    <w:p w14:paraId="34B5005E">
      <w:pPr>
        <w:rPr>
          <w:rFonts w:ascii="Times New Roman" w:hAnsi="Times New Roman" w:cs="Times New Roman"/>
          <w:b/>
          <w:bCs/>
        </w:rPr>
      </w:pPr>
    </w:p>
    <w:p w14:paraId="75731B83">
      <w:pPr>
        <w:rPr>
          <w:rFonts w:ascii="Times New Roman" w:hAnsi="Times New Roman" w:cs="Times New Roman"/>
          <w:b/>
          <w:bCs/>
        </w:rPr>
      </w:pPr>
    </w:p>
    <w:p w14:paraId="23AE3F58">
      <w:pPr>
        <w:rPr>
          <w:rFonts w:ascii="Times New Roman" w:hAnsi="Times New Roman" w:cs="Times New Roman"/>
          <w:b/>
          <w:bCs/>
        </w:rPr>
      </w:pPr>
    </w:p>
    <w:p w14:paraId="19FD694D">
      <w:pPr>
        <w:rPr>
          <w:rFonts w:ascii="Times New Roman" w:hAnsi="Times New Roman" w:cs="Times New Roman"/>
          <w:b/>
          <w:bCs/>
        </w:rPr>
      </w:pPr>
    </w:p>
    <w:p w14:paraId="65E6145D">
      <w:pPr>
        <w:rPr>
          <w:rFonts w:ascii="Times New Roman" w:hAnsi="Times New Roman" w:cs="Times New Roman"/>
          <w:b/>
          <w:bCs/>
        </w:rPr>
      </w:pPr>
    </w:p>
    <w:p w14:paraId="3B52BFF1">
      <w:pPr>
        <w:rPr>
          <w:rFonts w:ascii="Times New Roman" w:hAnsi="Times New Roman" w:cs="Times New Roman"/>
          <w:b/>
          <w:bCs/>
        </w:rPr>
      </w:pPr>
    </w:p>
    <w:p w14:paraId="68EFC983">
      <w:pPr>
        <w:rPr>
          <w:rFonts w:ascii="Times New Roman" w:hAnsi="Times New Roman" w:cs="Times New Roman"/>
          <w:b/>
          <w:bCs/>
        </w:rPr>
      </w:pPr>
    </w:p>
    <w:p w14:paraId="4F436B03">
      <w:pPr>
        <w:rPr>
          <w:rFonts w:ascii="Times New Roman" w:hAnsi="Times New Roman" w:cs="Times New Roman"/>
          <w:b/>
          <w:bCs/>
          <w:sz w:val="44"/>
          <w:szCs w:val="44"/>
        </w:rPr>
      </w:pPr>
      <w:r>
        <w:rPr>
          <w:rFonts w:ascii="Times New Roman" w:hAnsi="Times New Roman" w:cs="Times New Roman"/>
          <w:b/>
          <w:bCs/>
          <w:sz w:val="44"/>
          <w:szCs w:val="44"/>
        </w:rPr>
        <w:t>1. Executive Summary</w:t>
      </w:r>
    </w:p>
    <w:p w14:paraId="686D44CE">
      <w:pPr>
        <w:rPr>
          <w:rFonts w:ascii="Times New Roman" w:hAnsi="Times New Roman" w:cs="Times New Roman"/>
        </w:rPr>
      </w:pPr>
      <w:r>
        <w:rPr>
          <w:rFonts w:ascii="Times New Roman" w:hAnsi="Times New Roman" w:cs="Times New Roman"/>
        </w:rPr>
        <w:t xml:space="preserve">Machu Picchu is one of the world's most important cultural and natural tourism destinations. Located in Peru, it is internationally recognised for its Inca heritage, mountain landscape and biodiversity. The Historic Sanctuary of Machu Picchu was added to the UNESCO World Heritage List in 1983 and covers approximately 38,160 hectares. Tourism provides important economic opportunities for Peru and local communities, but high visitor numbers also create challenges such as congestion, physical pressure on archaeological areas, waste, pressure on infrastructure and possible damage to the surrounding natural environment (UNESCO World Heritage Centre, n.d.). </w:t>
      </w:r>
    </w:p>
    <w:p w14:paraId="42F58733">
      <w:pPr>
        <w:rPr>
          <w:rFonts w:ascii="Times New Roman" w:hAnsi="Times New Roman" w:cs="Times New Roman"/>
        </w:rPr>
      </w:pPr>
      <w:r>
        <w:rPr>
          <w:rFonts w:ascii="Times New Roman" w:hAnsi="Times New Roman" w:cs="Times New Roman"/>
        </w:rPr>
        <w:t xml:space="preserve">This project examines how carrying capacity, visitor management and spatial zoning can be used to manage tourism more sustainably at Machu Picchu. It compares traditional reactive tourism management with proactive approaches, particularly Tourism Carrying Capacity Assessment (TCCA) and the Limits of Acceptable Change (LAC) framework. Carrying capacity should not only mean choosing one maximum visitor number. Modern research suggests that capacity should consider physical space, environmental conditions, visitor experience, management resources and economic factors (Ekin et al., 2026). </w:t>
      </w:r>
    </w:p>
    <w:p w14:paraId="60508CBD">
      <w:pPr>
        <w:rPr>
          <w:rFonts w:ascii="Times New Roman" w:hAnsi="Times New Roman" w:cs="Times New Roman"/>
        </w:rPr>
      </w:pPr>
      <w:r>
        <w:rPr>
          <w:rFonts w:ascii="Times New Roman" w:hAnsi="Times New Roman" w:cs="Times New Roman"/>
        </w:rPr>
        <w:t xml:space="preserve">Machu Picchu already operates controlled routes and visitor limits. From June 2024, three main visitor circuits containing ten routes were introduced, while the maximum authorised capacity in 2026 is 5,600 visitors per day during specified high-season dates (Ministerio de Cultura del Perú, 2025). However, UNESCO has continued to express concern that current admission levels exceed those approved under the 2015 carrying-capacity study and has requested stronger technical evidence, monitoring, infrastructure and visitor dispersal measures (UNESCO World Heritage Centre, 2026). </w:t>
      </w:r>
    </w:p>
    <w:p w14:paraId="0D340701">
      <w:pPr>
        <w:rPr>
          <w:rFonts w:ascii="Times New Roman" w:hAnsi="Times New Roman" w:cs="Times New Roman"/>
        </w:rPr>
      </w:pPr>
      <w:r>
        <w:rPr>
          <w:rFonts w:ascii="Times New Roman" w:hAnsi="Times New Roman" w:cs="Times New Roman"/>
        </w:rPr>
        <w:t>This report therefore proposes an adaptive system combining visitor quotas, timed entry, five tourism management zones, seasonal controls, environmental monitoring, community participation and improved distribution of tourism income. The main objective is not simply to reduce tourism but to maintain the long-term cultural, environmental, social and economic value of Machu Picchu.</w:t>
      </w:r>
    </w:p>
    <w:p w14:paraId="1FFD6AC3">
      <w:pPr>
        <w:rPr>
          <w:rFonts w:ascii="Times New Roman" w:hAnsi="Times New Roman" w:cs="Times New Roman"/>
        </w:rPr>
      </w:pPr>
    </w:p>
    <w:p w14:paraId="57F5738F">
      <w:pPr>
        <w:rPr>
          <w:rFonts w:ascii="Times New Roman" w:hAnsi="Times New Roman" w:cs="Times New Roman"/>
          <w:b/>
          <w:bCs/>
          <w:sz w:val="44"/>
          <w:szCs w:val="44"/>
        </w:rPr>
      </w:pPr>
      <w:r>
        <w:rPr>
          <w:rFonts w:ascii="Times New Roman" w:hAnsi="Times New Roman" w:cs="Times New Roman"/>
          <w:b/>
          <w:bCs/>
          <w:sz w:val="44"/>
          <w:szCs w:val="44"/>
        </w:rPr>
        <w:t>2. Introduction</w:t>
      </w:r>
    </w:p>
    <w:p w14:paraId="7E5F220B">
      <w:pPr>
        <w:rPr>
          <w:rFonts w:ascii="Times New Roman" w:hAnsi="Times New Roman" w:cs="Times New Roman"/>
        </w:rPr>
      </w:pPr>
      <w:r>
        <w:rPr>
          <w:rFonts w:ascii="Times New Roman" w:hAnsi="Times New Roman" w:cs="Times New Roman"/>
        </w:rPr>
        <w:t>Tourism can create employment, business opportunities, tax income and investment in destinations. It can also provide money for conserving historic buildings, landscapes and cultural traditions. However, tourism becomes difficult to manage when visitor growth is greater than the ability of a destination to accommodate it. Very high visitor concentrations can produce overcrowding, environmental degradation, loss of local identity and a poorer visitor experience. Sustainable tourism planning is therefore concerned with balancing economic development with environmental protection and social well-being.</w:t>
      </w:r>
    </w:p>
    <w:p w14:paraId="22A9EBD2">
      <w:pPr>
        <w:rPr>
          <w:rFonts w:ascii="Times New Roman" w:hAnsi="Times New Roman" w:cs="Times New Roman"/>
        </w:rPr>
      </w:pPr>
      <w:r>
        <w:rPr>
          <w:rFonts w:ascii="Times New Roman" w:hAnsi="Times New Roman" w:cs="Times New Roman"/>
        </w:rPr>
        <w:t xml:space="preserve">This problem is particularly important at fragile heritage destinations. Unlike a modern attraction, an archaeological site cannot simply be rebuilt when it is permanently damaged. The historical and cultural value of places such as Machu Picchu depends on maintaining their authenticity, physical condition and surrounding environment. UNESCO explains that managing visitor movement is important both for protecting World Heritage values and for maintaining a high-quality visitor experience (UNESCO World Heritage Centre, 2024a). </w:t>
      </w:r>
    </w:p>
    <w:p w14:paraId="6BC89973">
      <w:pPr>
        <w:rPr>
          <w:rFonts w:ascii="Times New Roman" w:hAnsi="Times New Roman" w:cs="Times New Roman"/>
        </w:rPr>
      </w:pPr>
      <w:r>
        <w:rPr>
          <w:rFonts w:ascii="Times New Roman" w:hAnsi="Times New Roman" w:cs="Times New Roman"/>
        </w:rPr>
        <w:t xml:space="preserve">Machu Picchu provides an important case for examining this issue. The Historic Sanctuary is located in the Andes of Peru and includes both significant archaeological remains and important natural landscapes. UNESCO considers tourism at Machu Picchu to be a “double-edged” issue because it produces major economic benefits while also creating cultural and ecological pressures. UNESCO has identified challenges including waste management, water pollution, development pressure, transport and infrastructure, ecosystem degradation and the need for better visitor management (UNESCO World Heritage Centre, n.d.). </w:t>
      </w:r>
    </w:p>
    <w:p w14:paraId="09B3B988">
      <w:pPr>
        <w:rPr>
          <w:rFonts w:ascii="Times New Roman" w:hAnsi="Times New Roman" w:cs="Times New Roman"/>
        </w:rPr>
      </w:pPr>
      <w:r>
        <w:rPr>
          <w:rFonts w:ascii="Times New Roman" w:hAnsi="Times New Roman" w:cs="Times New Roman"/>
        </w:rPr>
        <w:t>The aim of this report is to develop a sustainable visitor management and spatial planning strategy for Machu Picchu. The report first identifies the existing environmental, socio-cultural and economic impacts of tourism. It then compares reactive tourism management with Tourism Carrying Capacity Assessment and Limits of Acceptable Change. International examples from Venice and the Galápagos Islands are considered to identify useful management practices. Finally, the report proposes a zoning system, visitor management measures, stakeholder structure, action plan and key performance indicators for Machu Picchu.</w:t>
      </w:r>
    </w:p>
    <w:p w14:paraId="4EE1477C">
      <w:pPr>
        <w:rPr>
          <w:rFonts w:ascii="Times New Roman" w:hAnsi="Times New Roman" w:cs="Times New Roman"/>
        </w:rPr>
      </w:pPr>
      <w:r>
        <w:rPr>
          <w:rFonts w:ascii="Times New Roman" w:hAnsi="Times New Roman" w:cs="Times New Roman"/>
        </w:rPr>
        <w:t>The central argument of this report is that a fixed visitor limit by itself is not enough. Machu Picchu requires an adaptive system in which visitor numbers, routes and management actions change according to environmental conditions, physical pressure, resident attitudes, visitor experience and management capacity. This would help protect the site while maintaining its economic benefits.</w:t>
      </w:r>
    </w:p>
    <w:p w14:paraId="338038EA">
      <w:pPr>
        <w:rPr>
          <w:rFonts w:ascii="Times New Roman" w:hAnsi="Times New Roman" w:cs="Times New Roman"/>
        </w:rPr>
      </w:pPr>
    </w:p>
    <w:p w14:paraId="59142CD1">
      <w:pPr>
        <w:rPr>
          <w:rFonts w:ascii="Times New Roman" w:hAnsi="Times New Roman" w:cs="Times New Roman"/>
          <w:b/>
          <w:bCs/>
          <w:sz w:val="44"/>
          <w:szCs w:val="44"/>
        </w:rPr>
      </w:pPr>
      <w:r>
        <w:rPr>
          <w:rFonts w:ascii="Times New Roman" w:hAnsi="Times New Roman" w:cs="Times New Roman"/>
          <w:b/>
          <w:bCs/>
          <w:sz w:val="44"/>
          <w:szCs w:val="44"/>
        </w:rPr>
        <w:t>3. Destination Baseline and Impact Assessment</w:t>
      </w:r>
    </w:p>
    <w:p w14:paraId="76083686">
      <w:pPr>
        <w:rPr>
          <w:rFonts w:ascii="Times New Roman" w:hAnsi="Times New Roman" w:cs="Times New Roman"/>
          <w:b/>
          <w:bCs/>
          <w:sz w:val="36"/>
          <w:szCs w:val="36"/>
        </w:rPr>
      </w:pPr>
      <w:r>
        <w:rPr>
          <w:rFonts w:ascii="Times New Roman" w:hAnsi="Times New Roman" w:cs="Times New Roman"/>
          <w:b/>
          <w:bCs/>
          <w:sz w:val="36"/>
          <w:szCs w:val="36"/>
        </w:rPr>
        <w:t>3.1 Destination Background</w:t>
      </w:r>
    </w:p>
    <w:p w14:paraId="3420A266">
      <w:pPr>
        <w:rPr>
          <w:rFonts w:ascii="Times New Roman" w:hAnsi="Times New Roman" w:cs="Times New Roman"/>
        </w:rPr>
      </w:pPr>
      <w:r>
        <w:rPr>
          <w:rFonts w:ascii="Times New Roman" w:hAnsi="Times New Roman" w:cs="Times New Roman"/>
        </w:rPr>
        <w:t xml:space="preserve">The Historic Sanctuary of Machu Picchu was inscribed on the UNESCO World Heritage List in 1983 under both cultural and natural criteria. It covers approximately 38,160.87 hectares and combines Inca archaeological heritage with a highly diverse mountain environment (UNESCO World Heritage Centre, n.d.). This combination makes Machu Picchu especially valuable but also creates a difficult management situation because both cultural remains and natural ecosystems require protection. </w:t>
      </w:r>
    </w:p>
    <w:p w14:paraId="6302F64C">
      <w:pPr>
        <w:rPr>
          <w:rFonts w:ascii="Times New Roman" w:hAnsi="Times New Roman" w:cs="Times New Roman"/>
        </w:rPr>
      </w:pPr>
      <w:r>
        <w:rPr>
          <w:rFonts w:ascii="Times New Roman" w:hAnsi="Times New Roman" w:cs="Times New Roman"/>
        </w:rPr>
        <w:t>Machu Picchu is also an extremely important tourism destination for Peru. Tourism creates demand for accommodation, transport, guiding, restaurants, retail and other services. This means that protecting Machu Picchu is not only a conservation issue. Its long-term condition is also important for local livelihoods and the wider tourism economy.</w:t>
      </w:r>
    </w:p>
    <w:p w14:paraId="03AFBA3F">
      <w:pPr>
        <w:rPr>
          <w:rFonts w:ascii="Times New Roman" w:hAnsi="Times New Roman" w:cs="Times New Roman"/>
        </w:rPr>
      </w:pPr>
      <w:r>
        <w:rPr>
          <w:rFonts w:ascii="Times New Roman" w:hAnsi="Times New Roman" w:cs="Times New Roman"/>
        </w:rPr>
        <w:t xml:space="preserve">Visitor management has already changed considerably. Since June 2024, the site has operated three principal circuits containing ten visitor routes. Circuit 1 focuses mainly on panoramic experiences, Circuit 2 covers the classic Machu Picchu experience, and Circuit 3 includes areas connected with the royal sector and mountain routes (Government of Peru, n.d.). </w:t>
      </w:r>
    </w:p>
    <w:p w14:paraId="0788C74D">
      <w:pPr>
        <w:rPr>
          <w:rFonts w:ascii="Times New Roman" w:hAnsi="Times New Roman" w:cs="Times New Roman"/>
        </w:rPr>
      </w:pPr>
      <w:r>
        <w:rPr>
          <w:rFonts w:ascii="Times New Roman" w:hAnsi="Times New Roman" w:cs="Times New Roman"/>
        </w:rPr>
        <w:t xml:space="preserve">For 2026, the Peruvian Ministry of Culture established a maximum of 5,600 visitors per day on designated high-season dates. Tourism information published by Peru also identifies a lower-season maximum of 4,500 visitors per day (Ministerio de Cultura del Perú, 2025; Peru Travel, 2026). </w:t>
      </w:r>
    </w:p>
    <w:p w14:paraId="2552823B">
      <w:pPr>
        <w:rPr>
          <w:rFonts w:ascii="Times New Roman" w:hAnsi="Times New Roman" w:cs="Times New Roman"/>
        </w:rPr>
      </w:pPr>
      <w:r>
        <w:rPr>
          <w:rFonts w:ascii="Times New Roman" w:hAnsi="Times New Roman" w:cs="Times New Roman"/>
        </w:rPr>
        <w:t xml:space="preserve">However, the existence of a legal limit does not automatically mean that the level is environmentally sustainable. In 2025 UNESCO welcomed improvements in visitor-flow control but expressed concern that admission levels exceeded those approved by the 2015 carrying-capacity study. In 2026, UNESCO repeated this concern and requested quantitative evidence showing that higher visitation could be managed through appropriate infrastructure, dispersal strategies, staffing and independent monitoring (UNESCO World Heritage Centre, 2025, 2026). </w:t>
      </w:r>
    </w:p>
    <w:p w14:paraId="695AE02E">
      <w:pPr>
        <w:rPr>
          <w:rFonts w:ascii="Times New Roman" w:hAnsi="Times New Roman" w:cs="Times New Roman"/>
        </w:rPr>
      </w:pPr>
      <w:r>
        <w:rPr>
          <w:rFonts w:ascii="Times New Roman" w:hAnsi="Times New Roman" w:cs="Times New Roman"/>
        </w:rPr>
        <w:t>This creates an important planning question. The objective should not simply be to decide how many people can physically enter the site. Managers must consider what level and pattern of visitation can occur without unacceptable damage.</w:t>
      </w:r>
    </w:p>
    <w:p w14:paraId="5E57413D">
      <w:pPr>
        <w:rPr>
          <w:rFonts w:ascii="Times New Roman" w:hAnsi="Times New Roman" w:cs="Times New Roman"/>
          <w:b/>
          <w:bCs/>
          <w:sz w:val="36"/>
          <w:szCs w:val="36"/>
        </w:rPr>
      </w:pPr>
      <w:r>
        <w:rPr>
          <w:rFonts w:ascii="Times New Roman" w:hAnsi="Times New Roman" w:cs="Times New Roman"/>
          <w:b/>
          <w:bCs/>
          <w:sz w:val="36"/>
          <w:szCs w:val="36"/>
        </w:rPr>
        <w:t>3.2 Environmental Impacts</w:t>
      </w:r>
    </w:p>
    <w:p w14:paraId="546EBD04">
      <w:pPr>
        <w:rPr>
          <w:rFonts w:ascii="Times New Roman" w:hAnsi="Times New Roman" w:cs="Times New Roman"/>
        </w:rPr>
      </w:pPr>
      <w:r>
        <w:rPr>
          <w:rFonts w:ascii="Times New Roman" w:hAnsi="Times New Roman" w:cs="Times New Roman"/>
        </w:rPr>
        <w:t>One major impact of intensive tourism is pressure on the physical and natural environment. Large numbers of people walking through a limited space can contribute to trail erosion, soil compaction and physical wear. The problem becomes greater when visitors concentrate around famous viewing points and archaeological structures.</w:t>
      </w:r>
    </w:p>
    <w:p w14:paraId="375625F5">
      <w:pPr>
        <w:rPr>
          <w:rFonts w:ascii="Times New Roman" w:hAnsi="Times New Roman" w:cs="Times New Roman"/>
        </w:rPr>
      </w:pPr>
      <w:r>
        <w:rPr>
          <w:rFonts w:ascii="Times New Roman" w:hAnsi="Times New Roman" w:cs="Times New Roman"/>
        </w:rPr>
        <w:t xml:space="preserve">Machu Picchu is particularly sensitive because of its steep mountain landscape and climatic conditions. UNESCO has historically identified ecosystem pressures including poor waste management, water pollution, introduced species, agricultural encroachment, removal of vegetation and pressures from development around the wider sanctuary. The area's topography and weather also increase its vulnerability to natural hazards (UNESCO World Heritage Centre, n.d.). </w:t>
      </w:r>
    </w:p>
    <w:p w14:paraId="7EFB0A3B">
      <w:pPr>
        <w:rPr>
          <w:rFonts w:ascii="Times New Roman" w:hAnsi="Times New Roman" w:cs="Times New Roman"/>
        </w:rPr>
      </w:pPr>
      <w:r>
        <w:rPr>
          <w:rFonts w:ascii="Times New Roman" w:hAnsi="Times New Roman" w:cs="Times New Roman"/>
        </w:rPr>
        <w:t xml:space="preserve">Waste is another important issue. Tourism creates solid waste through food, packaging, accommodation and other services. The environmental impact is not limited to the archaeological site because visitors also use transport, hotels, restaurants and services in gateway communities. UNESCO therefore recommends managing World Heritage tourism at a destination scale rather than considering only the protected monument itself (UNESCO World Heritage Centre, 2024b). </w:t>
      </w:r>
    </w:p>
    <w:p w14:paraId="7FC47EA7">
      <w:pPr>
        <w:rPr>
          <w:rFonts w:ascii="Times New Roman" w:hAnsi="Times New Roman" w:cs="Times New Roman"/>
        </w:rPr>
      </w:pPr>
      <w:r>
        <w:rPr>
          <w:rFonts w:ascii="Times New Roman" w:hAnsi="Times New Roman" w:cs="Times New Roman"/>
        </w:rPr>
        <w:t>Transport can also increase environmental pressure. Visitors travelling between surrounding communities and Machu Picchu require transport infrastructure, which creates congestion, emissions and demand for further development. Expanding infrastructure without proper environmental and heritage assessment could create new problems while attempting to solve existing capacity problems.</w:t>
      </w:r>
    </w:p>
    <w:p w14:paraId="303BCB5F">
      <w:pPr>
        <w:rPr>
          <w:rFonts w:ascii="Times New Roman" w:hAnsi="Times New Roman" w:cs="Times New Roman"/>
        </w:rPr>
      </w:pPr>
      <w:r>
        <w:rPr>
          <w:rFonts w:ascii="Times New Roman" w:hAnsi="Times New Roman" w:cs="Times New Roman"/>
        </w:rPr>
        <w:t xml:space="preserve">For this reason, infrastructure development should not automatically be seen as a way of allowing unlimited tourism growth. UNESCO guidance states that major tourism infrastructure affecting World Heritage properties should be supported by appropriate heritage or environmental impact assessment (UNESCO World Heritage Centre, 2024c). </w:t>
      </w:r>
    </w:p>
    <w:p w14:paraId="00F5DB59">
      <w:pPr>
        <w:rPr>
          <w:rFonts w:ascii="Times New Roman" w:hAnsi="Times New Roman" w:cs="Times New Roman"/>
          <w:b/>
          <w:bCs/>
          <w:sz w:val="36"/>
          <w:szCs w:val="36"/>
        </w:rPr>
      </w:pPr>
      <w:r>
        <w:rPr>
          <w:rFonts w:ascii="Times New Roman" w:hAnsi="Times New Roman" w:cs="Times New Roman"/>
          <w:b/>
          <w:bCs/>
          <w:sz w:val="36"/>
          <w:szCs w:val="36"/>
        </w:rPr>
        <w:t>3.3 Socio-Cultural Impacts</w:t>
      </w:r>
    </w:p>
    <w:p w14:paraId="72ECA505">
      <w:pPr>
        <w:rPr>
          <w:rFonts w:ascii="Times New Roman" w:hAnsi="Times New Roman" w:cs="Times New Roman"/>
        </w:rPr>
      </w:pPr>
      <w:r>
        <w:rPr>
          <w:rFonts w:ascii="Times New Roman" w:hAnsi="Times New Roman" w:cs="Times New Roman"/>
        </w:rPr>
        <w:t>Tourism brings both positive and negative socio-cultural impacts. A positive effect is that international interest in Machu Picchu can increase awareness of Inca history and the importance of cultural conservation. Tourism also creates opportunities for local guides, craftspeople, hospitality employees and businesses to present local culture to visitors.</w:t>
      </w:r>
    </w:p>
    <w:p w14:paraId="7B8399CA">
      <w:pPr>
        <w:rPr>
          <w:rFonts w:ascii="Times New Roman" w:hAnsi="Times New Roman" w:cs="Times New Roman"/>
        </w:rPr>
      </w:pPr>
      <w:r>
        <w:rPr>
          <w:rFonts w:ascii="Times New Roman" w:hAnsi="Times New Roman" w:cs="Times New Roman"/>
        </w:rPr>
        <w:t>However, rapid tourism growth can change the character of local communities. Areas close to major attractions can increasingly focus their businesses, housing and services on tourists instead of residents. This can create congestion and competition for space and infrastructure.</w:t>
      </w:r>
    </w:p>
    <w:p w14:paraId="02AFD232">
      <w:pPr>
        <w:rPr>
          <w:rFonts w:ascii="Times New Roman" w:hAnsi="Times New Roman" w:cs="Times New Roman"/>
        </w:rPr>
      </w:pPr>
      <w:r>
        <w:rPr>
          <w:rFonts w:ascii="Times New Roman" w:hAnsi="Times New Roman" w:cs="Times New Roman"/>
        </w:rPr>
        <w:t xml:space="preserve">Machu Picchu Pueblo, also known as Aguas Calientes, acts as an important gateway to the site. UNESCO has previously expressed concerns about uncontrolled development in the settlement, congestion, infrastructure and management pressures. These problems demonstrate that visitor management cannot stop at the entrance to the archaeological area. </w:t>
      </w:r>
    </w:p>
    <w:p w14:paraId="2E1F8CBA">
      <w:pPr>
        <w:rPr>
          <w:rFonts w:ascii="Times New Roman" w:hAnsi="Times New Roman" w:cs="Times New Roman"/>
        </w:rPr>
      </w:pPr>
      <w:r>
        <w:rPr>
          <w:rFonts w:ascii="Times New Roman" w:hAnsi="Times New Roman" w:cs="Times New Roman"/>
        </w:rPr>
        <w:t>Another issue concerns local participation. Residents experience tourism every day and are affected by decisions about transport, development, employment and conservation. However, tourism planning can become highly centralised when major decisions are mainly made by government bodies or tourism businesses.</w:t>
      </w:r>
    </w:p>
    <w:p w14:paraId="0B6676C5">
      <w:pPr>
        <w:rPr>
          <w:rFonts w:ascii="Times New Roman" w:hAnsi="Times New Roman" w:cs="Times New Roman"/>
        </w:rPr>
      </w:pPr>
      <w:r>
        <w:rPr>
          <w:rFonts w:ascii="Times New Roman" w:hAnsi="Times New Roman" w:cs="Times New Roman"/>
        </w:rPr>
        <w:t xml:space="preserve">UNESCO's sustainable tourism guidance argues that host communities should have a voice in tourism processes that affect them. Community opinions should therefore be collected before decisions are completed rather than asking communities to accept plans afterwards (UNESCO World Heritage Centre, 2024b). </w:t>
      </w:r>
    </w:p>
    <w:p w14:paraId="74E71AB6">
      <w:pPr>
        <w:rPr>
          <w:rFonts w:ascii="Times New Roman" w:hAnsi="Times New Roman" w:cs="Times New Roman"/>
        </w:rPr>
      </w:pPr>
      <w:r>
        <w:rPr>
          <w:rFonts w:ascii="Times New Roman" w:hAnsi="Times New Roman" w:cs="Times New Roman"/>
        </w:rPr>
        <w:t>Cultural authenticity should also be protected. Tourism can support traditional culture when visitors value local history, food and products. On the other hand, excessive commercialisation can encourage cultural activities to be changed mainly according to visitor demand. Sustainable tourism therefore needs to protect cultural meaning rather than treating culture only as a commercial product.</w:t>
      </w:r>
    </w:p>
    <w:p w14:paraId="60F8AC54">
      <w:pPr>
        <w:rPr>
          <w:rFonts w:ascii="Times New Roman" w:hAnsi="Times New Roman" w:cs="Times New Roman"/>
          <w:b/>
          <w:bCs/>
          <w:sz w:val="36"/>
          <w:szCs w:val="36"/>
        </w:rPr>
      </w:pPr>
      <w:r>
        <w:rPr>
          <w:rFonts w:ascii="Times New Roman" w:hAnsi="Times New Roman" w:cs="Times New Roman"/>
          <w:b/>
          <w:bCs/>
          <w:sz w:val="36"/>
          <w:szCs w:val="36"/>
        </w:rPr>
        <w:t>3.4 Economic Impacts</w:t>
      </w:r>
    </w:p>
    <w:p w14:paraId="3EF8083A">
      <w:pPr>
        <w:rPr>
          <w:rFonts w:ascii="Times New Roman" w:hAnsi="Times New Roman" w:cs="Times New Roman"/>
        </w:rPr>
      </w:pPr>
      <w:r>
        <w:rPr>
          <w:rFonts w:ascii="Times New Roman" w:hAnsi="Times New Roman" w:cs="Times New Roman"/>
        </w:rPr>
        <w:t>Tourism is economically important to Machu Picchu and Peru. Visitors spend money on entrance tickets, transport, accommodation, restaurants, guides, crafts and other services. This supports employment and generates public and private revenue.</w:t>
      </w:r>
    </w:p>
    <w:p w14:paraId="4C60809F">
      <w:pPr>
        <w:rPr>
          <w:rFonts w:ascii="Times New Roman" w:hAnsi="Times New Roman" w:cs="Times New Roman"/>
        </w:rPr>
      </w:pPr>
      <w:r>
        <w:rPr>
          <w:rFonts w:ascii="Times New Roman" w:hAnsi="Times New Roman" w:cs="Times New Roman"/>
        </w:rPr>
        <w:t>This economic benefit is one reason why simply reducing tourism is not an ideal solution. Lower visitor numbers without an alternative economic strategy could negatively affect households and businesses that depend on tourism. A stronger objective is therefore to increase the value created by each visitor while reducing unnecessary physical pressure.</w:t>
      </w:r>
    </w:p>
    <w:p w14:paraId="2D332EA7">
      <w:pPr>
        <w:rPr>
          <w:rFonts w:ascii="Times New Roman" w:hAnsi="Times New Roman" w:cs="Times New Roman"/>
        </w:rPr>
      </w:pPr>
      <w:r>
        <w:rPr>
          <w:rFonts w:ascii="Times New Roman" w:hAnsi="Times New Roman" w:cs="Times New Roman"/>
        </w:rPr>
        <w:t>However, high dependence on tourism can also create economic vulnerability. If local employment becomes too dependent on one attraction, disruptions caused by natural hazards, political events or changing travel demand can have large effects on income. A sustainable strategy should therefore encourage a wider range of tourism experiences and businesses.</w:t>
      </w:r>
    </w:p>
    <w:p w14:paraId="1F917CCF">
      <w:pPr>
        <w:rPr>
          <w:rFonts w:ascii="Times New Roman" w:hAnsi="Times New Roman" w:cs="Times New Roman"/>
        </w:rPr>
      </w:pPr>
      <w:r>
        <w:rPr>
          <w:rFonts w:ascii="Times New Roman" w:hAnsi="Times New Roman" w:cs="Times New Roman"/>
        </w:rPr>
        <w:t xml:space="preserve">There is also an opportunity-cost issue. Allowing excessive numbers today may increase immediate ticket revenue but could reduce the site's condition and therefore its future economic value. Current research at Universidad del Pacífico is examining exactly this long-term economic problem by considering how visitation above sustainable capacity could reduce the future contribution of Machu Picchu to Peru's economy (Universidad del Pacífico, 2026). </w:t>
      </w:r>
    </w:p>
    <w:p w14:paraId="2B6DD742">
      <w:pPr>
        <w:rPr>
          <w:rFonts w:ascii="Times New Roman" w:hAnsi="Times New Roman" w:cs="Times New Roman"/>
        </w:rPr>
      </w:pPr>
      <w:r>
        <w:rPr>
          <w:rFonts w:ascii="Times New Roman" w:hAnsi="Times New Roman" w:cs="Times New Roman"/>
        </w:rPr>
        <w:t xml:space="preserve">The economic objective should consequently move from maximising the </w:t>
      </w:r>
      <w:r>
        <w:rPr>
          <w:rFonts w:ascii="Times New Roman" w:hAnsi="Times New Roman" w:cs="Times New Roman"/>
          <w:b/>
          <w:bCs/>
        </w:rPr>
        <w:t>number of visitors</w:t>
      </w:r>
      <w:r>
        <w:rPr>
          <w:rFonts w:ascii="Times New Roman" w:hAnsi="Times New Roman" w:cs="Times New Roman"/>
        </w:rPr>
        <w:t xml:space="preserve"> to maximising the </w:t>
      </w:r>
      <w:r>
        <w:rPr>
          <w:rFonts w:ascii="Times New Roman" w:hAnsi="Times New Roman" w:cs="Times New Roman"/>
          <w:b/>
          <w:bCs/>
        </w:rPr>
        <w:t>long-term sustainable value of tourism</w:t>
      </w:r>
      <w:r>
        <w:rPr>
          <w:rFonts w:ascii="Times New Roman" w:hAnsi="Times New Roman" w:cs="Times New Roman"/>
        </w:rPr>
        <w:t>.</w:t>
      </w:r>
    </w:p>
    <w:p w14:paraId="2FE7D273">
      <w:pPr>
        <w:rPr>
          <w:rFonts w:ascii="Times New Roman" w:hAnsi="Times New Roman" w:cs="Times New Roman"/>
        </w:rPr>
      </w:pPr>
    </w:p>
    <w:p w14:paraId="6B814697">
      <w:pPr>
        <w:rPr>
          <w:rFonts w:ascii="Times New Roman" w:hAnsi="Times New Roman" w:cs="Times New Roman"/>
          <w:b/>
          <w:bCs/>
          <w:sz w:val="44"/>
          <w:szCs w:val="44"/>
        </w:rPr>
      </w:pPr>
      <w:r>
        <w:rPr>
          <w:rFonts w:ascii="Times New Roman" w:hAnsi="Times New Roman" w:cs="Times New Roman"/>
          <w:b/>
          <w:bCs/>
          <w:sz w:val="44"/>
          <w:szCs w:val="44"/>
        </w:rPr>
        <w:t>4. Theoretical and Spatial Planning Framework</w:t>
      </w:r>
    </w:p>
    <w:p w14:paraId="597DED44">
      <w:pPr>
        <w:rPr>
          <w:rFonts w:ascii="Times New Roman" w:hAnsi="Times New Roman" w:cs="Times New Roman"/>
          <w:b/>
          <w:bCs/>
          <w:sz w:val="36"/>
          <w:szCs w:val="36"/>
        </w:rPr>
      </w:pPr>
      <w:r>
        <w:rPr>
          <w:rFonts w:ascii="Times New Roman" w:hAnsi="Times New Roman" w:cs="Times New Roman"/>
          <w:b/>
          <w:bCs/>
          <w:sz w:val="36"/>
          <w:szCs w:val="36"/>
        </w:rPr>
        <w:t>4.1 Traditional Reactive Tourism Management</w:t>
      </w:r>
    </w:p>
    <w:p w14:paraId="4F041E72">
      <w:pPr>
        <w:rPr>
          <w:rFonts w:ascii="Times New Roman" w:hAnsi="Times New Roman" w:cs="Times New Roman"/>
        </w:rPr>
      </w:pPr>
      <w:r>
        <w:rPr>
          <w:rFonts w:ascii="Times New Roman" w:hAnsi="Times New Roman" w:cs="Times New Roman"/>
        </w:rPr>
        <w:t>Reactive tourism management takes action mainly after a problem has become visible. Examples include repairing damaged paths after severe erosion, adding security when overcrowding becomes dangerous, introducing emergency closures after environmental deterioration or increasing waste collection when rubbish has already accumulated.</w:t>
      </w:r>
    </w:p>
    <w:p w14:paraId="6C10E5F6">
      <w:pPr>
        <w:rPr>
          <w:rFonts w:ascii="Times New Roman" w:hAnsi="Times New Roman" w:cs="Times New Roman"/>
        </w:rPr>
      </w:pPr>
      <w:r>
        <w:rPr>
          <w:rFonts w:ascii="Times New Roman" w:hAnsi="Times New Roman" w:cs="Times New Roman"/>
        </w:rPr>
        <w:t>Reactive management has some advantages. It is relatively simple because managers respond to problems that can already be seen. It can also be useful in emergencies where immediate action is required.</w:t>
      </w:r>
    </w:p>
    <w:p w14:paraId="5F52F372">
      <w:pPr>
        <w:rPr>
          <w:rFonts w:ascii="Times New Roman" w:hAnsi="Times New Roman" w:cs="Times New Roman"/>
        </w:rPr>
      </w:pPr>
      <w:r>
        <w:rPr>
          <w:rFonts w:ascii="Times New Roman" w:hAnsi="Times New Roman" w:cs="Times New Roman"/>
        </w:rPr>
        <w:t>However, it has major weaknesses when used as the main tourism strategy. By the time physical damage becomes clearly visible, some heritage damage may already be difficult or impossible to reverse. Reactive management also focuses mainly on individual symptoms instead of examining the causes of the problem.</w:t>
      </w:r>
    </w:p>
    <w:p w14:paraId="0C52379B">
      <w:pPr>
        <w:rPr>
          <w:rFonts w:ascii="Times New Roman" w:hAnsi="Times New Roman" w:cs="Times New Roman"/>
        </w:rPr>
      </w:pPr>
      <w:r>
        <w:rPr>
          <w:rFonts w:ascii="Times New Roman" w:hAnsi="Times New Roman" w:cs="Times New Roman"/>
        </w:rPr>
        <w:t>For Machu Picchu, a purely reactive system would therefore be risky. The cultural and environmental importance of the site means management should prevent unacceptable deterioration instead of waiting for it to occur.</w:t>
      </w:r>
    </w:p>
    <w:p w14:paraId="492BEAF5">
      <w:pPr>
        <w:rPr>
          <w:rFonts w:ascii="Times New Roman" w:hAnsi="Times New Roman" w:cs="Times New Roman"/>
          <w:b/>
          <w:bCs/>
          <w:sz w:val="36"/>
          <w:szCs w:val="36"/>
        </w:rPr>
      </w:pPr>
      <w:r>
        <w:rPr>
          <w:rFonts w:ascii="Times New Roman" w:hAnsi="Times New Roman" w:cs="Times New Roman"/>
          <w:b/>
          <w:bCs/>
          <w:sz w:val="36"/>
          <w:szCs w:val="36"/>
        </w:rPr>
        <w:t>4.2 Tourism Carrying Capacity Assessment</w:t>
      </w:r>
    </w:p>
    <w:p w14:paraId="34E194F1">
      <w:pPr>
        <w:rPr>
          <w:rFonts w:ascii="Times New Roman" w:hAnsi="Times New Roman" w:cs="Times New Roman"/>
        </w:rPr>
      </w:pPr>
      <w:r>
        <w:rPr>
          <w:rFonts w:ascii="Times New Roman" w:hAnsi="Times New Roman" w:cs="Times New Roman"/>
        </w:rPr>
        <w:t>Tourism carrying capacity generally considers how much tourism a destination can accommodate without unacceptable environmental, social or experiential damage. Earlier approaches sometimes concentrated on identifying one numerical visitor limit. However, modern research shows that carrying capacity is more complex.</w:t>
      </w:r>
    </w:p>
    <w:p w14:paraId="4D1BB685">
      <w:pPr>
        <w:rPr>
          <w:rFonts w:ascii="Times New Roman" w:hAnsi="Times New Roman" w:cs="Times New Roman"/>
        </w:rPr>
      </w:pPr>
      <w:r>
        <w:rPr>
          <w:rFonts w:ascii="Times New Roman" w:hAnsi="Times New Roman" w:cs="Times New Roman"/>
        </w:rPr>
        <w:t xml:space="preserve">Research by Salerno et al. (2013) describes tourism carrying capacity as multidimensional because protected areas can have different environmental and social limits that vary across time and space. More recent research similarly argues that carrying capacity should consider physical, ecological, social, managerial and economic dimensions rather than treating capacity as a single permanent number (Ekin et al., 2026). </w:t>
      </w:r>
    </w:p>
    <w:p w14:paraId="3B35E568">
      <w:pPr>
        <w:rPr>
          <w:rFonts w:ascii="Times New Roman" w:hAnsi="Times New Roman" w:cs="Times New Roman"/>
        </w:rPr>
      </w:pPr>
      <w:r>
        <w:rPr>
          <w:rFonts w:ascii="Times New Roman" w:hAnsi="Times New Roman" w:cs="Times New Roman"/>
        </w:rPr>
        <w:t>For Machu Picchu, physical capacity would consider issues such as route width and safe visitor circulation. Environmental capacity would examine erosion, vegetation, wildlife and waste. Social capacity would consider crowding perceptions among residents and visitors. Managerial capacity would consider available guides, conservation employees, security, toilets, transport and monitoring resources. Economic capacity would examine whether tourism remains beneficial without damaging other activities or creating excessive dependence.</w:t>
      </w:r>
    </w:p>
    <w:p w14:paraId="1DAE9F80">
      <w:pPr>
        <w:rPr>
          <w:rFonts w:ascii="Times New Roman" w:hAnsi="Times New Roman" w:cs="Times New Roman"/>
        </w:rPr>
      </w:pPr>
      <w:r>
        <w:rPr>
          <w:rFonts w:ascii="Times New Roman" w:hAnsi="Times New Roman" w:cs="Times New Roman"/>
        </w:rPr>
        <w:t>A major strength of Tourism Carrying Capacity Assessment is therefore that it provides planners with measurable limits. It can support decisions about daily tickets, time slots and route capacity.</w:t>
      </w:r>
    </w:p>
    <w:p w14:paraId="4F29A75F">
      <w:pPr>
        <w:rPr>
          <w:rFonts w:ascii="Times New Roman" w:hAnsi="Times New Roman" w:cs="Times New Roman"/>
        </w:rPr>
      </w:pPr>
      <w:r>
        <w:rPr>
          <w:rFonts w:ascii="Times New Roman" w:hAnsi="Times New Roman" w:cs="Times New Roman"/>
        </w:rPr>
        <w:t xml:space="preserve">However, carrying capacity also has limitations. There is rarely one scientifically perfect number. Capacity changes depending on weather, visitor behaviour, route design, infrastructure and management resources. UNESCO therefore advises destinations not to view carrying capacity simply as a permanent fixed number but to consider different constraints at different times and places (UNESCO World Heritage Centre, 2024a). </w:t>
      </w:r>
    </w:p>
    <w:p w14:paraId="0C06D85B">
      <w:pPr>
        <w:rPr>
          <w:rFonts w:ascii="Times New Roman" w:hAnsi="Times New Roman" w:cs="Times New Roman"/>
          <w:b/>
          <w:bCs/>
          <w:sz w:val="36"/>
          <w:szCs w:val="36"/>
        </w:rPr>
      </w:pPr>
      <w:r>
        <w:rPr>
          <w:rFonts w:ascii="Times New Roman" w:hAnsi="Times New Roman" w:cs="Times New Roman"/>
          <w:b/>
          <w:bCs/>
          <w:sz w:val="36"/>
          <w:szCs w:val="36"/>
        </w:rPr>
        <w:t>4.3 Limits of Acceptable Change</w:t>
      </w:r>
    </w:p>
    <w:p w14:paraId="7DA6E3A9">
      <w:pPr>
        <w:rPr>
          <w:rFonts w:ascii="Times New Roman" w:hAnsi="Times New Roman" w:cs="Times New Roman"/>
        </w:rPr>
      </w:pPr>
      <w:r>
        <w:rPr>
          <w:rFonts w:ascii="Times New Roman" w:hAnsi="Times New Roman" w:cs="Times New Roman"/>
        </w:rPr>
        <w:t>Limits of Acceptable Change provides an alternative approach. Instead of beginning with the question, “How many tourists should be allowed?”, LAC begins by identifying the desired condition of a destination and then deciding what level of change is acceptable.</w:t>
      </w:r>
    </w:p>
    <w:p w14:paraId="0678CAFA">
      <w:pPr>
        <w:rPr>
          <w:rFonts w:ascii="Times New Roman" w:hAnsi="Times New Roman" w:cs="Times New Roman"/>
        </w:rPr>
      </w:pPr>
      <w:r>
        <w:rPr>
          <w:rFonts w:ascii="Times New Roman" w:hAnsi="Times New Roman" w:cs="Times New Roman"/>
        </w:rPr>
        <w:t xml:space="preserve">The approach developed partly because fixed carrying-capacity numbers do not always explain what managers should protect. Cole and McCool (1997) explain that LAC developed as a response to recreation carrying-capacity problems in wilderness areas. </w:t>
      </w:r>
    </w:p>
    <w:p w14:paraId="630F809B">
      <w:pPr>
        <w:rPr>
          <w:rFonts w:ascii="Times New Roman" w:hAnsi="Times New Roman" w:cs="Times New Roman"/>
        </w:rPr>
      </w:pPr>
      <w:r>
        <w:rPr>
          <w:rFonts w:ascii="Times New Roman" w:hAnsi="Times New Roman" w:cs="Times New Roman"/>
        </w:rPr>
        <w:t>In practice, managers first identify important conditions. At Machu Picchu these could include the condition of stone surfaces, trail erosion, biodiversity, visitor crowding and resident satisfaction. Indicators would then be monitored. If agreed limits were exceeded, management action would automatically become stronger.</w:t>
      </w:r>
    </w:p>
    <w:p w14:paraId="64C5A574">
      <w:pPr>
        <w:rPr>
          <w:rFonts w:ascii="Times New Roman" w:hAnsi="Times New Roman" w:cs="Times New Roman"/>
        </w:rPr>
      </w:pPr>
      <w:r>
        <w:rPr>
          <w:rFonts w:ascii="Times New Roman" w:hAnsi="Times New Roman" w:cs="Times New Roman"/>
        </w:rPr>
        <w:t>For example, assume monitoring showed that one route experienced rapidly increasing surface damage. Under a fixed carrying-capacity approach, managers might continue accepting the same total number of visitors because the total limit had not been exceeded. Under LAC, the route-specific environmental indicator could trigger reduced time slots or temporary closure even if overall visitor numbers remained within the legal daily maximum.</w:t>
      </w:r>
    </w:p>
    <w:p w14:paraId="0D69499B">
      <w:pPr>
        <w:rPr>
          <w:rFonts w:ascii="Times New Roman" w:hAnsi="Times New Roman" w:cs="Times New Roman"/>
        </w:rPr>
      </w:pPr>
      <w:r>
        <w:rPr>
          <w:rFonts w:ascii="Times New Roman" w:hAnsi="Times New Roman" w:cs="Times New Roman"/>
        </w:rPr>
        <w:t>The main strength of LAC is therefore flexibility. It connects management decisions with actual conditions. Its weakness is that managers must have reliable monitoring data and agree on what level of change is acceptable. Decisions about “acceptable” conditions also involve values and stakeholder negotiation.</w:t>
      </w:r>
    </w:p>
    <w:p w14:paraId="1B397975">
      <w:pPr>
        <w:rPr>
          <w:rFonts w:ascii="Times New Roman" w:hAnsi="Times New Roman" w:cs="Times New Roman"/>
          <w:b/>
          <w:bCs/>
          <w:sz w:val="36"/>
          <w:szCs w:val="36"/>
        </w:rPr>
      </w:pPr>
      <w:r>
        <w:rPr>
          <w:rFonts w:ascii="Times New Roman" w:hAnsi="Times New Roman" w:cs="Times New Roman"/>
          <w:b/>
          <w:bCs/>
          <w:sz w:val="36"/>
          <w:szCs w:val="36"/>
        </w:rPr>
        <w:t>4.4 Recommended Combined Framework</w:t>
      </w:r>
    </w:p>
    <w:p w14:paraId="06F52F2F">
      <w:pPr>
        <w:rPr>
          <w:rFonts w:ascii="Times New Roman" w:hAnsi="Times New Roman" w:cs="Times New Roman"/>
        </w:rPr>
      </w:pPr>
      <w:r>
        <w:rPr>
          <w:rFonts w:ascii="Times New Roman" w:hAnsi="Times New Roman" w:cs="Times New Roman"/>
        </w:rPr>
        <w:t>The strongest approach for Machu Picchu would combine TCCA and LAC rather than selecting only one.</w:t>
      </w:r>
    </w:p>
    <w:p w14:paraId="071FE1F7">
      <w:pPr>
        <w:rPr>
          <w:rFonts w:ascii="Times New Roman" w:hAnsi="Times New Roman" w:cs="Times New Roman"/>
        </w:rPr>
      </w:pPr>
      <w:r>
        <w:rPr>
          <w:rFonts w:ascii="Times New Roman" w:hAnsi="Times New Roman" w:cs="Times New Roman"/>
        </w:rPr>
        <w:t xml:space="preserve">TCCA would provide the </w:t>
      </w:r>
      <w:r>
        <w:rPr>
          <w:rFonts w:ascii="Times New Roman" w:hAnsi="Times New Roman" w:cs="Times New Roman"/>
          <w:b/>
          <w:bCs/>
        </w:rPr>
        <w:t>planning boundaries</w:t>
      </w:r>
      <w:r>
        <w:rPr>
          <w:rFonts w:ascii="Times New Roman" w:hAnsi="Times New Roman" w:cs="Times New Roman"/>
        </w:rPr>
        <w:t xml:space="preserve">, including maximum visitors per day, route capacity, transport capacity and facility capacity. LAC would provide the </w:t>
      </w:r>
      <w:r>
        <w:rPr>
          <w:rFonts w:ascii="Times New Roman" w:hAnsi="Times New Roman" w:cs="Times New Roman"/>
          <w:b/>
          <w:bCs/>
        </w:rPr>
        <w:t>adaptive monitoring system</w:t>
      </w:r>
      <w:r>
        <w:rPr>
          <w:rFonts w:ascii="Times New Roman" w:hAnsi="Times New Roman" w:cs="Times New Roman"/>
        </w:rPr>
        <w:t>, showing when capacity should temporarily be reduced or management action increased.</w:t>
      </w:r>
    </w:p>
    <w:p w14:paraId="6D2C6392">
      <w:pPr>
        <w:rPr>
          <w:rFonts w:ascii="Times New Roman" w:hAnsi="Times New Roman" w:cs="Times New Roman"/>
        </w:rPr>
      </w:pPr>
      <w:r>
        <w:rPr>
          <w:rFonts w:ascii="Times New Roman" w:hAnsi="Times New Roman" w:cs="Times New Roman"/>
        </w:rPr>
        <w:t>This combination recognises that a maximum visitor limit is still useful, but the number should not become an automatic target that managers try to reach every day. Environmental and social conditions should determine whether actual capacity needs to be lower.</w:t>
      </w:r>
    </w:p>
    <w:p w14:paraId="5AF4C3A3">
      <w:pPr>
        <w:rPr>
          <w:rFonts w:ascii="Times New Roman" w:hAnsi="Times New Roman" w:cs="Times New Roman"/>
        </w:rPr>
      </w:pPr>
      <w:r>
        <w:rPr>
          <w:rFonts w:ascii="Times New Roman" w:hAnsi="Times New Roman" w:cs="Times New Roman"/>
        </w:rPr>
        <w:t xml:space="preserve">This approach is consistent with UNESCO's Visitor Management Assessment and Strategy Tool, which promotes adaptive and proactive visitor management based on baseline assessment, monitoring and management indicators (UNESCO World Heritage Centre, n.d.-b). </w:t>
      </w:r>
    </w:p>
    <w:p w14:paraId="7B0217C2">
      <w:pPr>
        <w:rPr>
          <w:rFonts w:ascii="Times New Roman" w:hAnsi="Times New Roman" w:cs="Times New Roman"/>
        </w:rPr>
      </w:pPr>
    </w:p>
    <w:p w14:paraId="1A565BA0">
      <w:pPr>
        <w:rPr>
          <w:rFonts w:ascii="Times New Roman" w:hAnsi="Times New Roman" w:cs="Times New Roman"/>
          <w:b/>
          <w:bCs/>
          <w:sz w:val="44"/>
          <w:szCs w:val="44"/>
        </w:rPr>
      </w:pPr>
      <w:r>
        <w:rPr>
          <w:rFonts w:ascii="Times New Roman" w:hAnsi="Times New Roman" w:cs="Times New Roman"/>
          <w:b/>
          <w:bCs/>
          <w:sz w:val="44"/>
          <w:szCs w:val="44"/>
        </w:rPr>
        <w:t>5. Stakeholder and Policy Analysis</w:t>
      </w:r>
    </w:p>
    <w:p w14:paraId="7E05BD32">
      <w:pPr>
        <w:rPr>
          <w:rFonts w:ascii="Times New Roman" w:hAnsi="Times New Roman" w:cs="Times New Roman"/>
        </w:rPr>
      </w:pPr>
      <w:r>
        <w:rPr>
          <w:rFonts w:ascii="Times New Roman" w:hAnsi="Times New Roman" w:cs="Times New Roman"/>
        </w:rPr>
        <w:t>Sustainable tourism management at Machu Picchu requires cooperation between organisations with different priorities. Important stakeholders include Peru's Ministry of Culture, environmental and protected-area authorities, local and regional government, UNESCO, tourism businesses, transport providers, guides, local residents, researchers and visitors.</w:t>
      </w:r>
    </w:p>
    <w:p w14:paraId="3D383095">
      <w:pPr>
        <w:rPr>
          <w:rFonts w:ascii="Times New Roman" w:hAnsi="Times New Roman" w:cs="Times New Roman"/>
        </w:rPr>
      </w:pPr>
      <w:r>
        <w:rPr>
          <w:rFonts w:ascii="Times New Roman" w:hAnsi="Times New Roman" w:cs="Times New Roman"/>
        </w:rPr>
        <w:t xml:space="preserve">The Ministry of Culture has a particularly important role because it establishes regulations relating to the archaeological site and visitor capacity. The 2026 capacity decision, for example, sets a maximum of 5,600 visitors per day on specified high-season dates (Ministerio de Cultura del Perú, 2025). </w:t>
      </w:r>
    </w:p>
    <w:p w14:paraId="2FACA310">
      <w:pPr>
        <w:rPr>
          <w:rFonts w:ascii="Times New Roman" w:hAnsi="Times New Roman" w:cs="Times New Roman"/>
        </w:rPr>
      </w:pPr>
      <w:r>
        <w:rPr>
          <w:rFonts w:ascii="Times New Roman" w:hAnsi="Times New Roman" w:cs="Times New Roman"/>
        </w:rPr>
        <w:t xml:space="preserve">UNESCO does not directly manage everyday ticket operations but plays an important international conservation role because Machu Picchu is a World Heritage property. In its 2026 decision, UNESCO again raised concern about admission levels relative to the 2015 carrying-capacity study and requested stronger technical assessment, dispersal measures, infrastructure adaptation, monitoring and staffing (UNESCO World Heritage Centre, 2026). </w:t>
      </w:r>
    </w:p>
    <w:p w14:paraId="0CF87BFA">
      <w:pPr>
        <w:rPr>
          <w:rFonts w:ascii="Times New Roman" w:hAnsi="Times New Roman" w:cs="Times New Roman"/>
        </w:rPr>
      </w:pPr>
      <w:r>
        <w:rPr>
          <w:rFonts w:ascii="Times New Roman" w:hAnsi="Times New Roman" w:cs="Times New Roman"/>
        </w:rPr>
        <w:t>Local government and communities are also essential stakeholders because they experience the wider consequences of tourism. They are affected by transport, housing, business development, waste and infrastructure pressures. Local businesses and tourism employees, however, also depend on visitors for income.</w:t>
      </w:r>
    </w:p>
    <w:p w14:paraId="33B8CD29">
      <w:pPr>
        <w:rPr>
          <w:rFonts w:ascii="Times New Roman" w:hAnsi="Times New Roman" w:cs="Times New Roman"/>
        </w:rPr>
      </w:pPr>
      <w:r>
        <w:rPr>
          <w:rFonts w:ascii="Times New Roman" w:hAnsi="Times New Roman" w:cs="Times New Roman"/>
        </w:rPr>
        <w:t>This creates possible conflicts. Conservation authorities may prefer stricter limits, while tourism companies may prefer greater capacity. Local residents may support employment created by tourism while opposing congestion or unequal distribution of benefits. Central government may prioritise national tourism revenue while local organisations may request a greater share of income for local infrastructure.</w:t>
      </w:r>
    </w:p>
    <w:p w14:paraId="53A35F3B">
      <w:pPr>
        <w:rPr>
          <w:rFonts w:ascii="Times New Roman" w:hAnsi="Times New Roman" w:cs="Times New Roman"/>
        </w:rPr>
      </w:pPr>
      <w:r>
        <w:rPr>
          <w:rFonts w:ascii="Times New Roman" w:hAnsi="Times New Roman" w:cs="Times New Roman"/>
        </w:rPr>
        <w:t xml:space="preserve">Good governance should therefore not allow one stakeholder group to make all decisions. UNESCO recommends open and inclusive destination management structures in which communities and businesses can contribute to strategy and monitoring while authorities retain the ability to prevent activities that could damage World Heritage values (UNESCO World Heritage Centre, 2024d). </w:t>
      </w:r>
    </w:p>
    <w:p w14:paraId="3D894342">
      <w:pPr>
        <w:rPr>
          <w:rFonts w:ascii="Times New Roman" w:hAnsi="Times New Roman" w:cs="Times New Roman"/>
        </w:rPr>
      </w:pPr>
      <w:r>
        <w:rPr>
          <w:rFonts w:ascii="Times New Roman" w:hAnsi="Times New Roman" w:cs="Times New Roman"/>
        </w:rPr>
        <w:t xml:space="preserve">This report proposes a </w:t>
      </w:r>
      <w:r>
        <w:rPr>
          <w:rFonts w:ascii="Times New Roman" w:hAnsi="Times New Roman" w:cs="Times New Roman"/>
          <w:b/>
          <w:bCs/>
        </w:rPr>
        <w:t>Machu Picchu Sustainable Tourism Management Council</w:t>
      </w:r>
      <w:r>
        <w:rPr>
          <w:rFonts w:ascii="Times New Roman" w:hAnsi="Times New Roman" w:cs="Times New Roman"/>
        </w:rPr>
        <w:t>. It would not replace existing government agencies but would provide a regular forum combining conservation authorities, local government, community representatives, tourism businesses, transport organisations, researchers and heritage specialists. Important visitor-capacity decisions would be supported by publicly available environmental and social monitoring data.</w:t>
      </w:r>
    </w:p>
    <w:p w14:paraId="55E6193C">
      <w:pPr>
        <w:rPr>
          <w:rFonts w:ascii="Times New Roman" w:hAnsi="Times New Roman" w:cs="Times New Roman"/>
        </w:rPr>
      </w:pPr>
    </w:p>
    <w:p w14:paraId="7762FFF7">
      <w:pPr>
        <w:rPr>
          <w:rFonts w:ascii="Times New Roman" w:hAnsi="Times New Roman" w:cs="Times New Roman"/>
          <w:b/>
          <w:bCs/>
          <w:sz w:val="44"/>
          <w:szCs w:val="44"/>
        </w:rPr>
      </w:pPr>
      <w:r>
        <w:rPr>
          <w:rFonts w:ascii="Times New Roman" w:hAnsi="Times New Roman" w:cs="Times New Roman"/>
          <w:b/>
          <w:bCs/>
          <w:sz w:val="44"/>
          <w:szCs w:val="44"/>
        </w:rPr>
        <w:t>6. International Visitor Management Examples</w:t>
      </w:r>
    </w:p>
    <w:p w14:paraId="2C029986">
      <w:pPr>
        <w:rPr>
          <w:rFonts w:ascii="Times New Roman" w:hAnsi="Times New Roman" w:cs="Times New Roman"/>
          <w:b/>
          <w:bCs/>
          <w:sz w:val="36"/>
          <w:szCs w:val="36"/>
        </w:rPr>
      </w:pPr>
      <w:r>
        <w:rPr>
          <w:rFonts w:ascii="Times New Roman" w:hAnsi="Times New Roman" w:cs="Times New Roman"/>
          <w:b/>
          <w:bCs/>
          <w:sz w:val="36"/>
          <w:szCs w:val="36"/>
        </w:rPr>
        <w:t>6.1 Venice: Pricing and Demand Management</w:t>
      </w:r>
    </w:p>
    <w:p w14:paraId="7AC867A4">
      <w:pPr>
        <w:rPr>
          <w:rFonts w:ascii="Times New Roman" w:hAnsi="Times New Roman" w:cs="Times New Roman"/>
        </w:rPr>
      </w:pPr>
      <w:r>
        <w:rPr>
          <w:rFonts w:ascii="Times New Roman" w:hAnsi="Times New Roman" w:cs="Times New Roman"/>
        </w:rPr>
        <w:t xml:space="preserve">Venice is a useful example of managing high levels of day tourism. The city has introduced an experimental access contribution for specified busy dates. During 2026, the system operated on 60 non-consecutive days. Visitors who paid sufficiently early were charged €5, while later payments were €10. The purpose was partly to encourage advance planning and improve control over tourism flows (Comune di Venezia, 2026a). </w:t>
      </w:r>
    </w:p>
    <w:p w14:paraId="753D0718">
      <w:pPr>
        <w:rPr>
          <w:rFonts w:ascii="Times New Roman" w:hAnsi="Times New Roman" w:cs="Times New Roman"/>
        </w:rPr>
      </w:pPr>
      <w:r>
        <w:rPr>
          <w:rFonts w:ascii="Times New Roman" w:hAnsi="Times New Roman" w:cs="Times New Roman"/>
        </w:rPr>
        <w:t xml:space="preserve">Provisional 2026 figures reported by the municipality showed 679,553 paid access vouchers and a 32.3% reduction in average daily vouchers compared with 2024. However, these figures should be treated carefully because they were described by the municipality as provisional, and a reduction cannot automatically be attributed only to the fee (Comune di Venezia, 2026b). </w:t>
      </w:r>
    </w:p>
    <w:p w14:paraId="4146221F">
      <w:pPr>
        <w:rPr>
          <w:rFonts w:ascii="Times New Roman" w:hAnsi="Times New Roman" w:cs="Times New Roman"/>
        </w:rPr>
      </w:pPr>
      <w:r>
        <w:rPr>
          <w:rFonts w:ascii="Times New Roman" w:hAnsi="Times New Roman" w:cs="Times New Roman"/>
        </w:rPr>
        <w:t>The main lesson for Machu Picchu is that pricing can be used as a visitor-management tool rather than simply as a revenue tool. A higher conservation charge at the busiest times combined with lower prices at less pressured periods could encourage some visitors to change their travel dates or times.</w:t>
      </w:r>
    </w:p>
    <w:p w14:paraId="3A97E996">
      <w:pPr>
        <w:rPr>
          <w:rFonts w:ascii="Times New Roman" w:hAnsi="Times New Roman" w:cs="Times New Roman"/>
        </w:rPr>
      </w:pPr>
      <w:r>
        <w:rPr>
          <w:rFonts w:ascii="Times New Roman" w:hAnsi="Times New Roman" w:cs="Times New Roman"/>
        </w:rPr>
        <w:t>However, pricing must be designed fairly. If prices become too high, access could become limited mainly to wealthier tourists. Reduced rates could therefore remain available for appropriate domestic, educational or community groups.</w:t>
      </w:r>
    </w:p>
    <w:p w14:paraId="70E8EFAA">
      <w:pPr>
        <w:rPr>
          <w:rFonts w:ascii="Times New Roman" w:hAnsi="Times New Roman" w:cs="Times New Roman"/>
          <w:b/>
          <w:bCs/>
          <w:sz w:val="36"/>
          <w:szCs w:val="36"/>
        </w:rPr>
      </w:pPr>
      <w:r>
        <w:rPr>
          <w:rFonts w:ascii="Times New Roman" w:hAnsi="Times New Roman" w:cs="Times New Roman"/>
          <w:b/>
          <w:bCs/>
          <w:sz w:val="36"/>
          <w:szCs w:val="36"/>
        </w:rPr>
        <w:t>6.2 Galápagos Islands: Spatial Zoning</w:t>
      </w:r>
    </w:p>
    <w:p w14:paraId="333F343C">
      <w:pPr>
        <w:rPr>
          <w:rFonts w:ascii="Times New Roman" w:hAnsi="Times New Roman" w:cs="Times New Roman"/>
        </w:rPr>
      </w:pPr>
      <w:r>
        <w:rPr>
          <w:rFonts w:ascii="Times New Roman" w:hAnsi="Times New Roman" w:cs="Times New Roman"/>
        </w:rPr>
        <w:t xml:space="preserve">The Galápagos Islands demonstrate the value of separating tourism activities geographically. Galápagos National Park manages authorised marine and terrestrial visitor sites and controls which activities may occur in different locations. The park currently identifies 176 visitor sites, including 91 marine and 85 terrestrial sites, with particular activities assigned to them (Dirección del Parque Nacional Galápagos, n.d.). </w:t>
      </w:r>
    </w:p>
    <w:p w14:paraId="1AC3B5CB">
      <w:pPr>
        <w:rPr>
          <w:rFonts w:ascii="Times New Roman" w:hAnsi="Times New Roman" w:cs="Times New Roman"/>
        </w:rPr>
      </w:pPr>
      <w:r>
        <w:rPr>
          <w:rFonts w:ascii="Times New Roman" w:hAnsi="Times New Roman" w:cs="Times New Roman"/>
        </w:rPr>
        <w:t>The important lesson is that not every type of tourism needs to occur in every location. Spatial zoning allows highly sensitive locations to receive stronger protection while other locations can accommodate carefully managed tourism.</w:t>
      </w:r>
    </w:p>
    <w:p w14:paraId="6121F7F9">
      <w:pPr>
        <w:rPr>
          <w:rFonts w:ascii="Times New Roman" w:hAnsi="Times New Roman" w:cs="Times New Roman"/>
        </w:rPr>
      </w:pPr>
      <w:r>
        <w:rPr>
          <w:rFonts w:ascii="Times New Roman" w:hAnsi="Times New Roman" w:cs="Times New Roman"/>
        </w:rPr>
        <w:t>Machu Picchu already uses circuits, but zoning can be extended beyond visitor routes. The destination could distinguish between heritage protection zones, ecological zones, gateway-management zones, community tourism zones and restoration zones. This would connect tourism activities with the sensitivity of each area.</w:t>
      </w:r>
    </w:p>
    <w:p w14:paraId="6F32F361">
      <w:pPr>
        <w:rPr>
          <w:rFonts w:ascii="Times New Roman" w:hAnsi="Times New Roman" w:cs="Times New Roman"/>
          <w:b/>
          <w:bCs/>
          <w:sz w:val="36"/>
          <w:szCs w:val="36"/>
        </w:rPr>
      </w:pPr>
      <w:r>
        <w:rPr>
          <w:rFonts w:ascii="Times New Roman" w:hAnsi="Times New Roman" w:cs="Times New Roman"/>
          <w:b/>
          <w:bCs/>
          <w:sz w:val="36"/>
          <w:szCs w:val="36"/>
        </w:rPr>
        <w:t>6.3 Lessons for Machu Picchu</w:t>
      </w:r>
    </w:p>
    <w:p w14:paraId="10AFCDF9">
      <w:pPr>
        <w:rPr>
          <w:rFonts w:ascii="Times New Roman" w:hAnsi="Times New Roman" w:cs="Times New Roman"/>
        </w:rPr>
      </w:pPr>
      <w:r>
        <w:rPr>
          <w:rFonts w:ascii="Times New Roman" w:hAnsi="Times New Roman" w:cs="Times New Roman"/>
        </w:rPr>
        <w:t xml:space="preserve">Both cases show that overtourism requires multiple tools. Venice demonstrates the value of managing </w:t>
      </w:r>
      <w:r>
        <w:rPr>
          <w:rFonts w:ascii="Times New Roman" w:hAnsi="Times New Roman" w:cs="Times New Roman"/>
          <w:b/>
          <w:bCs/>
        </w:rPr>
        <w:t>when</w:t>
      </w:r>
      <w:r>
        <w:rPr>
          <w:rFonts w:ascii="Times New Roman" w:hAnsi="Times New Roman" w:cs="Times New Roman"/>
        </w:rPr>
        <w:t xml:space="preserve"> visitors arrive through pricing and booking mechanisms, while Galápagos demonstrates the importance of managing </w:t>
      </w:r>
      <w:r>
        <w:rPr>
          <w:rFonts w:ascii="Times New Roman" w:hAnsi="Times New Roman" w:cs="Times New Roman"/>
          <w:b/>
          <w:bCs/>
        </w:rPr>
        <w:t>where</w:t>
      </w:r>
      <w:r>
        <w:rPr>
          <w:rFonts w:ascii="Times New Roman" w:hAnsi="Times New Roman" w:cs="Times New Roman"/>
        </w:rPr>
        <w:t xml:space="preserve"> visitors go.</w:t>
      </w:r>
    </w:p>
    <w:p w14:paraId="437D7524">
      <w:pPr>
        <w:rPr>
          <w:rFonts w:ascii="Times New Roman" w:hAnsi="Times New Roman" w:cs="Times New Roman"/>
        </w:rPr>
      </w:pPr>
      <w:r>
        <w:rPr>
          <w:rFonts w:ascii="Times New Roman" w:hAnsi="Times New Roman" w:cs="Times New Roman"/>
        </w:rPr>
        <w:t xml:space="preserve">For Machu Picchu, these approaches should be combined with existing quotas. UNESCO guidance similarly recommends spreading visitors across time and space, restricting sensitive areas and using advance ticketing where appropriate (UNESCO World Heritage Centre, 2024a). </w:t>
      </w:r>
    </w:p>
    <w:p w14:paraId="3F03BBF2">
      <w:pPr>
        <w:rPr>
          <w:rFonts w:ascii="Times New Roman" w:hAnsi="Times New Roman" w:cs="Times New Roman"/>
        </w:rPr>
      </w:pPr>
    </w:p>
    <w:p w14:paraId="0D4E12E7">
      <w:pPr>
        <w:rPr>
          <w:rFonts w:ascii="Times New Roman" w:hAnsi="Times New Roman" w:cs="Times New Roman"/>
          <w:b/>
          <w:bCs/>
          <w:sz w:val="44"/>
          <w:szCs w:val="44"/>
        </w:rPr>
      </w:pPr>
      <w:r>
        <w:rPr>
          <w:rFonts w:ascii="Times New Roman" w:hAnsi="Times New Roman" w:cs="Times New Roman"/>
          <w:b/>
          <w:bCs/>
          <w:sz w:val="44"/>
          <w:szCs w:val="44"/>
        </w:rPr>
        <w:t>7. Strategic Sustainable Planning Proposal</w:t>
      </w:r>
    </w:p>
    <w:p w14:paraId="0737CF2F">
      <w:pPr>
        <w:rPr>
          <w:rFonts w:ascii="Times New Roman" w:hAnsi="Times New Roman" w:cs="Times New Roman"/>
          <w:b/>
          <w:bCs/>
          <w:sz w:val="36"/>
          <w:szCs w:val="36"/>
        </w:rPr>
      </w:pPr>
      <w:r>
        <w:rPr>
          <w:rFonts w:ascii="Times New Roman" w:hAnsi="Times New Roman" w:cs="Times New Roman"/>
          <w:b/>
          <w:bCs/>
          <w:sz w:val="36"/>
          <w:szCs w:val="36"/>
        </w:rPr>
        <w:t>7.1 Planning Objective</w:t>
      </w:r>
    </w:p>
    <w:p w14:paraId="0313F873">
      <w:pPr>
        <w:rPr>
          <w:rFonts w:ascii="Times New Roman" w:hAnsi="Times New Roman" w:cs="Times New Roman"/>
        </w:rPr>
      </w:pPr>
      <w:r>
        <w:rPr>
          <w:rFonts w:ascii="Times New Roman" w:hAnsi="Times New Roman" w:cs="Times New Roman"/>
        </w:rPr>
        <w:t>The main objective of the proposed strategy is:</w:t>
      </w:r>
    </w:p>
    <w:p w14:paraId="302EF3FF">
      <w:pPr>
        <w:rPr>
          <w:rFonts w:ascii="Times New Roman" w:hAnsi="Times New Roman" w:cs="Times New Roman"/>
        </w:rPr>
      </w:pPr>
      <w:r>
        <w:rPr>
          <w:rFonts w:ascii="Times New Roman" w:hAnsi="Times New Roman" w:cs="Times New Roman"/>
          <w:b/>
          <w:bCs/>
        </w:rPr>
        <w:t>To protect the cultural and natural value of Machu Picchu while maintaining a high-quality visitor experience and providing fair long-term economic benefits to local communities.</w:t>
      </w:r>
    </w:p>
    <w:p w14:paraId="14535B87">
      <w:pPr>
        <w:rPr>
          <w:rFonts w:ascii="Times New Roman" w:hAnsi="Times New Roman" w:cs="Times New Roman"/>
        </w:rPr>
      </w:pPr>
      <w:r>
        <w:rPr>
          <w:rFonts w:ascii="Times New Roman" w:hAnsi="Times New Roman" w:cs="Times New Roman"/>
        </w:rPr>
        <w:t>This requires changing the management focus from maximising daily attendance to optimising tourism value and protecting the destination.</w:t>
      </w:r>
    </w:p>
    <w:p w14:paraId="5CEB0503">
      <w:pPr>
        <w:rPr>
          <w:rFonts w:ascii="Times New Roman" w:hAnsi="Times New Roman" w:cs="Times New Roman"/>
          <w:b/>
          <w:bCs/>
          <w:sz w:val="36"/>
          <w:szCs w:val="36"/>
        </w:rPr>
      </w:pPr>
      <w:r>
        <w:rPr>
          <w:rFonts w:ascii="Times New Roman" w:hAnsi="Times New Roman" w:cs="Times New Roman"/>
          <w:b/>
          <w:bCs/>
          <w:sz w:val="36"/>
          <w:szCs w:val="36"/>
        </w:rPr>
        <w:t>7.2 Proposed Spatial Zoning System</w:t>
      </w:r>
    </w:p>
    <w:p w14:paraId="3F2C1C0E">
      <w:pPr>
        <w:rPr>
          <w:rFonts w:ascii="Times New Roman" w:hAnsi="Times New Roman" w:cs="Times New Roman"/>
        </w:rPr>
      </w:pPr>
      <w:r>
        <w:rPr>
          <w:rFonts w:ascii="Times New Roman" w:hAnsi="Times New Roman" w:cs="Times New Roman"/>
        </w:rPr>
        <w:t>The proposed system would contain five management zones. These zones are a planning proposal for this project rather than the current official boundaries of Machu Picchu.</w:t>
      </w:r>
    </w:p>
    <w:tbl>
      <w:tblPr>
        <w:tblStyle w:val="12"/>
        <w:tblW w:w="0" w:type="auto"/>
        <w:tblCellSpacing w:w="15" w:type="dxa"/>
        <w:tblInd w:w="0" w:type="dxa"/>
        <w:tblLayout w:type="autofit"/>
        <w:tblCellMar>
          <w:top w:w="15" w:type="dxa"/>
          <w:left w:w="15" w:type="dxa"/>
          <w:bottom w:w="15" w:type="dxa"/>
          <w:right w:w="15" w:type="dxa"/>
        </w:tblCellMar>
      </w:tblPr>
      <w:tblGrid>
        <w:gridCol w:w="2421"/>
        <w:gridCol w:w="3162"/>
        <w:gridCol w:w="3867"/>
      </w:tblGrid>
      <w:tr w14:paraId="526E77C7">
        <w:tblPrEx>
          <w:tblCellMar>
            <w:top w:w="15" w:type="dxa"/>
            <w:left w:w="15" w:type="dxa"/>
            <w:bottom w:w="15" w:type="dxa"/>
            <w:right w:w="15" w:type="dxa"/>
          </w:tblCellMar>
        </w:tblPrEx>
        <w:trPr>
          <w:tblHeader/>
          <w:tblCellSpacing w:w="15" w:type="dxa"/>
        </w:trPr>
        <w:tc>
          <w:tcPr>
            <w:tcW w:w="0" w:type="auto"/>
            <w:vAlign w:val="center"/>
          </w:tcPr>
          <w:p w14:paraId="1A3D285E">
            <w:pPr>
              <w:rPr>
                <w:rFonts w:ascii="Times New Roman" w:hAnsi="Times New Roman" w:cs="Times New Roman"/>
                <w:b/>
                <w:bCs/>
              </w:rPr>
            </w:pPr>
            <w:r>
              <w:rPr>
                <w:rFonts w:ascii="Times New Roman" w:hAnsi="Times New Roman" w:cs="Times New Roman"/>
                <w:b/>
                <w:bCs/>
              </w:rPr>
              <w:t>Proposed zone</w:t>
            </w:r>
          </w:p>
        </w:tc>
        <w:tc>
          <w:tcPr>
            <w:tcW w:w="0" w:type="auto"/>
            <w:vAlign w:val="center"/>
          </w:tcPr>
          <w:p w14:paraId="37426B7A">
            <w:pPr>
              <w:rPr>
                <w:rFonts w:ascii="Times New Roman" w:hAnsi="Times New Roman" w:cs="Times New Roman"/>
                <w:b/>
                <w:bCs/>
              </w:rPr>
            </w:pPr>
            <w:r>
              <w:rPr>
                <w:rFonts w:ascii="Times New Roman" w:hAnsi="Times New Roman" w:cs="Times New Roman"/>
                <w:b/>
                <w:bCs/>
              </w:rPr>
              <w:t>Main function</w:t>
            </w:r>
          </w:p>
        </w:tc>
        <w:tc>
          <w:tcPr>
            <w:tcW w:w="0" w:type="auto"/>
            <w:vAlign w:val="center"/>
          </w:tcPr>
          <w:p w14:paraId="0A21EC2F">
            <w:pPr>
              <w:rPr>
                <w:rFonts w:ascii="Times New Roman" w:hAnsi="Times New Roman" w:cs="Times New Roman"/>
                <w:b/>
                <w:bCs/>
              </w:rPr>
            </w:pPr>
            <w:r>
              <w:rPr>
                <w:rFonts w:ascii="Times New Roman" w:hAnsi="Times New Roman" w:cs="Times New Roman"/>
                <w:b/>
                <w:bCs/>
              </w:rPr>
              <w:t>Management approach</w:t>
            </w:r>
          </w:p>
        </w:tc>
      </w:tr>
      <w:tr w14:paraId="3AB5F629">
        <w:tblPrEx>
          <w:tblCellMar>
            <w:top w:w="15" w:type="dxa"/>
            <w:left w:w="15" w:type="dxa"/>
            <w:bottom w:w="15" w:type="dxa"/>
            <w:right w:w="15" w:type="dxa"/>
          </w:tblCellMar>
        </w:tblPrEx>
        <w:trPr>
          <w:tblCellSpacing w:w="15" w:type="dxa"/>
        </w:trPr>
        <w:tc>
          <w:tcPr>
            <w:tcW w:w="0" w:type="auto"/>
            <w:vAlign w:val="center"/>
          </w:tcPr>
          <w:p w14:paraId="72F5E9AD">
            <w:pPr>
              <w:rPr>
                <w:rFonts w:ascii="Times New Roman" w:hAnsi="Times New Roman" w:cs="Times New Roman"/>
              </w:rPr>
            </w:pPr>
            <w:r>
              <w:rPr>
                <w:rFonts w:ascii="Times New Roman" w:hAnsi="Times New Roman" w:cs="Times New Roman"/>
              </w:rPr>
              <w:t>Zone 1: Core Heritage Protection Zone</w:t>
            </w:r>
          </w:p>
        </w:tc>
        <w:tc>
          <w:tcPr>
            <w:tcW w:w="0" w:type="auto"/>
            <w:vAlign w:val="center"/>
          </w:tcPr>
          <w:p w14:paraId="5F1290A0">
            <w:pPr>
              <w:rPr>
                <w:rFonts w:ascii="Times New Roman" w:hAnsi="Times New Roman" w:cs="Times New Roman"/>
              </w:rPr>
            </w:pPr>
            <w:r>
              <w:rPr>
                <w:rFonts w:ascii="Times New Roman" w:hAnsi="Times New Roman" w:cs="Times New Roman"/>
              </w:rPr>
              <w:t>Main archaeological structures and highly sensitive heritage</w:t>
            </w:r>
          </w:p>
        </w:tc>
        <w:tc>
          <w:tcPr>
            <w:tcW w:w="0" w:type="auto"/>
            <w:vAlign w:val="center"/>
          </w:tcPr>
          <w:p w14:paraId="664330DA">
            <w:pPr>
              <w:rPr>
                <w:rFonts w:ascii="Times New Roman" w:hAnsi="Times New Roman" w:cs="Times New Roman"/>
              </w:rPr>
            </w:pPr>
            <w:r>
              <w:rPr>
                <w:rFonts w:ascii="Times New Roman" w:hAnsi="Times New Roman" w:cs="Times New Roman"/>
              </w:rPr>
              <w:t>Strict timed entry, one-way movement, strongest visitor limits</w:t>
            </w:r>
          </w:p>
        </w:tc>
      </w:tr>
      <w:tr w14:paraId="25849895">
        <w:tblPrEx>
          <w:tblCellMar>
            <w:top w:w="15" w:type="dxa"/>
            <w:left w:w="15" w:type="dxa"/>
            <w:bottom w:w="15" w:type="dxa"/>
            <w:right w:w="15" w:type="dxa"/>
          </w:tblCellMar>
        </w:tblPrEx>
        <w:trPr>
          <w:tblCellSpacing w:w="15" w:type="dxa"/>
        </w:trPr>
        <w:tc>
          <w:tcPr>
            <w:tcW w:w="0" w:type="auto"/>
            <w:vAlign w:val="center"/>
          </w:tcPr>
          <w:p w14:paraId="71B14A00">
            <w:pPr>
              <w:rPr>
                <w:rFonts w:ascii="Times New Roman" w:hAnsi="Times New Roman" w:cs="Times New Roman"/>
              </w:rPr>
            </w:pPr>
            <w:r>
              <w:rPr>
                <w:rFonts w:ascii="Times New Roman" w:hAnsi="Times New Roman" w:cs="Times New Roman"/>
              </w:rPr>
              <w:t>Zone 2: Ecological Sensitivity Zone</w:t>
            </w:r>
          </w:p>
        </w:tc>
        <w:tc>
          <w:tcPr>
            <w:tcW w:w="0" w:type="auto"/>
            <w:vAlign w:val="center"/>
          </w:tcPr>
          <w:p w14:paraId="3970CA4D">
            <w:pPr>
              <w:rPr>
                <w:rFonts w:ascii="Times New Roman" w:hAnsi="Times New Roman" w:cs="Times New Roman"/>
              </w:rPr>
            </w:pPr>
            <w:r>
              <w:rPr>
                <w:rFonts w:ascii="Times New Roman" w:hAnsi="Times New Roman" w:cs="Times New Roman"/>
              </w:rPr>
              <w:t>Mountains, trails, vegetation and sensitive natural areas</w:t>
            </w:r>
          </w:p>
        </w:tc>
        <w:tc>
          <w:tcPr>
            <w:tcW w:w="0" w:type="auto"/>
            <w:vAlign w:val="center"/>
          </w:tcPr>
          <w:p w14:paraId="370DBFD1">
            <w:pPr>
              <w:rPr>
                <w:rFonts w:ascii="Times New Roman" w:hAnsi="Times New Roman" w:cs="Times New Roman"/>
              </w:rPr>
            </w:pPr>
            <w:r>
              <w:rPr>
                <w:rFonts w:ascii="Times New Roman" w:hAnsi="Times New Roman" w:cs="Times New Roman"/>
              </w:rPr>
              <w:t>Route quotas, environmental monitoring and seasonal closure where necessary</w:t>
            </w:r>
          </w:p>
        </w:tc>
      </w:tr>
      <w:tr w14:paraId="15CBEE21">
        <w:tblPrEx>
          <w:tblCellMar>
            <w:top w:w="15" w:type="dxa"/>
            <w:left w:w="15" w:type="dxa"/>
            <w:bottom w:w="15" w:type="dxa"/>
            <w:right w:w="15" w:type="dxa"/>
          </w:tblCellMar>
        </w:tblPrEx>
        <w:trPr>
          <w:tblCellSpacing w:w="15" w:type="dxa"/>
        </w:trPr>
        <w:tc>
          <w:tcPr>
            <w:tcW w:w="0" w:type="auto"/>
            <w:vAlign w:val="center"/>
          </w:tcPr>
          <w:p w14:paraId="6ADE55EE">
            <w:pPr>
              <w:rPr>
                <w:rFonts w:ascii="Times New Roman" w:hAnsi="Times New Roman" w:cs="Times New Roman"/>
              </w:rPr>
            </w:pPr>
            <w:r>
              <w:rPr>
                <w:rFonts w:ascii="Times New Roman" w:hAnsi="Times New Roman" w:cs="Times New Roman"/>
              </w:rPr>
              <w:t>Zone 3: Visitor Transition Zone</w:t>
            </w:r>
          </w:p>
        </w:tc>
        <w:tc>
          <w:tcPr>
            <w:tcW w:w="0" w:type="auto"/>
            <w:vAlign w:val="center"/>
          </w:tcPr>
          <w:p w14:paraId="6E938870">
            <w:pPr>
              <w:rPr>
                <w:rFonts w:ascii="Times New Roman" w:hAnsi="Times New Roman" w:cs="Times New Roman"/>
              </w:rPr>
            </w:pPr>
            <w:r>
              <w:rPr>
                <w:rFonts w:ascii="Times New Roman" w:hAnsi="Times New Roman" w:cs="Times New Roman"/>
              </w:rPr>
              <w:t>Entrances, transport connections and visitor facilities</w:t>
            </w:r>
          </w:p>
        </w:tc>
        <w:tc>
          <w:tcPr>
            <w:tcW w:w="0" w:type="auto"/>
            <w:vAlign w:val="center"/>
          </w:tcPr>
          <w:p w14:paraId="2CE62FFE">
            <w:pPr>
              <w:rPr>
                <w:rFonts w:ascii="Times New Roman" w:hAnsi="Times New Roman" w:cs="Times New Roman"/>
              </w:rPr>
            </w:pPr>
            <w:r>
              <w:rPr>
                <w:rFonts w:ascii="Times New Roman" w:hAnsi="Times New Roman" w:cs="Times New Roman"/>
              </w:rPr>
              <w:t>Queue management, information, waste facilities and transport control</w:t>
            </w:r>
          </w:p>
        </w:tc>
      </w:tr>
      <w:tr w14:paraId="3B2C5C93">
        <w:tblPrEx>
          <w:tblCellMar>
            <w:top w:w="15" w:type="dxa"/>
            <w:left w:w="15" w:type="dxa"/>
            <w:bottom w:w="15" w:type="dxa"/>
            <w:right w:w="15" w:type="dxa"/>
          </w:tblCellMar>
        </w:tblPrEx>
        <w:trPr>
          <w:tblCellSpacing w:w="15" w:type="dxa"/>
        </w:trPr>
        <w:tc>
          <w:tcPr>
            <w:tcW w:w="0" w:type="auto"/>
            <w:vAlign w:val="center"/>
          </w:tcPr>
          <w:p w14:paraId="4B7B2D12">
            <w:pPr>
              <w:rPr>
                <w:rFonts w:ascii="Times New Roman" w:hAnsi="Times New Roman" w:cs="Times New Roman"/>
              </w:rPr>
            </w:pPr>
            <w:r>
              <w:rPr>
                <w:rFonts w:ascii="Times New Roman" w:hAnsi="Times New Roman" w:cs="Times New Roman"/>
              </w:rPr>
              <w:t>Zone 4: Community Benefit Zone</w:t>
            </w:r>
          </w:p>
        </w:tc>
        <w:tc>
          <w:tcPr>
            <w:tcW w:w="0" w:type="auto"/>
            <w:vAlign w:val="center"/>
          </w:tcPr>
          <w:p w14:paraId="4F7CF783">
            <w:pPr>
              <w:rPr>
                <w:rFonts w:ascii="Times New Roman" w:hAnsi="Times New Roman" w:cs="Times New Roman"/>
              </w:rPr>
            </w:pPr>
            <w:r>
              <w:rPr>
                <w:rFonts w:ascii="Times New Roman" w:hAnsi="Times New Roman" w:cs="Times New Roman"/>
              </w:rPr>
              <w:t>Local businesses and community tourism areas</w:t>
            </w:r>
          </w:p>
        </w:tc>
        <w:tc>
          <w:tcPr>
            <w:tcW w:w="0" w:type="auto"/>
            <w:vAlign w:val="center"/>
          </w:tcPr>
          <w:p w14:paraId="08302C9E">
            <w:pPr>
              <w:rPr>
                <w:rFonts w:ascii="Times New Roman" w:hAnsi="Times New Roman" w:cs="Times New Roman"/>
              </w:rPr>
            </w:pPr>
            <w:r>
              <w:rPr>
                <w:rFonts w:ascii="Times New Roman" w:hAnsi="Times New Roman" w:cs="Times New Roman"/>
              </w:rPr>
              <w:t>Local products, food, cultural interpretation and longer visitor stays</w:t>
            </w:r>
          </w:p>
        </w:tc>
      </w:tr>
      <w:tr w14:paraId="3A66E419">
        <w:tblPrEx>
          <w:tblCellMar>
            <w:top w:w="15" w:type="dxa"/>
            <w:left w:w="15" w:type="dxa"/>
            <w:bottom w:w="15" w:type="dxa"/>
            <w:right w:w="15" w:type="dxa"/>
          </w:tblCellMar>
        </w:tblPrEx>
        <w:trPr>
          <w:tblCellSpacing w:w="15" w:type="dxa"/>
        </w:trPr>
        <w:tc>
          <w:tcPr>
            <w:tcW w:w="0" w:type="auto"/>
            <w:vAlign w:val="center"/>
          </w:tcPr>
          <w:p w14:paraId="2FE84F91">
            <w:pPr>
              <w:rPr>
                <w:rFonts w:ascii="Times New Roman" w:hAnsi="Times New Roman" w:cs="Times New Roman"/>
              </w:rPr>
            </w:pPr>
            <w:r>
              <w:rPr>
                <w:rFonts w:ascii="Times New Roman" w:hAnsi="Times New Roman" w:cs="Times New Roman"/>
              </w:rPr>
              <w:t>Zone 5: Recovery and Conservation Zone</w:t>
            </w:r>
          </w:p>
        </w:tc>
        <w:tc>
          <w:tcPr>
            <w:tcW w:w="0" w:type="auto"/>
            <w:vAlign w:val="center"/>
          </w:tcPr>
          <w:p w14:paraId="7E41312F">
            <w:pPr>
              <w:rPr>
                <w:rFonts w:ascii="Times New Roman" w:hAnsi="Times New Roman" w:cs="Times New Roman"/>
              </w:rPr>
            </w:pPr>
            <w:r>
              <w:rPr>
                <w:rFonts w:ascii="Times New Roman" w:hAnsi="Times New Roman" w:cs="Times New Roman"/>
              </w:rPr>
              <w:t>Areas temporarily experiencing unacceptable pressure</w:t>
            </w:r>
          </w:p>
        </w:tc>
        <w:tc>
          <w:tcPr>
            <w:tcW w:w="0" w:type="auto"/>
            <w:vAlign w:val="center"/>
          </w:tcPr>
          <w:p w14:paraId="2608CB2A">
            <w:pPr>
              <w:rPr>
                <w:rFonts w:ascii="Times New Roman" w:hAnsi="Times New Roman" w:cs="Times New Roman"/>
              </w:rPr>
            </w:pPr>
            <w:r>
              <w:rPr>
                <w:rFonts w:ascii="Times New Roman" w:hAnsi="Times New Roman" w:cs="Times New Roman"/>
              </w:rPr>
              <w:t>Restricted or no tourist access until indicators recover</w:t>
            </w:r>
          </w:p>
        </w:tc>
      </w:tr>
    </w:tbl>
    <w:p w14:paraId="184964C2">
      <w:pPr>
        <w:rPr>
          <w:rFonts w:ascii="Times New Roman" w:hAnsi="Times New Roman" w:cs="Times New Roman"/>
        </w:rPr>
      </w:pPr>
      <w:r>
        <w:rPr>
          <w:rFonts w:ascii="Times New Roman" w:hAnsi="Times New Roman" w:cs="Times New Roman"/>
        </w:rPr>
        <w:t>The core principle is that visitor access should match the sensitivity of the space. The most fragile areas should not be required to accept the same tourism intensity as more resilient spaces.</w:t>
      </w:r>
    </w:p>
    <w:p w14:paraId="52AB1980">
      <w:pPr>
        <w:rPr>
          <w:rFonts w:ascii="Times New Roman" w:hAnsi="Times New Roman" w:cs="Times New Roman"/>
          <w:b/>
          <w:bCs/>
          <w:sz w:val="36"/>
          <w:szCs w:val="36"/>
        </w:rPr>
      </w:pPr>
      <w:r>
        <w:rPr>
          <w:rFonts w:ascii="Times New Roman" w:hAnsi="Times New Roman" w:cs="Times New Roman"/>
          <w:b/>
          <w:bCs/>
          <w:sz w:val="36"/>
          <w:szCs w:val="36"/>
        </w:rPr>
        <w:t>7.3 Dynamic Visitor Capacity</w:t>
      </w:r>
    </w:p>
    <w:p w14:paraId="08FE3818">
      <w:pPr>
        <w:rPr>
          <w:rFonts w:ascii="Times New Roman" w:hAnsi="Times New Roman" w:cs="Times New Roman"/>
        </w:rPr>
      </w:pPr>
      <w:r>
        <w:rPr>
          <w:rFonts w:ascii="Times New Roman" w:hAnsi="Times New Roman" w:cs="Times New Roman"/>
        </w:rPr>
        <w:t>The current daily maximum should operate as an upper boundary rather than a target. Actual capacity should vary according to environmental and management conditions.</w:t>
      </w:r>
    </w:p>
    <w:p w14:paraId="1BBA961C">
      <w:pPr>
        <w:rPr>
          <w:rFonts w:ascii="Times New Roman" w:hAnsi="Times New Roman" w:cs="Times New Roman"/>
        </w:rPr>
      </w:pPr>
      <w:r>
        <w:rPr>
          <w:rFonts w:ascii="Times New Roman" w:hAnsi="Times New Roman" w:cs="Times New Roman"/>
        </w:rPr>
        <w:t>During periods of heavy rainfall, route damage, conservation work or evidence of excessive wear, available tickets for affected areas should be reduced. If monitoring shows good conditions, stable visitor satisfaction and sufficient management resources, normal limits could continue.</w:t>
      </w:r>
    </w:p>
    <w:p w14:paraId="601D7C26">
      <w:pPr>
        <w:rPr>
          <w:rFonts w:ascii="Times New Roman" w:hAnsi="Times New Roman" w:cs="Times New Roman"/>
        </w:rPr>
      </w:pPr>
      <w:r>
        <w:rPr>
          <w:rFonts w:ascii="Times New Roman" w:hAnsi="Times New Roman" w:cs="Times New Roman"/>
        </w:rPr>
        <w:t xml:space="preserve">This would directly address UNESCO's concern that increased visitation needs to be supported by technical assessment, infrastructure, staffing and monitoring (UNESCO World Heritage Centre, 2026). </w:t>
      </w:r>
    </w:p>
    <w:p w14:paraId="66309EAF">
      <w:pPr>
        <w:rPr>
          <w:rFonts w:ascii="Times New Roman" w:hAnsi="Times New Roman" w:cs="Times New Roman"/>
        </w:rPr>
      </w:pPr>
      <w:r>
        <w:rPr>
          <w:rFonts w:ascii="Times New Roman" w:hAnsi="Times New Roman" w:cs="Times New Roman"/>
        </w:rPr>
        <w:t>Route-level limits are also important. Two routes may have very different environmental tolerances, so dividing the total daily capacity equally would not necessarily be sustainable.</w:t>
      </w:r>
    </w:p>
    <w:p w14:paraId="72449A74">
      <w:pPr>
        <w:rPr>
          <w:rFonts w:ascii="Times New Roman" w:hAnsi="Times New Roman" w:cs="Times New Roman"/>
          <w:b/>
          <w:bCs/>
          <w:sz w:val="36"/>
          <w:szCs w:val="36"/>
        </w:rPr>
      </w:pPr>
      <w:r>
        <w:rPr>
          <w:rFonts w:ascii="Times New Roman" w:hAnsi="Times New Roman" w:cs="Times New Roman"/>
          <w:b/>
          <w:bCs/>
          <w:sz w:val="36"/>
          <w:szCs w:val="36"/>
        </w:rPr>
        <w:t>7.4 Timed Entry and Visitor Distribution</w:t>
      </w:r>
    </w:p>
    <w:p w14:paraId="4CE65026">
      <w:pPr>
        <w:rPr>
          <w:rFonts w:ascii="Times New Roman" w:hAnsi="Times New Roman" w:cs="Times New Roman"/>
        </w:rPr>
      </w:pPr>
      <w:r>
        <w:rPr>
          <w:rFonts w:ascii="Times New Roman" w:hAnsi="Times New Roman" w:cs="Times New Roman"/>
        </w:rPr>
        <w:t>Timed tickets should continue to be central to the system. The objective should be to reduce simultaneous crowding rather than only controlling total daily visitors.</w:t>
      </w:r>
    </w:p>
    <w:p w14:paraId="3A9D8CF5">
      <w:pPr>
        <w:rPr>
          <w:rFonts w:ascii="Times New Roman" w:hAnsi="Times New Roman" w:cs="Times New Roman"/>
        </w:rPr>
      </w:pPr>
      <w:r>
        <w:rPr>
          <w:rFonts w:ascii="Times New Roman" w:hAnsi="Times New Roman" w:cs="Times New Roman"/>
        </w:rPr>
        <w:t>Digital booking data could be used to identify the busiest periods. When a time slot approaches its sustainability threshold, the booking platform could encourage visitors to choose another period.</w:t>
      </w:r>
    </w:p>
    <w:p w14:paraId="493573F6">
      <w:pPr>
        <w:rPr>
          <w:rFonts w:ascii="Times New Roman" w:hAnsi="Times New Roman" w:cs="Times New Roman"/>
        </w:rPr>
      </w:pPr>
      <w:r>
        <w:rPr>
          <w:rFonts w:ascii="Times New Roman" w:hAnsi="Times New Roman" w:cs="Times New Roman"/>
        </w:rPr>
        <w:t xml:space="preserve">UNESCO states that effective visitor management requires destinations to understand seasonal, daily and hourly demand patterns rather than treating all visitation as identical (UNESCO World Heritage Centre, 2024a). </w:t>
      </w:r>
    </w:p>
    <w:p w14:paraId="22AE7FDB">
      <w:pPr>
        <w:rPr>
          <w:rFonts w:ascii="Times New Roman" w:hAnsi="Times New Roman" w:cs="Times New Roman"/>
        </w:rPr>
      </w:pPr>
      <w:r>
        <w:rPr>
          <w:rFonts w:ascii="Times New Roman" w:hAnsi="Times New Roman" w:cs="Times New Roman"/>
        </w:rPr>
        <w:t>A digital dashboard could display availability using simple categories such as normal, busy and limited. This would allow visitors and tour operators to plan before arriving.</w:t>
      </w:r>
    </w:p>
    <w:p w14:paraId="1B6BC615">
      <w:pPr>
        <w:rPr>
          <w:rFonts w:ascii="Times New Roman" w:hAnsi="Times New Roman" w:cs="Times New Roman"/>
          <w:b/>
          <w:bCs/>
          <w:sz w:val="36"/>
          <w:szCs w:val="36"/>
        </w:rPr>
      </w:pPr>
      <w:r>
        <w:rPr>
          <w:rFonts w:ascii="Times New Roman" w:hAnsi="Times New Roman" w:cs="Times New Roman"/>
          <w:b/>
          <w:bCs/>
          <w:sz w:val="36"/>
          <w:szCs w:val="36"/>
        </w:rPr>
        <w:t>7.5 Variable Conservation Pricing</w:t>
      </w:r>
    </w:p>
    <w:p w14:paraId="109ADF16">
      <w:pPr>
        <w:rPr>
          <w:rFonts w:ascii="Times New Roman" w:hAnsi="Times New Roman" w:cs="Times New Roman"/>
        </w:rPr>
      </w:pPr>
      <w:r>
        <w:rPr>
          <w:rFonts w:ascii="Times New Roman" w:hAnsi="Times New Roman" w:cs="Times New Roman"/>
        </w:rPr>
        <w:t>A variable pricing system could help move demand away from peak periods. Popular dates and highly sensitive routes could include a conservation surcharge, while less busy periods could remain cheaper.</w:t>
      </w:r>
    </w:p>
    <w:p w14:paraId="206CFF19">
      <w:pPr>
        <w:rPr>
          <w:rFonts w:ascii="Times New Roman" w:hAnsi="Times New Roman" w:cs="Times New Roman"/>
        </w:rPr>
      </w:pPr>
      <w:r>
        <w:rPr>
          <w:rFonts w:ascii="Times New Roman" w:hAnsi="Times New Roman" w:cs="Times New Roman"/>
        </w:rPr>
        <w:t>The objective should not be to make maximum revenue from tourists. Part of the additional peak-period revenue should be legally allocated to conservation, community projects, waste management and visitor-monitoring systems.</w:t>
      </w:r>
    </w:p>
    <w:p w14:paraId="10832D17">
      <w:pPr>
        <w:rPr>
          <w:rFonts w:ascii="Times New Roman" w:hAnsi="Times New Roman" w:cs="Times New Roman"/>
        </w:rPr>
      </w:pPr>
      <w:r>
        <w:rPr>
          <w:rFonts w:ascii="Times New Roman" w:hAnsi="Times New Roman" w:cs="Times New Roman"/>
        </w:rPr>
        <w:t>The system should also remain socially fair. Appropriate lower rates or exemptions could be maintained for groups such as local residents, educational visits or other categories determined by public policy.</w:t>
      </w:r>
    </w:p>
    <w:p w14:paraId="13657804">
      <w:pPr>
        <w:rPr>
          <w:rFonts w:ascii="Times New Roman" w:hAnsi="Times New Roman" w:cs="Times New Roman"/>
          <w:b/>
          <w:bCs/>
          <w:sz w:val="36"/>
          <w:szCs w:val="36"/>
        </w:rPr>
      </w:pPr>
      <w:r>
        <w:rPr>
          <w:rFonts w:ascii="Times New Roman" w:hAnsi="Times New Roman" w:cs="Times New Roman"/>
          <w:b/>
          <w:bCs/>
          <w:sz w:val="36"/>
          <w:szCs w:val="36"/>
        </w:rPr>
        <w:t>7.6 Sustainable Transport Management</w:t>
      </w:r>
    </w:p>
    <w:p w14:paraId="36B9EED2">
      <w:pPr>
        <w:rPr>
          <w:rFonts w:ascii="Times New Roman" w:hAnsi="Times New Roman" w:cs="Times New Roman"/>
        </w:rPr>
      </w:pPr>
      <w:r>
        <w:rPr>
          <w:rFonts w:ascii="Times New Roman" w:hAnsi="Times New Roman" w:cs="Times New Roman"/>
        </w:rPr>
        <w:t>Transport is part of the destination's carrying capacity. It is therefore insufficient to control entry at Machu Picchu while allowing unmanaged congestion at surrounding transport points.</w:t>
      </w:r>
    </w:p>
    <w:p w14:paraId="160BBF11">
      <w:pPr>
        <w:rPr>
          <w:rFonts w:ascii="Times New Roman" w:hAnsi="Times New Roman" w:cs="Times New Roman"/>
        </w:rPr>
      </w:pPr>
      <w:r>
        <w:rPr>
          <w:rFonts w:ascii="Times New Roman" w:hAnsi="Times New Roman" w:cs="Times New Roman"/>
        </w:rPr>
        <w:t>Transport bookings should increasingly be coordinated with entrance times. Visitors holding a particular entry window should be encouraged or required to use transport within an appropriate earlier window.</w:t>
      </w:r>
    </w:p>
    <w:p w14:paraId="5BAD9B4F">
      <w:pPr>
        <w:rPr>
          <w:rFonts w:ascii="Times New Roman" w:hAnsi="Times New Roman" w:cs="Times New Roman"/>
        </w:rPr>
      </w:pPr>
      <w:r>
        <w:rPr>
          <w:rFonts w:ascii="Times New Roman" w:hAnsi="Times New Roman" w:cs="Times New Roman"/>
        </w:rPr>
        <w:t>Over time, transport operators should also move towards low-emission technologies where operationally possible. The aim would be to reduce congestion and environmental pressure while avoiding unnecessary construction inside sensitive areas.</w:t>
      </w:r>
    </w:p>
    <w:p w14:paraId="2E2BFF04">
      <w:pPr>
        <w:rPr>
          <w:rFonts w:ascii="Times New Roman" w:hAnsi="Times New Roman" w:cs="Times New Roman"/>
          <w:b/>
          <w:bCs/>
          <w:sz w:val="36"/>
          <w:szCs w:val="36"/>
        </w:rPr>
      </w:pPr>
      <w:r>
        <w:rPr>
          <w:rFonts w:ascii="Times New Roman" w:hAnsi="Times New Roman" w:cs="Times New Roman"/>
          <w:b/>
          <w:bCs/>
          <w:sz w:val="36"/>
          <w:szCs w:val="36"/>
        </w:rPr>
        <w:t>7.7 Visitor Education</w:t>
      </w:r>
    </w:p>
    <w:p w14:paraId="68E303B5">
      <w:pPr>
        <w:rPr>
          <w:rFonts w:ascii="Times New Roman" w:hAnsi="Times New Roman" w:cs="Times New Roman"/>
        </w:rPr>
      </w:pPr>
      <w:r>
        <w:rPr>
          <w:rFonts w:ascii="Times New Roman" w:hAnsi="Times New Roman" w:cs="Times New Roman"/>
        </w:rPr>
        <w:t>Visitor behaviour can influence environmental impact. A smaller number of poorly managed visitors may still cause significant damage, while a larger group following clear rules may create less pressure.</w:t>
      </w:r>
    </w:p>
    <w:p w14:paraId="68122CFD">
      <w:pPr>
        <w:rPr>
          <w:rFonts w:ascii="Times New Roman" w:hAnsi="Times New Roman" w:cs="Times New Roman"/>
        </w:rPr>
      </w:pPr>
      <w:r>
        <w:rPr>
          <w:rFonts w:ascii="Times New Roman" w:hAnsi="Times New Roman" w:cs="Times New Roman"/>
        </w:rPr>
        <w:t>Before entering the most sensitive zones, tourists should receive a short digital or face-to-face orientation explaining why routes, time slots and protected areas exist. Interpretation should focus not only on rules but also on the cultural meaning and environmental importance of the sanctuary.</w:t>
      </w:r>
    </w:p>
    <w:p w14:paraId="1C54D7E1">
      <w:pPr>
        <w:rPr>
          <w:rFonts w:ascii="Times New Roman" w:hAnsi="Times New Roman" w:cs="Times New Roman"/>
        </w:rPr>
      </w:pPr>
      <w:r>
        <w:rPr>
          <w:rFonts w:ascii="Times New Roman" w:hAnsi="Times New Roman" w:cs="Times New Roman"/>
        </w:rPr>
        <w:t>Clear communication can increase visitor acceptance of restrictions because tourists understand that management rules protect the attraction they have travelled to experience.</w:t>
      </w:r>
    </w:p>
    <w:p w14:paraId="7DEA90C7">
      <w:pPr>
        <w:rPr>
          <w:rFonts w:ascii="Times New Roman" w:hAnsi="Times New Roman" w:cs="Times New Roman"/>
          <w:b/>
          <w:bCs/>
          <w:sz w:val="36"/>
          <w:szCs w:val="36"/>
        </w:rPr>
      </w:pPr>
      <w:r>
        <w:rPr>
          <w:rFonts w:ascii="Times New Roman" w:hAnsi="Times New Roman" w:cs="Times New Roman"/>
          <w:b/>
          <w:bCs/>
          <w:sz w:val="36"/>
          <w:szCs w:val="36"/>
        </w:rPr>
        <w:t>7.8 Community Participation and Local Economic Benefits</w:t>
      </w:r>
    </w:p>
    <w:p w14:paraId="2AC10B6B">
      <w:pPr>
        <w:rPr>
          <w:rFonts w:ascii="Times New Roman" w:hAnsi="Times New Roman" w:cs="Times New Roman"/>
        </w:rPr>
      </w:pPr>
      <w:r>
        <w:rPr>
          <w:rFonts w:ascii="Times New Roman" w:hAnsi="Times New Roman" w:cs="Times New Roman"/>
        </w:rPr>
        <w:t>Local people should have a continuing role in tourism planning rather than only being consulted during major disputes. The proposed Sustainable Tourism Management Council should therefore meet regularly and include elected or otherwise transparent community representation.</w:t>
      </w:r>
    </w:p>
    <w:p w14:paraId="4ADFDBB7">
      <w:pPr>
        <w:rPr>
          <w:rFonts w:ascii="Times New Roman" w:hAnsi="Times New Roman" w:cs="Times New Roman"/>
        </w:rPr>
      </w:pPr>
      <w:r>
        <w:rPr>
          <w:rFonts w:ascii="Times New Roman" w:hAnsi="Times New Roman" w:cs="Times New Roman"/>
        </w:rPr>
        <w:t>Residents could participate in annual surveys assessing congestion, tourism benefits, cultural impacts and quality of life. Survey results should become part of the Limits of Acceptable Change monitoring framework.</w:t>
      </w:r>
    </w:p>
    <w:p w14:paraId="08FCDF24">
      <w:pPr>
        <w:rPr>
          <w:rFonts w:ascii="Times New Roman" w:hAnsi="Times New Roman" w:cs="Times New Roman"/>
        </w:rPr>
      </w:pPr>
      <w:r>
        <w:rPr>
          <w:rFonts w:ascii="Times New Roman" w:hAnsi="Times New Roman" w:cs="Times New Roman"/>
        </w:rPr>
        <w:t>The strategy should also increase the amount of visitor spending retained locally. This could be supported by promoting locally owned guiding, food, craft and cultural businesses. Rather than encouraging every visitor to spend only a few hours around the major archaeological site, tourism planners could promote carefully managed experiences throughout the wider destination.</w:t>
      </w:r>
    </w:p>
    <w:p w14:paraId="68090B84">
      <w:pPr>
        <w:rPr>
          <w:rFonts w:ascii="Times New Roman" w:hAnsi="Times New Roman" w:cs="Times New Roman"/>
        </w:rPr>
      </w:pPr>
      <w:r>
        <w:rPr>
          <w:rFonts w:ascii="Times New Roman" w:hAnsi="Times New Roman" w:cs="Times New Roman"/>
        </w:rPr>
        <w:t>This can produce two benefits. First, it reduces concentration at the main site. Second, it allows more households and businesses to receive tourism income.</w:t>
      </w:r>
    </w:p>
    <w:p w14:paraId="3E0BC3EF">
      <w:pPr>
        <w:rPr>
          <w:rFonts w:ascii="Times New Roman" w:hAnsi="Times New Roman" w:cs="Times New Roman"/>
          <w:b/>
          <w:bCs/>
          <w:sz w:val="36"/>
          <w:szCs w:val="36"/>
        </w:rPr>
      </w:pPr>
      <w:r>
        <w:rPr>
          <w:rFonts w:ascii="Times New Roman" w:hAnsi="Times New Roman" w:cs="Times New Roman"/>
          <w:b/>
          <w:bCs/>
          <w:sz w:val="36"/>
          <w:szCs w:val="36"/>
        </w:rPr>
        <w:t>7.9 Environmental and Heritage Monitoring</w:t>
      </w:r>
    </w:p>
    <w:p w14:paraId="646880C3">
      <w:pPr>
        <w:rPr>
          <w:rFonts w:ascii="Times New Roman" w:hAnsi="Times New Roman" w:cs="Times New Roman"/>
        </w:rPr>
      </w:pPr>
      <w:r>
        <w:rPr>
          <w:rFonts w:ascii="Times New Roman" w:hAnsi="Times New Roman" w:cs="Times New Roman"/>
        </w:rPr>
        <w:t>The final major element is continuous monitoring. Visitor management cannot be effective if decisions are based only on ticket numbers.</w:t>
      </w:r>
    </w:p>
    <w:p w14:paraId="1820A9FC">
      <w:pPr>
        <w:rPr>
          <w:rFonts w:ascii="Times New Roman" w:hAnsi="Times New Roman" w:cs="Times New Roman"/>
        </w:rPr>
      </w:pPr>
      <w:r>
        <w:rPr>
          <w:rFonts w:ascii="Times New Roman" w:hAnsi="Times New Roman" w:cs="Times New Roman"/>
        </w:rPr>
        <w:t>Environmental monitoring should consider trail and soil condition, vegetation, waste, water quality and identified biodiversity indicators. Heritage monitoring should record physical wear and conservation conditions around sensitive archaeological locations.</w:t>
      </w:r>
    </w:p>
    <w:p w14:paraId="3825E6AA">
      <w:pPr>
        <w:rPr>
          <w:rFonts w:ascii="Times New Roman" w:hAnsi="Times New Roman" w:cs="Times New Roman"/>
        </w:rPr>
      </w:pPr>
      <w:r>
        <w:rPr>
          <w:rFonts w:ascii="Times New Roman" w:hAnsi="Times New Roman" w:cs="Times New Roman"/>
        </w:rPr>
        <w:t>Visitor monitoring should include crowding, waiting time and satisfaction. Community monitoring should measure attitudes towards tourism and perceived benefits or costs.</w:t>
      </w:r>
    </w:p>
    <w:p w14:paraId="210ED17D">
      <w:pPr>
        <w:rPr>
          <w:rFonts w:ascii="Times New Roman" w:hAnsi="Times New Roman" w:cs="Times New Roman"/>
        </w:rPr>
      </w:pPr>
      <w:r>
        <w:rPr>
          <w:rFonts w:ascii="Times New Roman" w:hAnsi="Times New Roman" w:cs="Times New Roman"/>
        </w:rPr>
        <w:t xml:space="preserve">UNESCO's monitoring guidance states that World Heritage destinations should use benchmarks that reflect their main local challenges and should monitor conservation, visitor experience and the economic value of tourism (UNESCO World Heritage Centre, 2024e). </w:t>
      </w:r>
    </w:p>
    <w:p w14:paraId="5087780F">
      <w:pPr>
        <w:rPr>
          <w:rFonts w:ascii="Times New Roman" w:hAnsi="Times New Roman" w:cs="Times New Roman"/>
        </w:rPr>
      </w:pPr>
      <w:r>
        <w:rPr>
          <w:rFonts w:ascii="Times New Roman" w:hAnsi="Times New Roman" w:cs="Times New Roman"/>
        </w:rPr>
        <w:t>The collected information should be published in an annual sustainability report. Transparency would increase accountability and would also provide researchers with better evidence for improving management.</w:t>
      </w:r>
    </w:p>
    <w:p w14:paraId="7815B482">
      <w:pPr>
        <w:rPr>
          <w:rFonts w:ascii="Times New Roman" w:hAnsi="Times New Roman" w:cs="Times New Roman"/>
        </w:rPr>
      </w:pPr>
    </w:p>
    <w:p w14:paraId="73BACFFE">
      <w:pPr>
        <w:rPr>
          <w:rFonts w:ascii="Times New Roman" w:hAnsi="Times New Roman" w:cs="Times New Roman"/>
          <w:b/>
          <w:bCs/>
          <w:sz w:val="44"/>
          <w:szCs w:val="44"/>
        </w:rPr>
      </w:pPr>
      <w:r>
        <w:rPr>
          <w:rFonts w:ascii="Times New Roman" w:hAnsi="Times New Roman" w:cs="Times New Roman"/>
          <w:b/>
          <w:bCs/>
          <w:sz w:val="44"/>
          <w:szCs w:val="44"/>
        </w:rPr>
        <w:t>8. Action Plan, Monitoring and KPIs</w:t>
      </w:r>
    </w:p>
    <w:p w14:paraId="60CA2B59">
      <w:pPr>
        <w:rPr>
          <w:rFonts w:ascii="Times New Roman" w:hAnsi="Times New Roman" w:cs="Times New Roman"/>
        </w:rPr>
      </w:pPr>
      <w:r>
        <w:rPr>
          <w:rFonts w:ascii="Times New Roman" w:hAnsi="Times New Roman" w:cs="Times New Roman"/>
        </w:rPr>
        <w:t>Implementation should take place gradually because attempting every change immediately could create management difficulties.</w:t>
      </w:r>
    </w:p>
    <w:tbl>
      <w:tblPr>
        <w:tblStyle w:val="12"/>
        <w:tblW w:w="0" w:type="auto"/>
        <w:tblCellSpacing w:w="15" w:type="dxa"/>
        <w:tblInd w:w="0" w:type="dxa"/>
        <w:tblLayout w:type="autofit"/>
        <w:tblCellMar>
          <w:top w:w="15" w:type="dxa"/>
          <w:left w:w="15" w:type="dxa"/>
          <w:bottom w:w="15" w:type="dxa"/>
          <w:right w:w="15" w:type="dxa"/>
        </w:tblCellMar>
      </w:tblPr>
      <w:tblGrid>
        <w:gridCol w:w="2569"/>
        <w:gridCol w:w="973"/>
        <w:gridCol w:w="2820"/>
        <w:gridCol w:w="3088"/>
      </w:tblGrid>
      <w:tr w14:paraId="4F16B472">
        <w:tblPrEx>
          <w:tblCellMar>
            <w:top w:w="15" w:type="dxa"/>
            <w:left w:w="15" w:type="dxa"/>
            <w:bottom w:w="15" w:type="dxa"/>
            <w:right w:w="15" w:type="dxa"/>
          </w:tblCellMar>
        </w:tblPrEx>
        <w:trPr>
          <w:tblHeader/>
          <w:tblCellSpacing w:w="15" w:type="dxa"/>
        </w:trPr>
        <w:tc>
          <w:tcPr>
            <w:tcW w:w="0" w:type="auto"/>
            <w:vAlign w:val="center"/>
          </w:tcPr>
          <w:p w14:paraId="46EDDAB6">
            <w:pPr>
              <w:rPr>
                <w:rFonts w:ascii="Times New Roman" w:hAnsi="Times New Roman" w:cs="Times New Roman"/>
                <w:b/>
                <w:bCs/>
              </w:rPr>
            </w:pPr>
            <w:r>
              <w:rPr>
                <w:rFonts w:ascii="Times New Roman" w:hAnsi="Times New Roman" w:cs="Times New Roman"/>
                <w:b/>
                <w:bCs/>
              </w:rPr>
              <w:t>Action</w:t>
            </w:r>
          </w:p>
        </w:tc>
        <w:tc>
          <w:tcPr>
            <w:tcW w:w="0" w:type="auto"/>
            <w:vAlign w:val="center"/>
          </w:tcPr>
          <w:p w14:paraId="2DEC48BE">
            <w:pPr>
              <w:rPr>
                <w:rFonts w:ascii="Times New Roman" w:hAnsi="Times New Roman" w:cs="Times New Roman"/>
                <w:b/>
                <w:bCs/>
              </w:rPr>
            </w:pPr>
            <w:r>
              <w:rPr>
                <w:rFonts w:ascii="Times New Roman" w:hAnsi="Times New Roman" w:cs="Times New Roman"/>
                <w:b/>
                <w:bCs/>
              </w:rPr>
              <w:t>Time period</w:t>
            </w:r>
          </w:p>
        </w:tc>
        <w:tc>
          <w:tcPr>
            <w:tcW w:w="0" w:type="auto"/>
            <w:vAlign w:val="center"/>
          </w:tcPr>
          <w:p w14:paraId="5CAF6595">
            <w:pPr>
              <w:rPr>
                <w:rFonts w:ascii="Times New Roman" w:hAnsi="Times New Roman" w:cs="Times New Roman"/>
                <w:b/>
                <w:bCs/>
              </w:rPr>
            </w:pPr>
            <w:r>
              <w:rPr>
                <w:rFonts w:ascii="Times New Roman" w:hAnsi="Times New Roman" w:cs="Times New Roman"/>
                <w:b/>
                <w:bCs/>
              </w:rPr>
              <w:t>Main stakeholders</w:t>
            </w:r>
          </w:p>
        </w:tc>
        <w:tc>
          <w:tcPr>
            <w:tcW w:w="0" w:type="auto"/>
            <w:vAlign w:val="center"/>
          </w:tcPr>
          <w:p w14:paraId="4FD8E6AF">
            <w:pPr>
              <w:rPr>
                <w:rFonts w:ascii="Times New Roman" w:hAnsi="Times New Roman" w:cs="Times New Roman"/>
                <w:b/>
                <w:bCs/>
              </w:rPr>
            </w:pPr>
            <w:r>
              <w:rPr>
                <w:rFonts w:ascii="Times New Roman" w:hAnsi="Times New Roman" w:cs="Times New Roman"/>
                <w:b/>
                <w:bCs/>
              </w:rPr>
              <w:t>Proposed KPI</w:t>
            </w:r>
          </w:p>
        </w:tc>
      </w:tr>
      <w:tr w14:paraId="295B9E60">
        <w:tblPrEx>
          <w:tblCellMar>
            <w:top w:w="15" w:type="dxa"/>
            <w:left w:w="15" w:type="dxa"/>
            <w:bottom w:w="15" w:type="dxa"/>
            <w:right w:w="15" w:type="dxa"/>
          </w:tblCellMar>
        </w:tblPrEx>
        <w:trPr>
          <w:tblCellSpacing w:w="15" w:type="dxa"/>
        </w:trPr>
        <w:tc>
          <w:tcPr>
            <w:tcW w:w="0" w:type="auto"/>
            <w:vAlign w:val="center"/>
          </w:tcPr>
          <w:p w14:paraId="35155055">
            <w:pPr>
              <w:rPr>
                <w:rFonts w:ascii="Times New Roman" w:hAnsi="Times New Roman" w:cs="Times New Roman"/>
              </w:rPr>
            </w:pPr>
            <w:r>
              <w:rPr>
                <w:rFonts w:ascii="Times New Roman" w:hAnsi="Times New Roman" w:cs="Times New Roman"/>
              </w:rPr>
              <w:t>Establish Sustainable Tourism Management Council</w:t>
            </w:r>
          </w:p>
        </w:tc>
        <w:tc>
          <w:tcPr>
            <w:tcW w:w="0" w:type="auto"/>
            <w:vAlign w:val="center"/>
          </w:tcPr>
          <w:p w14:paraId="0DB79B55">
            <w:pPr>
              <w:rPr>
                <w:rFonts w:ascii="Times New Roman" w:hAnsi="Times New Roman" w:cs="Times New Roman"/>
              </w:rPr>
            </w:pPr>
            <w:r>
              <w:rPr>
                <w:rFonts w:ascii="Times New Roman" w:hAnsi="Times New Roman" w:cs="Times New Roman"/>
              </w:rPr>
              <w:t>First 6 months</w:t>
            </w:r>
          </w:p>
        </w:tc>
        <w:tc>
          <w:tcPr>
            <w:tcW w:w="0" w:type="auto"/>
            <w:vAlign w:val="center"/>
          </w:tcPr>
          <w:p w14:paraId="57CEC62C">
            <w:pPr>
              <w:rPr>
                <w:rFonts w:ascii="Times New Roman" w:hAnsi="Times New Roman" w:cs="Times New Roman"/>
              </w:rPr>
            </w:pPr>
            <w:r>
              <w:rPr>
                <w:rFonts w:ascii="Times New Roman" w:hAnsi="Times New Roman" w:cs="Times New Roman"/>
              </w:rPr>
              <w:t>Government, community, tourism sector, conservation bodies</w:t>
            </w:r>
          </w:p>
        </w:tc>
        <w:tc>
          <w:tcPr>
            <w:tcW w:w="0" w:type="auto"/>
            <w:vAlign w:val="center"/>
          </w:tcPr>
          <w:p w14:paraId="32956BF7">
            <w:pPr>
              <w:rPr>
                <w:rFonts w:ascii="Times New Roman" w:hAnsi="Times New Roman" w:cs="Times New Roman"/>
              </w:rPr>
            </w:pPr>
            <w:r>
              <w:rPr>
                <w:rFonts w:ascii="Times New Roman" w:hAnsi="Times New Roman" w:cs="Times New Roman"/>
              </w:rPr>
              <w:t>Council operational and meeting at least quarterly</w:t>
            </w:r>
          </w:p>
        </w:tc>
      </w:tr>
      <w:tr w14:paraId="4A084CBE">
        <w:tblPrEx>
          <w:tblCellMar>
            <w:top w:w="15" w:type="dxa"/>
            <w:left w:w="15" w:type="dxa"/>
            <w:bottom w:w="15" w:type="dxa"/>
            <w:right w:w="15" w:type="dxa"/>
          </w:tblCellMar>
        </w:tblPrEx>
        <w:trPr>
          <w:tblCellSpacing w:w="15" w:type="dxa"/>
        </w:trPr>
        <w:tc>
          <w:tcPr>
            <w:tcW w:w="0" w:type="auto"/>
            <w:vAlign w:val="center"/>
          </w:tcPr>
          <w:p w14:paraId="3AD792D4">
            <w:pPr>
              <w:rPr>
                <w:rFonts w:ascii="Times New Roman" w:hAnsi="Times New Roman" w:cs="Times New Roman"/>
              </w:rPr>
            </w:pPr>
            <w:r>
              <w:rPr>
                <w:rFonts w:ascii="Times New Roman" w:hAnsi="Times New Roman" w:cs="Times New Roman"/>
              </w:rPr>
              <w:t>Create baseline environmental and visitor data</w:t>
            </w:r>
          </w:p>
        </w:tc>
        <w:tc>
          <w:tcPr>
            <w:tcW w:w="0" w:type="auto"/>
            <w:vAlign w:val="center"/>
          </w:tcPr>
          <w:p w14:paraId="7B28B391">
            <w:pPr>
              <w:rPr>
                <w:rFonts w:ascii="Times New Roman" w:hAnsi="Times New Roman" w:cs="Times New Roman"/>
              </w:rPr>
            </w:pPr>
            <w:r>
              <w:rPr>
                <w:rFonts w:ascii="Times New Roman" w:hAnsi="Times New Roman" w:cs="Times New Roman"/>
              </w:rPr>
              <w:t>Year 1</w:t>
            </w:r>
          </w:p>
        </w:tc>
        <w:tc>
          <w:tcPr>
            <w:tcW w:w="0" w:type="auto"/>
            <w:vAlign w:val="center"/>
          </w:tcPr>
          <w:p w14:paraId="637DB8BC">
            <w:pPr>
              <w:rPr>
                <w:rFonts w:ascii="Times New Roman" w:hAnsi="Times New Roman" w:cs="Times New Roman"/>
              </w:rPr>
            </w:pPr>
            <w:r>
              <w:rPr>
                <w:rFonts w:ascii="Times New Roman" w:hAnsi="Times New Roman" w:cs="Times New Roman"/>
              </w:rPr>
              <w:t>Heritage managers, environmental agencies, universities</w:t>
            </w:r>
          </w:p>
        </w:tc>
        <w:tc>
          <w:tcPr>
            <w:tcW w:w="0" w:type="auto"/>
            <w:vAlign w:val="center"/>
          </w:tcPr>
          <w:p w14:paraId="6924F643">
            <w:pPr>
              <w:rPr>
                <w:rFonts w:ascii="Times New Roman" w:hAnsi="Times New Roman" w:cs="Times New Roman"/>
              </w:rPr>
            </w:pPr>
            <w:r>
              <w:rPr>
                <w:rFonts w:ascii="Times New Roman" w:hAnsi="Times New Roman" w:cs="Times New Roman"/>
              </w:rPr>
              <w:t>Complete baseline report published</w:t>
            </w:r>
          </w:p>
        </w:tc>
      </w:tr>
      <w:tr w14:paraId="0131DB67">
        <w:tblPrEx>
          <w:tblCellMar>
            <w:top w:w="15" w:type="dxa"/>
            <w:left w:w="15" w:type="dxa"/>
            <w:bottom w:w="15" w:type="dxa"/>
            <w:right w:w="15" w:type="dxa"/>
          </w:tblCellMar>
        </w:tblPrEx>
        <w:trPr>
          <w:tblCellSpacing w:w="15" w:type="dxa"/>
        </w:trPr>
        <w:tc>
          <w:tcPr>
            <w:tcW w:w="0" w:type="auto"/>
            <w:vAlign w:val="center"/>
          </w:tcPr>
          <w:p w14:paraId="3B74FE26">
            <w:pPr>
              <w:rPr>
                <w:rFonts w:ascii="Times New Roman" w:hAnsi="Times New Roman" w:cs="Times New Roman"/>
              </w:rPr>
            </w:pPr>
            <w:r>
              <w:rPr>
                <w:rFonts w:ascii="Times New Roman" w:hAnsi="Times New Roman" w:cs="Times New Roman"/>
              </w:rPr>
              <w:t>Review route-specific capacity</w:t>
            </w:r>
          </w:p>
        </w:tc>
        <w:tc>
          <w:tcPr>
            <w:tcW w:w="0" w:type="auto"/>
            <w:vAlign w:val="center"/>
          </w:tcPr>
          <w:p w14:paraId="1246CB94">
            <w:pPr>
              <w:rPr>
                <w:rFonts w:ascii="Times New Roman" w:hAnsi="Times New Roman" w:cs="Times New Roman"/>
              </w:rPr>
            </w:pPr>
            <w:r>
              <w:rPr>
                <w:rFonts w:ascii="Times New Roman" w:hAnsi="Times New Roman" w:cs="Times New Roman"/>
              </w:rPr>
              <w:t>Year 1</w:t>
            </w:r>
          </w:p>
        </w:tc>
        <w:tc>
          <w:tcPr>
            <w:tcW w:w="0" w:type="auto"/>
            <w:vAlign w:val="center"/>
          </w:tcPr>
          <w:p w14:paraId="40FCA317">
            <w:pPr>
              <w:rPr>
                <w:rFonts w:ascii="Times New Roman" w:hAnsi="Times New Roman" w:cs="Times New Roman"/>
              </w:rPr>
            </w:pPr>
            <w:r>
              <w:rPr>
                <w:rFonts w:ascii="Times New Roman" w:hAnsi="Times New Roman" w:cs="Times New Roman"/>
              </w:rPr>
              <w:t>Ministry of Culture, researchers, site managers</w:t>
            </w:r>
          </w:p>
        </w:tc>
        <w:tc>
          <w:tcPr>
            <w:tcW w:w="0" w:type="auto"/>
            <w:vAlign w:val="center"/>
          </w:tcPr>
          <w:p w14:paraId="37097748">
            <w:pPr>
              <w:rPr>
                <w:rFonts w:ascii="Times New Roman" w:hAnsi="Times New Roman" w:cs="Times New Roman"/>
              </w:rPr>
            </w:pPr>
            <w:r>
              <w:rPr>
                <w:rFonts w:ascii="Times New Roman" w:hAnsi="Times New Roman" w:cs="Times New Roman"/>
              </w:rPr>
              <w:t>Capacity established for each major route</w:t>
            </w:r>
          </w:p>
        </w:tc>
      </w:tr>
      <w:tr w14:paraId="1A123CC6">
        <w:tblPrEx>
          <w:tblCellMar>
            <w:top w:w="15" w:type="dxa"/>
            <w:left w:w="15" w:type="dxa"/>
            <w:bottom w:w="15" w:type="dxa"/>
            <w:right w:w="15" w:type="dxa"/>
          </w:tblCellMar>
        </w:tblPrEx>
        <w:trPr>
          <w:tblCellSpacing w:w="15" w:type="dxa"/>
        </w:trPr>
        <w:tc>
          <w:tcPr>
            <w:tcW w:w="0" w:type="auto"/>
            <w:vAlign w:val="center"/>
          </w:tcPr>
          <w:p w14:paraId="70BAB483">
            <w:pPr>
              <w:rPr>
                <w:rFonts w:ascii="Times New Roman" w:hAnsi="Times New Roman" w:cs="Times New Roman"/>
              </w:rPr>
            </w:pPr>
            <w:r>
              <w:rPr>
                <w:rFonts w:ascii="Times New Roman" w:hAnsi="Times New Roman" w:cs="Times New Roman"/>
              </w:rPr>
              <w:t>Introduce adaptive LAC thresholds</w:t>
            </w:r>
          </w:p>
        </w:tc>
        <w:tc>
          <w:tcPr>
            <w:tcW w:w="0" w:type="auto"/>
            <w:vAlign w:val="center"/>
          </w:tcPr>
          <w:p w14:paraId="45AC0B57">
            <w:pPr>
              <w:rPr>
                <w:rFonts w:ascii="Times New Roman" w:hAnsi="Times New Roman" w:cs="Times New Roman"/>
              </w:rPr>
            </w:pPr>
            <w:r>
              <w:rPr>
                <w:rFonts w:ascii="Times New Roman" w:hAnsi="Times New Roman" w:cs="Times New Roman"/>
              </w:rPr>
              <w:t>Years 1–2</w:t>
            </w:r>
          </w:p>
        </w:tc>
        <w:tc>
          <w:tcPr>
            <w:tcW w:w="0" w:type="auto"/>
            <w:vAlign w:val="center"/>
          </w:tcPr>
          <w:p w14:paraId="743BD075">
            <w:pPr>
              <w:rPr>
                <w:rFonts w:ascii="Times New Roman" w:hAnsi="Times New Roman" w:cs="Times New Roman"/>
              </w:rPr>
            </w:pPr>
            <w:r>
              <w:rPr>
                <w:rFonts w:ascii="Times New Roman" w:hAnsi="Times New Roman" w:cs="Times New Roman"/>
              </w:rPr>
              <w:t>Conservation and tourism authorities</w:t>
            </w:r>
          </w:p>
        </w:tc>
        <w:tc>
          <w:tcPr>
            <w:tcW w:w="0" w:type="auto"/>
            <w:vAlign w:val="center"/>
          </w:tcPr>
          <w:p w14:paraId="35B92020">
            <w:pPr>
              <w:rPr>
                <w:rFonts w:ascii="Times New Roman" w:hAnsi="Times New Roman" w:cs="Times New Roman"/>
              </w:rPr>
            </w:pPr>
            <w:r>
              <w:rPr>
                <w:rFonts w:ascii="Times New Roman" w:hAnsi="Times New Roman" w:cs="Times New Roman"/>
              </w:rPr>
              <w:t>Defined indicators and intervention thresholds</w:t>
            </w:r>
          </w:p>
        </w:tc>
      </w:tr>
      <w:tr w14:paraId="0AD5571B">
        <w:tblPrEx>
          <w:tblCellMar>
            <w:top w:w="15" w:type="dxa"/>
            <w:left w:w="15" w:type="dxa"/>
            <w:bottom w:w="15" w:type="dxa"/>
            <w:right w:w="15" w:type="dxa"/>
          </w:tblCellMar>
        </w:tblPrEx>
        <w:trPr>
          <w:tblCellSpacing w:w="15" w:type="dxa"/>
        </w:trPr>
        <w:tc>
          <w:tcPr>
            <w:tcW w:w="0" w:type="auto"/>
            <w:vAlign w:val="center"/>
          </w:tcPr>
          <w:p w14:paraId="48B246E7">
            <w:pPr>
              <w:rPr>
                <w:rFonts w:ascii="Times New Roman" w:hAnsi="Times New Roman" w:cs="Times New Roman"/>
              </w:rPr>
            </w:pPr>
            <w:r>
              <w:rPr>
                <w:rFonts w:ascii="Times New Roman" w:hAnsi="Times New Roman" w:cs="Times New Roman"/>
              </w:rPr>
              <w:t>Improve digital booking and timed entry</w:t>
            </w:r>
          </w:p>
        </w:tc>
        <w:tc>
          <w:tcPr>
            <w:tcW w:w="0" w:type="auto"/>
            <w:vAlign w:val="center"/>
          </w:tcPr>
          <w:p w14:paraId="7A56F6FD">
            <w:pPr>
              <w:rPr>
                <w:rFonts w:ascii="Times New Roman" w:hAnsi="Times New Roman" w:cs="Times New Roman"/>
              </w:rPr>
            </w:pPr>
            <w:r>
              <w:rPr>
                <w:rFonts w:ascii="Times New Roman" w:hAnsi="Times New Roman" w:cs="Times New Roman"/>
              </w:rPr>
              <w:t>Years 1–2</w:t>
            </w:r>
          </w:p>
        </w:tc>
        <w:tc>
          <w:tcPr>
            <w:tcW w:w="0" w:type="auto"/>
            <w:vAlign w:val="center"/>
          </w:tcPr>
          <w:p w14:paraId="754E3767">
            <w:pPr>
              <w:rPr>
                <w:rFonts w:ascii="Times New Roman" w:hAnsi="Times New Roman" w:cs="Times New Roman"/>
              </w:rPr>
            </w:pPr>
            <w:r>
              <w:rPr>
                <w:rFonts w:ascii="Times New Roman" w:hAnsi="Times New Roman" w:cs="Times New Roman"/>
              </w:rPr>
              <w:t>Government and ticketing bodies</w:t>
            </w:r>
          </w:p>
        </w:tc>
        <w:tc>
          <w:tcPr>
            <w:tcW w:w="0" w:type="auto"/>
            <w:vAlign w:val="center"/>
          </w:tcPr>
          <w:p w14:paraId="54B04F0C">
            <w:pPr>
              <w:rPr>
                <w:rFonts w:ascii="Times New Roman" w:hAnsi="Times New Roman" w:cs="Times New Roman"/>
              </w:rPr>
            </w:pPr>
            <w:r>
              <w:rPr>
                <w:rFonts w:ascii="Times New Roman" w:hAnsi="Times New Roman" w:cs="Times New Roman"/>
              </w:rPr>
              <w:t>At least 95% of visitors entering within allocated management windows</w:t>
            </w:r>
          </w:p>
        </w:tc>
      </w:tr>
      <w:tr w14:paraId="3ADBABD7">
        <w:tblPrEx>
          <w:tblCellMar>
            <w:top w:w="15" w:type="dxa"/>
            <w:left w:w="15" w:type="dxa"/>
            <w:bottom w:w="15" w:type="dxa"/>
            <w:right w:w="15" w:type="dxa"/>
          </w:tblCellMar>
        </w:tblPrEx>
        <w:trPr>
          <w:tblCellSpacing w:w="15" w:type="dxa"/>
        </w:trPr>
        <w:tc>
          <w:tcPr>
            <w:tcW w:w="0" w:type="auto"/>
            <w:vAlign w:val="center"/>
          </w:tcPr>
          <w:p w14:paraId="357B4ED2">
            <w:pPr>
              <w:rPr>
                <w:rFonts w:ascii="Times New Roman" w:hAnsi="Times New Roman" w:cs="Times New Roman"/>
              </w:rPr>
            </w:pPr>
            <w:r>
              <w:rPr>
                <w:rFonts w:ascii="Times New Roman" w:hAnsi="Times New Roman" w:cs="Times New Roman"/>
              </w:rPr>
              <w:t>Develop zoning and recovery areas</w:t>
            </w:r>
          </w:p>
        </w:tc>
        <w:tc>
          <w:tcPr>
            <w:tcW w:w="0" w:type="auto"/>
            <w:vAlign w:val="center"/>
          </w:tcPr>
          <w:p w14:paraId="568BA7FA">
            <w:pPr>
              <w:rPr>
                <w:rFonts w:ascii="Times New Roman" w:hAnsi="Times New Roman" w:cs="Times New Roman"/>
              </w:rPr>
            </w:pPr>
            <w:r>
              <w:rPr>
                <w:rFonts w:ascii="Times New Roman" w:hAnsi="Times New Roman" w:cs="Times New Roman"/>
              </w:rPr>
              <w:t>Years 1–2</w:t>
            </w:r>
          </w:p>
        </w:tc>
        <w:tc>
          <w:tcPr>
            <w:tcW w:w="0" w:type="auto"/>
            <w:vAlign w:val="center"/>
          </w:tcPr>
          <w:p w14:paraId="46B80BEB">
            <w:pPr>
              <w:rPr>
                <w:rFonts w:ascii="Times New Roman" w:hAnsi="Times New Roman" w:cs="Times New Roman"/>
              </w:rPr>
            </w:pPr>
            <w:r>
              <w:rPr>
                <w:rFonts w:ascii="Times New Roman" w:hAnsi="Times New Roman" w:cs="Times New Roman"/>
              </w:rPr>
              <w:t>Heritage and environmental authorities</w:t>
            </w:r>
          </w:p>
        </w:tc>
        <w:tc>
          <w:tcPr>
            <w:tcW w:w="0" w:type="auto"/>
            <w:vAlign w:val="center"/>
          </w:tcPr>
          <w:p w14:paraId="1DAE1801">
            <w:pPr>
              <w:rPr>
                <w:rFonts w:ascii="Times New Roman" w:hAnsi="Times New Roman" w:cs="Times New Roman"/>
              </w:rPr>
            </w:pPr>
            <w:r>
              <w:rPr>
                <w:rFonts w:ascii="Times New Roman" w:hAnsi="Times New Roman" w:cs="Times New Roman"/>
              </w:rPr>
              <w:t>All sensitive areas assigned a management category</w:t>
            </w:r>
          </w:p>
        </w:tc>
      </w:tr>
      <w:tr w14:paraId="737A8D94">
        <w:tblPrEx>
          <w:tblCellMar>
            <w:top w:w="15" w:type="dxa"/>
            <w:left w:w="15" w:type="dxa"/>
            <w:bottom w:w="15" w:type="dxa"/>
            <w:right w:w="15" w:type="dxa"/>
          </w:tblCellMar>
        </w:tblPrEx>
        <w:trPr>
          <w:tblCellSpacing w:w="15" w:type="dxa"/>
        </w:trPr>
        <w:tc>
          <w:tcPr>
            <w:tcW w:w="0" w:type="auto"/>
            <w:vAlign w:val="center"/>
          </w:tcPr>
          <w:p w14:paraId="185C29E7">
            <w:pPr>
              <w:rPr>
                <w:rFonts w:ascii="Times New Roman" w:hAnsi="Times New Roman" w:cs="Times New Roman"/>
              </w:rPr>
            </w:pPr>
            <w:r>
              <w:rPr>
                <w:rFonts w:ascii="Times New Roman" w:hAnsi="Times New Roman" w:cs="Times New Roman"/>
              </w:rPr>
              <w:t>Introduce peak-period conservation pricing</w:t>
            </w:r>
          </w:p>
        </w:tc>
        <w:tc>
          <w:tcPr>
            <w:tcW w:w="0" w:type="auto"/>
            <w:vAlign w:val="center"/>
          </w:tcPr>
          <w:p w14:paraId="22C051BF">
            <w:pPr>
              <w:rPr>
                <w:rFonts w:ascii="Times New Roman" w:hAnsi="Times New Roman" w:cs="Times New Roman"/>
              </w:rPr>
            </w:pPr>
            <w:r>
              <w:rPr>
                <w:rFonts w:ascii="Times New Roman" w:hAnsi="Times New Roman" w:cs="Times New Roman"/>
              </w:rPr>
              <w:t>Years 2–3</w:t>
            </w:r>
          </w:p>
        </w:tc>
        <w:tc>
          <w:tcPr>
            <w:tcW w:w="0" w:type="auto"/>
            <w:vAlign w:val="center"/>
          </w:tcPr>
          <w:p w14:paraId="470CC329">
            <w:pPr>
              <w:rPr>
                <w:rFonts w:ascii="Times New Roman" w:hAnsi="Times New Roman" w:cs="Times New Roman"/>
              </w:rPr>
            </w:pPr>
            <w:r>
              <w:rPr>
                <w:rFonts w:ascii="Times New Roman" w:hAnsi="Times New Roman" w:cs="Times New Roman"/>
              </w:rPr>
              <w:t>Government and tourism stakeholders</w:t>
            </w:r>
          </w:p>
        </w:tc>
        <w:tc>
          <w:tcPr>
            <w:tcW w:w="0" w:type="auto"/>
            <w:vAlign w:val="center"/>
          </w:tcPr>
          <w:p w14:paraId="4FA7CD44">
            <w:pPr>
              <w:rPr>
                <w:rFonts w:ascii="Times New Roman" w:hAnsi="Times New Roman" w:cs="Times New Roman"/>
              </w:rPr>
            </w:pPr>
            <w:r>
              <w:rPr>
                <w:rFonts w:ascii="Times New Roman" w:hAnsi="Times New Roman" w:cs="Times New Roman"/>
              </w:rPr>
              <w:t>Reduced concentration during highest-demand periods</w:t>
            </w:r>
          </w:p>
        </w:tc>
      </w:tr>
      <w:tr w14:paraId="5762D63A">
        <w:tblPrEx>
          <w:tblCellMar>
            <w:top w:w="15" w:type="dxa"/>
            <w:left w:w="15" w:type="dxa"/>
            <w:bottom w:w="15" w:type="dxa"/>
            <w:right w:w="15" w:type="dxa"/>
          </w:tblCellMar>
        </w:tblPrEx>
        <w:trPr>
          <w:tblCellSpacing w:w="15" w:type="dxa"/>
        </w:trPr>
        <w:tc>
          <w:tcPr>
            <w:tcW w:w="0" w:type="auto"/>
            <w:vAlign w:val="center"/>
          </w:tcPr>
          <w:p w14:paraId="3F966BD7">
            <w:pPr>
              <w:rPr>
                <w:rFonts w:ascii="Times New Roman" w:hAnsi="Times New Roman" w:cs="Times New Roman"/>
              </w:rPr>
            </w:pPr>
            <w:r>
              <w:rPr>
                <w:rFonts w:ascii="Times New Roman" w:hAnsi="Times New Roman" w:cs="Times New Roman"/>
              </w:rPr>
              <w:t>Strengthen community tourism programme</w:t>
            </w:r>
          </w:p>
        </w:tc>
        <w:tc>
          <w:tcPr>
            <w:tcW w:w="0" w:type="auto"/>
            <w:vAlign w:val="center"/>
          </w:tcPr>
          <w:p w14:paraId="08B3E15D">
            <w:pPr>
              <w:rPr>
                <w:rFonts w:ascii="Times New Roman" w:hAnsi="Times New Roman" w:cs="Times New Roman"/>
              </w:rPr>
            </w:pPr>
            <w:r>
              <w:rPr>
                <w:rFonts w:ascii="Times New Roman" w:hAnsi="Times New Roman" w:cs="Times New Roman"/>
              </w:rPr>
              <w:t>Years 2–4</w:t>
            </w:r>
          </w:p>
        </w:tc>
        <w:tc>
          <w:tcPr>
            <w:tcW w:w="0" w:type="auto"/>
            <w:vAlign w:val="center"/>
          </w:tcPr>
          <w:p w14:paraId="77D9607C">
            <w:pPr>
              <w:rPr>
                <w:rFonts w:ascii="Times New Roman" w:hAnsi="Times New Roman" w:cs="Times New Roman"/>
              </w:rPr>
            </w:pPr>
            <w:r>
              <w:rPr>
                <w:rFonts w:ascii="Times New Roman" w:hAnsi="Times New Roman" w:cs="Times New Roman"/>
              </w:rPr>
              <w:t>Communities, local government and businesses</w:t>
            </w:r>
          </w:p>
        </w:tc>
        <w:tc>
          <w:tcPr>
            <w:tcW w:w="0" w:type="auto"/>
            <w:vAlign w:val="center"/>
          </w:tcPr>
          <w:p w14:paraId="69575B9F">
            <w:pPr>
              <w:rPr>
                <w:rFonts w:ascii="Times New Roman" w:hAnsi="Times New Roman" w:cs="Times New Roman"/>
              </w:rPr>
            </w:pPr>
            <w:r>
              <w:rPr>
                <w:rFonts w:ascii="Times New Roman" w:hAnsi="Times New Roman" w:cs="Times New Roman"/>
              </w:rPr>
              <w:t>Measurable increase in local participation and local tourism spending</w:t>
            </w:r>
          </w:p>
        </w:tc>
      </w:tr>
      <w:tr w14:paraId="498F0994">
        <w:tblPrEx>
          <w:tblCellMar>
            <w:top w:w="15" w:type="dxa"/>
            <w:left w:w="15" w:type="dxa"/>
            <w:bottom w:w="15" w:type="dxa"/>
            <w:right w:w="15" w:type="dxa"/>
          </w:tblCellMar>
        </w:tblPrEx>
        <w:trPr>
          <w:tblCellSpacing w:w="15" w:type="dxa"/>
        </w:trPr>
        <w:tc>
          <w:tcPr>
            <w:tcW w:w="0" w:type="auto"/>
            <w:vAlign w:val="center"/>
          </w:tcPr>
          <w:p w14:paraId="05C14564">
            <w:pPr>
              <w:rPr>
                <w:rFonts w:ascii="Times New Roman" w:hAnsi="Times New Roman" w:cs="Times New Roman"/>
              </w:rPr>
            </w:pPr>
            <w:r>
              <w:rPr>
                <w:rFonts w:ascii="Times New Roman" w:hAnsi="Times New Roman" w:cs="Times New Roman"/>
              </w:rPr>
              <w:t>Coordinate transport with entry slots</w:t>
            </w:r>
          </w:p>
        </w:tc>
        <w:tc>
          <w:tcPr>
            <w:tcW w:w="0" w:type="auto"/>
            <w:vAlign w:val="center"/>
          </w:tcPr>
          <w:p w14:paraId="628FCA65">
            <w:pPr>
              <w:rPr>
                <w:rFonts w:ascii="Times New Roman" w:hAnsi="Times New Roman" w:cs="Times New Roman"/>
              </w:rPr>
            </w:pPr>
            <w:r>
              <w:rPr>
                <w:rFonts w:ascii="Times New Roman" w:hAnsi="Times New Roman" w:cs="Times New Roman"/>
              </w:rPr>
              <w:t>Years 2–4</w:t>
            </w:r>
          </w:p>
        </w:tc>
        <w:tc>
          <w:tcPr>
            <w:tcW w:w="0" w:type="auto"/>
            <w:vAlign w:val="center"/>
          </w:tcPr>
          <w:p w14:paraId="41545FF4">
            <w:pPr>
              <w:rPr>
                <w:rFonts w:ascii="Times New Roman" w:hAnsi="Times New Roman" w:cs="Times New Roman"/>
              </w:rPr>
            </w:pPr>
            <w:r>
              <w:rPr>
                <w:rFonts w:ascii="Times New Roman" w:hAnsi="Times New Roman" w:cs="Times New Roman"/>
              </w:rPr>
              <w:t>Transport operators and government</w:t>
            </w:r>
          </w:p>
        </w:tc>
        <w:tc>
          <w:tcPr>
            <w:tcW w:w="0" w:type="auto"/>
            <w:vAlign w:val="center"/>
          </w:tcPr>
          <w:p w14:paraId="5CF1F69F">
            <w:pPr>
              <w:rPr>
                <w:rFonts w:ascii="Times New Roman" w:hAnsi="Times New Roman" w:cs="Times New Roman"/>
              </w:rPr>
            </w:pPr>
            <w:r>
              <w:rPr>
                <w:rFonts w:ascii="Times New Roman" w:hAnsi="Times New Roman" w:cs="Times New Roman"/>
              </w:rPr>
              <w:t>Reduction in peak congestion and waiting time</w:t>
            </w:r>
          </w:p>
        </w:tc>
      </w:tr>
      <w:tr w14:paraId="5D31BC19">
        <w:tblPrEx>
          <w:tblCellMar>
            <w:top w:w="15" w:type="dxa"/>
            <w:left w:w="15" w:type="dxa"/>
            <w:bottom w:w="15" w:type="dxa"/>
            <w:right w:w="15" w:type="dxa"/>
          </w:tblCellMar>
        </w:tblPrEx>
        <w:trPr>
          <w:tblCellSpacing w:w="15" w:type="dxa"/>
        </w:trPr>
        <w:tc>
          <w:tcPr>
            <w:tcW w:w="0" w:type="auto"/>
            <w:vAlign w:val="center"/>
          </w:tcPr>
          <w:p w14:paraId="0F6F481D">
            <w:pPr>
              <w:rPr>
                <w:rFonts w:ascii="Times New Roman" w:hAnsi="Times New Roman" w:cs="Times New Roman"/>
              </w:rPr>
            </w:pPr>
            <w:r>
              <w:rPr>
                <w:rFonts w:ascii="Times New Roman" w:hAnsi="Times New Roman" w:cs="Times New Roman"/>
              </w:rPr>
              <w:t>Publish annual sustainability report</w:t>
            </w:r>
          </w:p>
        </w:tc>
        <w:tc>
          <w:tcPr>
            <w:tcW w:w="0" w:type="auto"/>
            <w:vAlign w:val="center"/>
          </w:tcPr>
          <w:p w14:paraId="3B2E2FBE">
            <w:pPr>
              <w:rPr>
                <w:rFonts w:ascii="Times New Roman" w:hAnsi="Times New Roman" w:cs="Times New Roman"/>
              </w:rPr>
            </w:pPr>
            <w:r>
              <w:rPr>
                <w:rFonts w:ascii="Times New Roman" w:hAnsi="Times New Roman" w:cs="Times New Roman"/>
              </w:rPr>
              <w:t>Every year</w:t>
            </w:r>
          </w:p>
        </w:tc>
        <w:tc>
          <w:tcPr>
            <w:tcW w:w="0" w:type="auto"/>
            <w:vAlign w:val="center"/>
          </w:tcPr>
          <w:p w14:paraId="75EA5021">
            <w:pPr>
              <w:rPr>
                <w:rFonts w:ascii="Times New Roman" w:hAnsi="Times New Roman" w:cs="Times New Roman"/>
              </w:rPr>
            </w:pPr>
            <w:r>
              <w:rPr>
                <w:rFonts w:ascii="Times New Roman" w:hAnsi="Times New Roman" w:cs="Times New Roman"/>
              </w:rPr>
              <w:t>Sustainable Tourism Management Council</w:t>
            </w:r>
          </w:p>
        </w:tc>
        <w:tc>
          <w:tcPr>
            <w:tcW w:w="0" w:type="auto"/>
            <w:vAlign w:val="center"/>
          </w:tcPr>
          <w:p w14:paraId="39110676">
            <w:pPr>
              <w:rPr>
                <w:rFonts w:ascii="Times New Roman" w:hAnsi="Times New Roman" w:cs="Times New Roman"/>
              </w:rPr>
            </w:pPr>
            <w:r>
              <w:rPr>
                <w:rFonts w:ascii="Times New Roman" w:hAnsi="Times New Roman" w:cs="Times New Roman"/>
              </w:rPr>
              <w:t>Public report issued annually</w:t>
            </w:r>
          </w:p>
        </w:tc>
      </w:tr>
    </w:tbl>
    <w:p w14:paraId="580A061D">
      <w:pPr>
        <w:rPr>
          <w:rFonts w:ascii="Times New Roman" w:hAnsi="Times New Roman" w:cs="Times New Roman"/>
        </w:rPr>
      </w:pPr>
      <w:r>
        <w:rPr>
          <w:rFonts w:ascii="Times New Roman" w:hAnsi="Times New Roman" w:cs="Times New Roman"/>
        </w:rPr>
        <w:t>The KPIs should not be treated as purely administrative targets. The most important measures should show whether tourism is becoming more sustainable.</w:t>
      </w:r>
    </w:p>
    <w:p w14:paraId="13996A1E">
      <w:p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bCs/>
        </w:rPr>
        <w:t>heritage KPI</w:t>
      </w:r>
      <w:r>
        <w:rPr>
          <w:rFonts w:ascii="Times New Roman" w:hAnsi="Times New Roman" w:cs="Times New Roman"/>
        </w:rPr>
        <w:t xml:space="preserve"> should track physical deterioration at monitored archaeological points. The target should be no significant deterioration above the agreed conservation baseline caused by visitor pressure.</w:t>
      </w:r>
    </w:p>
    <w:p w14:paraId="7F88C3BB">
      <w:pPr>
        <w:rPr>
          <w:rFonts w:ascii="Times New Roman" w:hAnsi="Times New Roman" w:cs="Times New Roman"/>
        </w:rPr>
      </w:pPr>
      <w:r>
        <w:rPr>
          <w:rFonts w:ascii="Times New Roman" w:hAnsi="Times New Roman" w:cs="Times New Roman"/>
        </w:rPr>
        <w:t xml:space="preserve">An </w:t>
      </w:r>
      <w:r>
        <w:rPr>
          <w:rFonts w:ascii="Times New Roman" w:hAnsi="Times New Roman" w:cs="Times New Roman"/>
          <w:b/>
          <w:bCs/>
        </w:rPr>
        <w:t>environmental KPI</w:t>
      </w:r>
      <w:r>
        <w:rPr>
          <w:rFonts w:ascii="Times New Roman" w:hAnsi="Times New Roman" w:cs="Times New Roman"/>
        </w:rPr>
        <w:t xml:space="preserve"> should measure erosion, waste, water quality and ecological conditions. If an indicator exceeds its LAC threshold, the affected area should automatically move to a stronger management level.</w:t>
      </w:r>
    </w:p>
    <w:p w14:paraId="3CC9DE09">
      <w:p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bCs/>
        </w:rPr>
        <w:t>visitor-experience KPI</w:t>
      </w:r>
      <w:r>
        <w:rPr>
          <w:rFonts w:ascii="Times New Roman" w:hAnsi="Times New Roman" w:cs="Times New Roman"/>
        </w:rPr>
        <w:t xml:space="preserve"> should measure perceived crowding, satisfaction and waiting time. If visitor numbers remain within the official limit but satisfaction falls because too many people occupy the same space at the same time, route distribution should be adjusted.</w:t>
      </w:r>
    </w:p>
    <w:p w14:paraId="2757D7E9">
      <w:p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bCs/>
        </w:rPr>
        <w:t>community KPI</w:t>
      </w:r>
      <w:r>
        <w:rPr>
          <w:rFonts w:ascii="Times New Roman" w:hAnsi="Times New Roman" w:cs="Times New Roman"/>
        </w:rPr>
        <w:t xml:space="preserve"> should measure resident attitudes towards tourism. This should include whether local people feel tourism creates fair economic benefits and whether congestion or infrastructure pressures are acceptable.</w:t>
      </w:r>
    </w:p>
    <w:p w14:paraId="7002DAE9">
      <w:pPr>
        <w:rPr>
          <w:rFonts w:ascii="Times New Roman" w:hAnsi="Times New Roman" w:cs="Times New Roman"/>
        </w:rPr>
      </w:pPr>
      <w:r>
        <w:rPr>
          <w:rFonts w:ascii="Times New Roman" w:hAnsi="Times New Roman" w:cs="Times New Roman"/>
        </w:rPr>
        <w:t xml:space="preserve">An </w:t>
      </w:r>
      <w:r>
        <w:rPr>
          <w:rFonts w:ascii="Times New Roman" w:hAnsi="Times New Roman" w:cs="Times New Roman"/>
          <w:b/>
          <w:bCs/>
        </w:rPr>
        <w:t>economic KPI</w:t>
      </w:r>
      <w:r>
        <w:rPr>
          <w:rFonts w:ascii="Times New Roman" w:hAnsi="Times New Roman" w:cs="Times New Roman"/>
        </w:rPr>
        <w:t xml:space="preserve"> should examine local tourism spending rather than focusing only on total ticket revenue. Increasing spending retained within local businesses would show that economic benefits can grow without continuously increasing visitor volume.</w:t>
      </w:r>
    </w:p>
    <w:p w14:paraId="3895119C">
      <w:pPr>
        <w:rPr>
          <w:rFonts w:ascii="Times New Roman" w:hAnsi="Times New Roman" w:cs="Times New Roman"/>
        </w:rPr>
      </w:pPr>
      <w:r>
        <w:rPr>
          <w:rFonts w:ascii="Times New Roman" w:hAnsi="Times New Roman" w:cs="Times New Roman"/>
        </w:rPr>
        <w:t xml:space="preserve">Finally, a </w:t>
      </w:r>
      <w:r>
        <w:rPr>
          <w:rFonts w:ascii="Times New Roman" w:hAnsi="Times New Roman" w:cs="Times New Roman"/>
          <w:b/>
          <w:bCs/>
        </w:rPr>
        <w:t>governance KPI</w:t>
      </w:r>
      <w:r>
        <w:rPr>
          <w:rFonts w:ascii="Times New Roman" w:hAnsi="Times New Roman" w:cs="Times New Roman"/>
        </w:rPr>
        <w:t xml:space="preserve"> should measure stakeholder participation, publication of monitoring information and completion of management actions.</w:t>
      </w:r>
    </w:p>
    <w:p w14:paraId="49D155FA">
      <w:pPr>
        <w:rPr>
          <w:rFonts w:ascii="Times New Roman" w:hAnsi="Times New Roman" w:cs="Times New Roman"/>
        </w:rPr>
      </w:pPr>
      <w:r>
        <w:rPr>
          <w:rFonts w:ascii="Times New Roman" w:hAnsi="Times New Roman" w:cs="Times New Roman"/>
        </w:rPr>
        <w:t xml:space="preserve">This approach creates a continuous planning cycle: </w:t>
      </w:r>
      <w:r>
        <w:rPr>
          <w:rFonts w:ascii="Times New Roman" w:hAnsi="Times New Roman" w:cs="Times New Roman"/>
          <w:b/>
          <w:bCs/>
        </w:rPr>
        <w:t>measure conditions, compare them with standards, take management action, monitor the results and revise the plan.</w:t>
      </w:r>
    </w:p>
    <w:p w14:paraId="7EDC3C85">
      <w:pPr>
        <w:rPr>
          <w:rFonts w:ascii="Times New Roman" w:hAnsi="Times New Roman" w:cs="Times New Roman"/>
        </w:rPr>
      </w:pPr>
    </w:p>
    <w:p w14:paraId="620ABF50">
      <w:pPr>
        <w:rPr>
          <w:rFonts w:ascii="Times New Roman" w:hAnsi="Times New Roman" w:cs="Times New Roman"/>
          <w:b/>
          <w:bCs/>
          <w:sz w:val="44"/>
          <w:szCs w:val="44"/>
        </w:rPr>
      </w:pPr>
      <w:r>
        <w:rPr>
          <w:rFonts w:ascii="Times New Roman" w:hAnsi="Times New Roman" w:cs="Times New Roman"/>
          <w:b/>
          <w:bCs/>
          <w:sz w:val="44"/>
          <w:szCs w:val="44"/>
        </w:rPr>
        <w:t>9. Conclusion and Recommendations</w:t>
      </w:r>
    </w:p>
    <w:p w14:paraId="515A49C9">
      <w:pPr>
        <w:rPr>
          <w:rFonts w:ascii="Times New Roman" w:hAnsi="Times New Roman" w:cs="Times New Roman"/>
        </w:rPr>
      </w:pPr>
      <w:r>
        <w:rPr>
          <w:rFonts w:ascii="Times New Roman" w:hAnsi="Times New Roman" w:cs="Times New Roman"/>
        </w:rPr>
        <w:t>Machu Picchu demonstrates the opportunities and risks created by tourism in fragile heritage destinations. Tourism generates employment, business activity and funding, while increasing global awareness of an internationally important cultural and natural site. However, high concentrations of visitors can also produce environmental pressure, congestion, infrastructure demand, heritage deterioration and social challenges.</w:t>
      </w:r>
    </w:p>
    <w:p w14:paraId="0FCD892D">
      <w:pPr>
        <w:rPr>
          <w:rFonts w:ascii="Times New Roman" w:hAnsi="Times New Roman" w:cs="Times New Roman"/>
        </w:rPr>
      </w:pPr>
      <w:r>
        <w:rPr>
          <w:rFonts w:ascii="Times New Roman" w:hAnsi="Times New Roman" w:cs="Times New Roman"/>
        </w:rPr>
        <w:t>The analysis shows that traditional reactive management is insufficient because important damage may already have occurred by the time action is taken. Tourism Carrying Capacity Assessment provides a stronger approach because it considers limits to tourism activity. However, carrying capacity should not be treated only as one fixed visitor number. Physical, environmental, social, economic and managerial conditions can change across seasons, routes and years.</w:t>
      </w:r>
    </w:p>
    <w:p w14:paraId="5B143F10">
      <w:pPr>
        <w:rPr>
          <w:rFonts w:ascii="Times New Roman" w:hAnsi="Times New Roman" w:cs="Times New Roman"/>
        </w:rPr>
      </w:pPr>
      <w:r>
        <w:rPr>
          <w:rFonts w:ascii="Times New Roman" w:hAnsi="Times New Roman" w:cs="Times New Roman"/>
        </w:rPr>
        <w:t>Limits of Acceptable Change provides an important additional framework because it focuses on the actual condition of the destination. Combining TCCA and LAC would therefore create a stronger management system for Machu Picchu.</w:t>
      </w:r>
    </w:p>
    <w:p w14:paraId="32C44019">
      <w:pPr>
        <w:rPr>
          <w:rFonts w:ascii="Times New Roman" w:hAnsi="Times New Roman" w:cs="Times New Roman"/>
        </w:rPr>
      </w:pPr>
      <w:r>
        <w:rPr>
          <w:rFonts w:ascii="Times New Roman" w:hAnsi="Times New Roman" w:cs="Times New Roman"/>
        </w:rPr>
        <w:t xml:space="preserve">The existing system already contains important sustainable-management features, including visitor limits and controlled circuits. Nevertheless, current UNESCO concerns demonstrate that visitor capacity must be supported by stronger monitoring and technical evidence rather than being increased mainly because tourism demand is high. </w:t>
      </w:r>
    </w:p>
    <w:p w14:paraId="2DDBDF84">
      <w:pPr>
        <w:rPr>
          <w:rFonts w:ascii="Times New Roman" w:hAnsi="Times New Roman" w:cs="Times New Roman"/>
        </w:rPr>
      </w:pPr>
      <w:r>
        <w:rPr>
          <w:rFonts w:ascii="Times New Roman" w:hAnsi="Times New Roman" w:cs="Times New Roman"/>
        </w:rPr>
        <w:t>The report therefore recommends that Machu Picchu adopt an adaptive visitor-capacity system, strengthen spatial zoning, maintain timed ticketing, introduce carefully designed variable conservation pricing, improve transport coordination, expand community participation and publish annual sustainability results.</w:t>
      </w:r>
    </w:p>
    <w:p w14:paraId="671A9C06">
      <w:pPr>
        <w:rPr>
          <w:rFonts w:ascii="Times New Roman" w:hAnsi="Times New Roman" w:cs="Times New Roman"/>
        </w:rPr>
      </w:pPr>
      <w:r>
        <w:rPr>
          <w:rFonts w:ascii="Times New Roman" w:hAnsi="Times New Roman" w:cs="Times New Roman"/>
        </w:rPr>
        <w:t>Most importantly, the success of Machu Picchu should not be measured by achieving the highest possible annual visitor number. A more suitable measure is whether the destination can protect its cultural and natural heritage, provide a high-quality experience, support local communities and remain economically valuable for future generations.</w:t>
      </w:r>
    </w:p>
    <w:p w14:paraId="79B06A0D">
      <w:pPr>
        <w:rPr>
          <w:rFonts w:ascii="Times New Roman" w:hAnsi="Times New Roman" w:cs="Times New Roman"/>
        </w:rPr>
      </w:pPr>
      <w:r>
        <w:rPr>
          <w:rFonts w:ascii="Times New Roman" w:hAnsi="Times New Roman" w:cs="Times New Roman"/>
        </w:rPr>
        <w:t>Sustainable tourism does not mean stopping people from visiting important destinations. It means managing tourism so that today's visitors do not reduce the opportunities available to tomorrow's communities and visitors.</w:t>
      </w:r>
    </w:p>
    <w:p w14:paraId="47A8F5CA">
      <w:pPr>
        <w:rPr>
          <w:rFonts w:ascii="Times New Roman" w:hAnsi="Times New Roman" w:cs="Times New Roman"/>
        </w:rPr>
      </w:pPr>
    </w:p>
    <w:p w14:paraId="7FE163D7">
      <w:pPr>
        <w:rPr>
          <w:rFonts w:ascii="Times New Roman" w:hAnsi="Times New Roman" w:cs="Times New Roman"/>
          <w:b/>
          <w:bCs/>
          <w:sz w:val="44"/>
          <w:szCs w:val="44"/>
        </w:rPr>
      </w:pPr>
      <w:r>
        <w:rPr>
          <w:rFonts w:ascii="Times New Roman" w:hAnsi="Times New Roman" w:cs="Times New Roman"/>
          <w:b/>
          <w:bCs/>
          <w:sz w:val="44"/>
          <w:szCs w:val="44"/>
        </w:rPr>
        <w:t>References</w:t>
      </w:r>
    </w:p>
    <w:p w14:paraId="3B7DF8A9">
      <w:pPr>
        <w:pStyle w:val="32"/>
        <w:numPr>
          <w:ilvl w:val="0"/>
          <w:numId w:val="2"/>
        </w:numPr>
        <w:rPr>
          <w:rFonts w:ascii="Times New Roman" w:hAnsi="Times New Roman" w:cs="Times New Roman"/>
        </w:rPr>
      </w:pPr>
      <w:r>
        <w:rPr>
          <w:rFonts w:ascii="Times New Roman" w:hAnsi="Times New Roman" w:cs="Times New Roman"/>
        </w:rPr>
        <w:t xml:space="preserve">Cole, D. N., &amp; McCool, S. F. (1997). </w:t>
      </w:r>
      <w:r>
        <w:rPr>
          <w:rFonts w:ascii="Times New Roman" w:hAnsi="Times New Roman" w:cs="Times New Roman"/>
          <w:i/>
          <w:iCs/>
        </w:rPr>
        <w:t>The limits of acceptable change process: Modifications and clarifications</w:t>
      </w:r>
      <w:r>
        <w:rPr>
          <w:rFonts w:ascii="Times New Roman" w:hAnsi="Times New Roman" w:cs="Times New Roman"/>
        </w:rPr>
        <w:t xml:space="preserve">. U.S. Department of Agriculture, Forest Service. </w:t>
      </w:r>
      <w:r>
        <w:fldChar w:fldCharType="begin"/>
      </w:r>
      <w:r>
        <w:instrText xml:space="preserve"> HYPERLINK "https://research.fs.usda.gov/treesearch/23911" </w:instrText>
      </w:r>
      <w:r>
        <w:fldChar w:fldCharType="separate"/>
      </w:r>
      <w:r>
        <w:rPr>
          <w:rStyle w:val="16"/>
          <w:rFonts w:ascii="Times New Roman" w:hAnsi="Times New Roman" w:cs="Times New Roman"/>
        </w:rPr>
        <w:t>https://research.fs.usda.gov/treesearch/23911</w:t>
      </w:r>
      <w:r>
        <w:rPr>
          <w:rStyle w:val="16"/>
          <w:rFonts w:ascii="Times New Roman" w:hAnsi="Times New Roman" w:cs="Times New Roman"/>
        </w:rPr>
        <w:fldChar w:fldCharType="end"/>
      </w:r>
    </w:p>
    <w:p w14:paraId="6A90777E">
      <w:pPr>
        <w:pStyle w:val="32"/>
        <w:numPr>
          <w:ilvl w:val="0"/>
          <w:numId w:val="2"/>
        </w:numPr>
        <w:rPr>
          <w:rFonts w:ascii="Times New Roman" w:hAnsi="Times New Roman" w:cs="Times New Roman"/>
        </w:rPr>
      </w:pPr>
      <w:r>
        <w:rPr>
          <w:rFonts w:ascii="Times New Roman" w:hAnsi="Times New Roman" w:cs="Times New Roman"/>
        </w:rPr>
        <w:t xml:space="preserve">Comune di Venezia. (2026a). </w:t>
      </w:r>
      <w:r>
        <w:rPr>
          <w:rFonts w:ascii="Times New Roman" w:hAnsi="Times New Roman" w:cs="Times New Roman"/>
          <w:i/>
          <w:iCs/>
        </w:rPr>
        <w:t>Affidamento a Vela del contributo di accesso, il Consiglio approva</w:t>
      </w:r>
      <w:r>
        <w:rPr>
          <w:rFonts w:ascii="Times New Roman" w:hAnsi="Times New Roman" w:cs="Times New Roman"/>
        </w:rPr>
        <w:t xml:space="preserve">. </w:t>
      </w:r>
    </w:p>
    <w:p w14:paraId="5BBB7D41">
      <w:pPr>
        <w:pStyle w:val="32"/>
        <w:numPr>
          <w:ilvl w:val="0"/>
          <w:numId w:val="2"/>
        </w:numPr>
        <w:rPr>
          <w:rFonts w:ascii="Times New Roman" w:hAnsi="Times New Roman" w:cs="Times New Roman"/>
        </w:rPr>
      </w:pPr>
      <w:r>
        <w:fldChar w:fldCharType="begin"/>
      </w:r>
      <w:r>
        <w:instrText xml:space="preserve"> HYPERLINK "https://live.comune.venezia.it/it/2026/02/affidamento-vela-della-vendita-e-riscossione-del-contributo-di-accesso-il-consiglio-approva" </w:instrText>
      </w:r>
      <w:r>
        <w:fldChar w:fldCharType="separate"/>
      </w:r>
      <w:r>
        <w:rPr>
          <w:rStyle w:val="16"/>
          <w:rFonts w:ascii="Times New Roman" w:hAnsi="Times New Roman" w:cs="Times New Roman"/>
        </w:rPr>
        <w:t>https://live.comune.venezia.it/it/2026/02/affidamento-vela-della-vendita-e-riscossione-del-contributo-di-accesso-il-consiglio-approva</w:t>
      </w:r>
      <w:r>
        <w:rPr>
          <w:rStyle w:val="16"/>
          <w:rFonts w:ascii="Times New Roman" w:hAnsi="Times New Roman" w:cs="Times New Roman"/>
        </w:rPr>
        <w:fldChar w:fldCharType="end"/>
      </w:r>
    </w:p>
    <w:p w14:paraId="73B723DB">
      <w:pPr>
        <w:pStyle w:val="32"/>
        <w:numPr>
          <w:ilvl w:val="0"/>
          <w:numId w:val="2"/>
        </w:numPr>
        <w:rPr>
          <w:rFonts w:ascii="Times New Roman" w:hAnsi="Times New Roman" w:cs="Times New Roman"/>
        </w:rPr>
      </w:pPr>
      <w:r>
        <w:rPr>
          <w:rFonts w:ascii="Times New Roman" w:hAnsi="Times New Roman" w:cs="Times New Roman"/>
        </w:rPr>
        <w:t xml:space="preserve">Comune di Venezia. (2026b). </w:t>
      </w:r>
      <w:r>
        <w:rPr>
          <w:rFonts w:ascii="Times New Roman" w:hAnsi="Times New Roman" w:cs="Times New Roman"/>
          <w:i/>
          <w:iCs/>
        </w:rPr>
        <w:t>Contributo di accesso, i dati provvisori del 2026</w:t>
      </w:r>
      <w:r>
        <w:rPr>
          <w:rFonts w:ascii="Times New Roman" w:hAnsi="Times New Roman" w:cs="Times New Roman"/>
        </w:rPr>
        <w:t xml:space="preserve">. </w:t>
      </w:r>
      <w:r>
        <w:fldChar w:fldCharType="begin"/>
      </w:r>
      <w:r>
        <w:instrText xml:space="preserve"> HYPERLINK "https://live.comune.venezia.it/index.php/it/2026/07/contributo-di-accesso-i-dati-provvisori-del-2026-calano-la-media-giornaliera-dei-voucher-e" </w:instrText>
      </w:r>
      <w:r>
        <w:fldChar w:fldCharType="separate"/>
      </w:r>
      <w:r>
        <w:rPr>
          <w:rStyle w:val="16"/>
          <w:rFonts w:ascii="Times New Roman" w:hAnsi="Times New Roman" w:cs="Times New Roman"/>
        </w:rPr>
        <w:t>https://live.comune.venezia.it/index.php/it/2026/07/contributo-di-accesso-i-dati-provvisori-del-2026-calano-la-media-giornaliera-dei-voucher-e</w:t>
      </w:r>
      <w:r>
        <w:rPr>
          <w:rStyle w:val="16"/>
          <w:rFonts w:ascii="Times New Roman" w:hAnsi="Times New Roman" w:cs="Times New Roman"/>
        </w:rPr>
        <w:fldChar w:fldCharType="end"/>
      </w:r>
    </w:p>
    <w:p w14:paraId="41F087D9">
      <w:pPr>
        <w:pStyle w:val="32"/>
        <w:numPr>
          <w:ilvl w:val="0"/>
          <w:numId w:val="2"/>
        </w:numPr>
        <w:rPr>
          <w:rFonts w:ascii="Times New Roman" w:hAnsi="Times New Roman" w:cs="Times New Roman"/>
        </w:rPr>
      </w:pPr>
      <w:r>
        <w:rPr>
          <w:rFonts w:ascii="Times New Roman" w:hAnsi="Times New Roman" w:cs="Times New Roman"/>
        </w:rPr>
        <w:t xml:space="preserve">Ekin, G. S., Ekin, Y., Akbulut, O., &amp; Celik, T. (2026). Carrying capacity and adaptive visitor use management for sustainable parks and protected recreation areas: A critical narrative review. </w:t>
      </w:r>
      <w:r>
        <w:rPr>
          <w:rFonts w:ascii="Times New Roman" w:hAnsi="Times New Roman" w:cs="Times New Roman"/>
          <w:i/>
          <w:iCs/>
        </w:rPr>
        <w:t>Sustainability, 18</w:t>
      </w:r>
      <w:r>
        <w:rPr>
          <w:rFonts w:ascii="Times New Roman" w:hAnsi="Times New Roman" w:cs="Times New Roman"/>
        </w:rPr>
        <w:t xml:space="preserve">(16), 8037. </w:t>
      </w:r>
      <w:r>
        <w:fldChar w:fldCharType="begin"/>
      </w:r>
      <w:r>
        <w:instrText xml:space="preserve"> HYPERLINK "https://www.mdpi.com/2071-1050/18/16/8037" </w:instrText>
      </w:r>
      <w:r>
        <w:fldChar w:fldCharType="separate"/>
      </w:r>
      <w:r>
        <w:rPr>
          <w:rStyle w:val="16"/>
          <w:rFonts w:ascii="Times New Roman" w:hAnsi="Times New Roman" w:cs="Times New Roman"/>
        </w:rPr>
        <w:t>https://doi.org/10.3390/su18168037</w:t>
      </w:r>
      <w:r>
        <w:rPr>
          <w:rStyle w:val="16"/>
          <w:rFonts w:ascii="Times New Roman" w:hAnsi="Times New Roman" w:cs="Times New Roman"/>
        </w:rPr>
        <w:fldChar w:fldCharType="end"/>
      </w:r>
    </w:p>
    <w:p w14:paraId="218DF381">
      <w:pPr>
        <w:pStyle w:val="32"/>
        <w:numPr>
          <w:ilvl w:val="0"/>
          <w:numId w:val="2"/>
        </w:numPr>
        <w:rPr>
          <w:rFonts w:ascii="Times New Roman" w:hAnsi="Times New Roman" w:cs="Times New Roman"/>
        </w:rPr>
      </w:pPr>
      <w:r>
        <w:rPr>
          <w:rFonts w:ascii="Times New Roman" w:hAnsi="Times New Roman" w:cs="Times New Roman"/>
        </w:rPr>
        <w:t xml:space="preserve">Hof, M., &amp; Lime, D. W. (1997). Visitor experience and resource protection framework in the National Park System: Rationale, current status, and future direction. U.S. Department of Agriculture, Forest Service. </w:t>
      </w:r>
      <w:r>
        <w:fldChar w:fldCharType="begin"/>
      </w:r>
      <w:r>
        <w:instrText xml:space="preserve"> HYPERLINK "https://research.fs.usda.gov/treesearch/23907" </w:instrText>
      </w:r>
      <w:r>
        <w:fldChar w:fldCharType="separate"/>
      </w:r>
      <w:r>
        <w:rPr>
          <w:rStyle w:val="16"/>
          <w:rFonts w:ascii="Times New Roman" w:hAnsi="Times New Roman" w:cs="Times New Roman"/>
        </w:rPr>
        <w:t>https://research.fs.usda.gov/treesearch/23907</w:t>
      </w:r>
      <w:r>
        <w:rPr>
          <w:rStyle w:val="16"/>
          <w:rFonts w:ascii="Times New Roman" w:hAnsi="Times New Roman" w:cs="Times New Roman"/>
        </w:rPr>
        <w:fldChar w:fldCharType="end"/>
      </w:r>
    </w:p>
    <w:p w14:paraId="5E5697C7">
      <w:pPr>
        <w:pStyle w:val="32"/>
        <w:numPr>
          <w:ilvl w:val="0"/>
          <w:numId w:val="2"/>
        </w:numPr>
        <w:rPr>
          <w:rFonts w:ascii="Times New Roman" w:hAnsi="Times New Roman" w:cs="Times New Roman"/>
        </w:rPr>
      </w:pPr>
      <w:r>
        <w:rPr>
          <w:rFonts w:ascii="Times New Roman" w:hAnsi="Times New Roman" w:cs="Times New Roman"/>
        </w:rPr>
        <w:t xml:space="preserve">McCool, S. F., &amp; Cole, D. N. (Eds.). (1997). </w:t>
      </w:r>
      <w:r>
        <w:rPr>
          <w:rFonts w:ascii="Times New Roman" w:hAnsi="Times New Roman" w:cs="Times New Roman"/>
          <w:i/>
          <w:iCs/>
        </w:rPr>
        <w:t>Proceedings—Limits of acceptable change and related planning processes: Progress and future directions</w:t>
      </w:r>
      <w:r>
        <w:rPr>
          <w:rFonts w:ascii="Times New Roman" w:hAnsi="Times New Roman" w:cs="Times New Roman"/>
        </w:rPr>
        <w:t>. U.S. Department of Agriculture, Forest Service.</w:t>
      </w:r>
      <w:r>
        <w:fldChar w:fldCharType="begin"/>
      </w:r>
      <w:r>
        <w:instrText xml:space="preserve"> HYPERLINK "https://research.fs.usda.gov/treesearch/23899" </w:instrText>
      </w:r>
      <w:r>
        <w:fldChar w:fldCharType="separate"/>
      </w:r>
      <w:r>
        <w:rPr>
          <w:rStyle w:val="16"/>
          <w:rFonts w:ascii="Times New Roman" w:hAnsi="Times New Roman" w:cs="Times New Roman"/>
        </w:rPr>
        <w:t xml:space="preserve"> https://doi.org/10.2737/INT-GTR-371</w:t>
      </w:r>
      <w:r>
        <w:rPr>
          <w:rStyle w:val="16"/>
          <w:rFonts w:ascii="Times New Roman" w:hAnsi="Times New Roman" w:cs="Times New Roman"/>
        </w:rPr>
        <w:fldChar w:fldCharType="end"/>
      </w:r>
    </w:p>
    <w:p w14:paraId="4751B22F">
      <w:pPr>
        <w:pStyle w:val="32"/>
        <w:numPr>
          <w:ilvl w:val="0"/>
          <w:numId w:val="2"/>
        </w:numPr>
        <w:rPr>
          <w:rFonts w:ascii="Times New Roman" w:hAnsi="Times New Roman" w:cs="Times New Roman"/>
        </w:rPr>
      </w:pPr>
      <w:r>
        <w:rPr>
          <w:rFonts w:ascii="Times New Roman" w:hAnsi="Times New Roman" w:cs="Times New Roman"/>
        </w:rPr>
        <w:t xml:space="preserve">Ministerio de Cultura del Perú. (2025). </w:t>
      </w:r>
      <w:r>
        <w:rPr>
          <w:rFonts w:ascii="Times New Roman" w:hAnsi="Times New Roman" w:cs="Times New Roman"/>
          <w:i/>
          <w:iCs/>
        </w:rPr>
        <w:t>Resolución Ministerial N.° 285-2025-MC: Capacidad de carga para las visitas a la Llaqta de Machupicchu durante 2026</w:t>
      </w:r>
      <w:r>
        <w:rPr>
          <w:rFonts w:ascii="Times New Roman" w:hAnsi="Times New Roman" w:cs="Times New Roman"/>
        </w:rPr>
        <w:t xml:space="preserve">. </w:t>
      </w:r>
      <w:r>
        <w:fldChar w:fldCharType="begin"/>
      </w:r>
      <w:r>
        <w:instrText xml:space="preserve"> HYPERLINK "https://transparencia.cultura.gob.pe/rm-ndeg-285-2025-mc-anexo" </w:instrText>
      </w:r>
      <w:r>
        <w:fldChar w:fldCharType="separate"/>
      </w:r>
      <w:r>
        <w:rPr>
          <w:rStyle w:val="16"/>
        </w:rPr>
        <w:t>https://transparencia.cultura.gob.pe/rm-ndeg-285-2025-mc-anexo</w:t>
      </w:r>
      <w:r>
        <w:rPr>
          <w:rStyle w:val="16"/>
        </w:rPr>
        <w:fldChar w:fldCharType="end"/>
      </w:r>
    </w:p>
    <w:p w14:paraId="759F44A5">
      <w:pPr>
        <w:pStyle w:val="32"/>
        <w:numPr>
          <w:ilvl w:val="0"/>
          <w:numId w:val="2"/>
        </w:numPr>
        <w:rPr>
          <w:rFonts w:ascii="Times New Roman" w:hAnsi="Times New Roman" w:cs="Times New Roman"/>
        </w:rPr>
      </w:pPr>
      <w:r>
        <w:rPr>
          <w:rFonts w:ascii="Times New Roman" w:hAnsi="Times New Roman" w:cs="Times New Roman"/>
        </w:rPr>
        <w:t xml:space="preserve">Regalado Pezúa, O., &amp; Arias Valencia, J. (2006). Desarrollo sostenible en turismo: Una propuesta para Machu Picchu. </w:t>
      </w:r>
      <w:r>
        <w:rPr>
          <w:rFonts w:ascii="Times New Roman" w:hAnsi="Times New Roman" w:cs="Times New Roman"/>
          <w:i/>
          <w:iCs/>
        </w:rPr>
        <w:t>Journal of Economics, Finance and Administrative Science, 11</w:t>
      </w:r>
      <w:r>
        <w:rPr>
          <w:rFonts w:ascii="Times New Roman" w:hAnsi="Times New Roman" w:cs="Times New Roman"/>
        </w:rPr>
        <w:t xml:space="preserve">(20), 63–73. </w:t>
      </w:r>
      <w:r>
        <w:fldChar w:fldCharType="begin"/>
      </w:r>
      <w:r>
        <w:instrText xml:space="preserve"> HYPERLINK "https://revistas.esan.edu.pe/index.php/jefas/article/view/345" </w:instrText>
      </w:r>
      <w:r>
        <w:fldChar w:fldCharType="separate"/>
      </w:r>
      <w:r>
        <w:rPr>
          <w:rStyle w:val="16"/>
          <w:rFonts w:ascii="Times New Roman" w:hAnsi="Times New Roman" w:cs="Times New Roman"/>
        </w:rPr>
        <w:t>https://doi.org/10.46631/jefas.2006.v11n20.03</w:t>
      </w:r>
      <w:r>
        <w:rPr>
          <w:rStyle w:val="16"/>
          <w:rFonts w:ascii="Times New Roman" w:hAnsi="Times New Roman" w:cs="Times New Roman"/>
        </w:rPr>
        <w:fldChar w:fldCharType="end"/>
      </w:r>
      <w:r>
        <w:rPr>
          <w:rFonts w:ascii="Times New Roman" w:hAnsi="Times New Roman" w:cs="Times New Roman"/>
        </w:rPr>
        <w:t xml:space="preserve"> </w:t>
      </w:r>
    </w:p>
    <w:p w14:paraId="479A5D79">
      <w:pPr>
        <w:pStyle w:val="32"/>
        <w:numPr>
          <w:ilvl w:val="0"/>
          <w:numId w:val="2"/>
        </w:numPr>
        <w:rPr>
          <w:rFonts w:ascii="Times New Roman" w:hAnsi="Times New Roman" w:cs="Times New Roman"/>
        </w:rPr>
      </w:pPr>
      <w:r>
        <w:rPr>
          <w:rFonts w:ascii="Times New Roman" w:hAnsi="Times New Roman" w:cs="Times New Roman"/>
        </w:rPr>
        <w:t xml:space="preserve">Salerno, F., Viviano, G., Manfredi, E. C., Caroli, P., Thakuri, S., &amp; Tartari, G. (2013). Multiple carrying capacities from a management-oriented perspective to operationalize sustainable tourism in protected areas. </w:t>
      </w:r>
      <w:r>
        <w:rPr>
          <w:rFonts w:ascii="Times New Roman" w:hAnsi="Times New Roman" w:cs="Times New Roman"/>
          <w:i/>
          <w:iCs/>
        </w:rPr>
        <w:t>Journal of Environmental Management, 128</w:t>
      </w:r>
      <w:r>
        <w:rPr>
          <w:rFonts w:ascii="Times New Roman" w:hAnsi="Times New Roman" w:cs="Times New Roman"/>
        </w:rPr>
        <w:t xml:space="preserve">, 116–125. </w:t>
      </w:r>
      <w:r>
        <w:fldChar w:fldCharType="begin"/>
      </w:r>
      <w:r>
        <w:instrText xml:space="preserve"> HYPERLINK "https://www.sciencedirect.com/science/article/pii/S0301479713002934?via%3Dihub" </w:instrText>
      </w:r>
      <w:r>
        <w:fldChar w:fldCharType="separate"/>
      </w:r>
      <w:r>
        <w:rPr>
          <w:rStyle w:val="16"/>
          <w:rFonts w:ascii="Times New Roman" w:hAnsi="Times New Roman" w:cs="Times New Roman"/>
        </w:rPr>
        <w:t>https://doi.org/10.1016/j.jenvman.2013.04.043</w:t>
      </w:r>
      <w:r>
        <w:rPr>
          <w:rStyle w:val="16"/>
          <w:rFonts w:ascii="Times New Roman" w:hAnsi="Times New Roman" w:cs="Times New Roman"/>
        </w:rPr>
        <w:fldChar w:fldCharType="end"/>
      </w:r>
      <w:r>
        <w:rPr>
          <w:rFonts w:ascii="Times New Roman" w:hAnsi="Times New Roman" w:cs="Times New Roman"/>
        </w:rPr>
        <w:t xml:space="preserve"> </w:t>
      </w:r>
    </w:p>
    <w:p w14:paraId="6A6BE0C2">
      <w:pPr>
        <w:pStyle w:val="32"/>
        <w:rPr>
          <w:rFonts w:ascii="Times New Roman" w:hAnsi="Times New Roman" w:cs="Times New Roman"/>
        </w:rPr>
      </w:pPr>
    </w:p>
    <w:p w14:paraId="79846B3E">
      <w:pPr>
        <w:pStyle w:val="32"/>
        <w:numPr>
          <w:ilvl w:val="0"/>
          <w:numId w:val="2"/>
        </w:numPr>
        <w:rPr>
          <w:rFonts w:ascii="Times New Roman" w:hAnsi="Times New Roman" w:cs="Times New Roman"/>
        </w:rPr>
      </w:pPr>
      <w:r>
        <w:rPr>
          <w:rFonts w:ascii="Times New Roman" w:hAnsi="Times New Roman" w:cs="Times New Roman"/>
        </w:rPr>
        <w:t xml:space="preserve">UNESCO World Heritage Centre. (n.d.-b). </w:t>
      </w:r>
      <w:r>
        <w:rPr>
          <w:rFonts w:ascii="Times New Roman" w:hAnsi="Times New Roman" w:cs="Times New Roman"/>
          <w:i/>
          <w:iCs/>
        </w:rPr>
        <w:t>Visitor Management Assessment &amp; Strategy Tool (VMAST).</w:t>
      </w:r>
      <w:r>
        <w:rPr>
          <w:rFonts w:ascii="Times New Roman" w:hAnsi="Times New Roman" w:cs="Times New Roman"/>
        </w:rPr>
        <w:t xml:space="preserve"> </w:t>
      </w:r>
      <w:r>
        <w:fldChar w:fldCharType="begin"/>
      </w:r>
      <w:r>
        <w:instrText xml:space="preserve"> HYPERLINK "https://whc.unesco.org/en/vmast/" \t "_new" </w:instrText>
      </w:r>
      <w:r>
        <w:fldChar w:fldCharType="separate"/>
      </w:r>
      <w:r>
        <w:rPr>
          <w:rStyle w:val="16"/>
          <w:rFonts w:ascii="Times New Roman" w:hAnsi="Times New Roman" w:cs="Times New Roman"/>
        </w:rPr>
        <w:t>https://whc.unesco.org/en/vmast/</w:t>
      </w:r>
      <w:r>
        <w:rPr>
          <w:rStyle w:val="16"/>
          <w:rFonts w:ascii="Times New Roman" w:hAnsi="Times New Roman" w:cs="Times New Roman"/>
        </w:rPr>
        <w:fldChar w:fldCharType="end"/>
      </w:r>
      <w:r>
        <w:rPr>
          <w:rFonts w:ascii="Times New Roman" w:hAnsi="Times New Roman" w:cs="Times New Roman"/>
        </w:rPr>
        <w:t xml:space="preserve"> </w:t>
      </w:r>
    </w:p>
    <w:p w14:paraId="27AB98D4">
      <w:pPr>
        <w:pStyle w:val="32"/>
        <w:numPr>
          <w:ilvl w:val="0"/>
          <w:numId w:val="2"/>
        </w:numPr>
        <w:rPr>
          <w:rFonts w:ascii="Times New Roman" w:hAnsi="Times New Roman" w:cs="Times New Roman"/>
        </w:rPr>
      </w:pPr>
      <w:r>
        <w:rPr>
          <w:rFonts w:ascii="Times New Roman" w:hAnsi="Times New Roman" w:cs="Times New Roman"/>
        </w:rPr>
        <w:t xml:space="preserve">Zacarias, D. A., Williams, A. T., &amp; Newton, A. (2011). Recreation carrying capacity estimations to support beach management at Praia de Faro, Portugal. </w:t>
      </w:r>
      <w:r>
        <w:rPr>
          <w:rFonts w:ascii="Times New Roman" w:hAnsi="Times New Roman" w:cs="Times New Roman"/>
          <w:i/>
          <w:iCs/>
        </w:rPr>
        <w:t>Applied Geography, 31</w:t>
      </w:r>
      <w:r>
        <w:rPr>
          <w:rFonts w:ascii="Times New Roman" w:hAnsi="Times New Roman" w:cs="Times New Roman"/>
        </w:rPr>
        <w:t xml:space="preserve">(3), 1075–1081. </w:t>
      </w:r>
      <w:r>
        <w:fldChar w:fldCharType="begin"/>
      </w:r>
      <w:r>
        <w:instrText xml:space="preserve"> HYPERLINK "https://www.sciencedirect.com/science/article/pii/S014362281100021X?via%3Dihub" </w:instrText>
      </w:r>
      <w:r>
        <w:fldChar w:fldCharType="separate"/>
      </w:r>
      <w:r>
        <w:rPr>
          <w:rStyle w:val="16"/>
          <w:rFonts w:ascii="Times New Roman" w:hAnsi="Times New Roman" w:cs="Times New Roman"/>
        </w:rPr>
        <w:t>https://doi.org/10.1016/j.apgeog.2011.01.020</w:t>
      </w:r>
      <w:r>
        <w:rPr>
          <w:rStyle w:val="16"/>
          <w:rFonts w:ascii="Times New Roman" w:hAnsi="Times New Roman" w:cs="Times New Roman"/>
        </w:rPr>
        <w:fldChar w:fldCharType="end"/>
      </w:r>
      <w:r>
        <w:rPr>
          <w:rFonts w:ascii="Times New Roman" w:hAnsi="Times New Roman" w:cs="Times New Roman"/>
        </w:rPr>
        <w:t xml:space="preserve"> </w:t>
      </w:r>
    </w:p>
    <w:p w14:paraId="277F7F1F">
      <w:pPr>
        <w:rPr>
          <w:rFonts w:ascii="Times New Roman" w:hAnsi="Times New Roman" w:cs="Times New Roman"/>
        </w:rPr>
      </w:pPr>
    </w:p>
    <w:p w14:paraId="613CA1B9">
      <w:pPr>
        <w:rPr>
          <w:rFonts w:ascii="Times New Roman" w:hAnsi="Times New Roman" w:cs="Times New Roman"/>
          <w:b/>
          <w:bCs/>
          <w:sz w:val="36"/>
          <w:szCs w:val="36"/>
        </w:rPr>
      </w:pPr>
      <w:r>
        <w:rPr>
          <w:rFonts w:ascii="Times New Roman" w:hAnsi="Times New Roman" w:cs="Times New Roman"/>
          <w:b/>
          <w:bCs/>
          <w:sz w:val="36"/>
          <w:szCs w:val="36"/>
        </w:rPr>
        <w:t>Appendix A – Proposed Spatial Planning Model</w:t>
      </w:r>
    </w:p>
    <w:p w14:paraId="6E1531C3">
      <w:pPr>
        <w:rPr>
          <w:rFonts w:ascii="Times New Roman" w:hAnsi="Times New Roman" w:cs="Times New Roman"/>
          <w:sz w:val="36"/>
          <w:szCs w:val="36"/>
        </w:rPr>
      </w:pPr>
      <w:r>
        <w:rPr>
          <w:rFonts w:ascii="Times New Roman" w:hAnsi="Times New Roman" w:cs="Times New Roman"/>
          <w:b/>
          <w:bCs/>
          <w:sz w:val="36"/>
          <w:szCs w:val="36"/>
        </w:rPr>
        <w:t>Machu Picchu Sustainable Tourism Zoning Model</w:t>
      </w:r>
    </w:p>
    <w:p w14:paraId="3E22F3D6">
      <w:pPr>
        <w:rPr>
          <w:rFonts w:ascii="Times New Roman" w:hAnsi="Times New Roman" w:cs="Times New Roman"/>
        </w:rPr>
      </w:pPr>
      <w:r>
        <w:rPr>
          <w:rFonts w:ascii="Times New Roman" w:hAnsi="Times New Roman" w:cs="Times New Roman"/>
          <w:b/>
          <w:bCs/>
        </w:rPr>
        <w:t>Zone 1 – Core Heritage Protection:</w:t>
      </w:r>
      <w:r>
        <w:rPr>
          <w:rFonts w:ascii="Times New Roman" w:hAnsi="Times New Roman" w:cs="Times New Roman"/>
        </w:rPr>
        <w:t xml:space="preserve"> Archaeological structures and highly sensitive cultural areas. Lowest tolerance for tourism impacts.</w:t>
      </w:r>
    </w:p>
    <w:p w14:paraId="5DF12518">
      <w:pPr>
        <w:rPr>
          <w:rFonts w:ascii="Times New Roman" w:hAnsi="Times New Roman" w:cs="Times New Roman"/>
        </w:rPr>
      </w:pPr>
      <w:r>
        <w:rPr>
          <w:rFonts w:ascii="Times New Roman" w:hAnsi="Times New Roman" w:cs="Times New Roman"/>
          <w:b/>
          <w:bCs/>
        </w:rPr>
        <w:t>Zone 2 – Ecological Sensitivity:</w:t>
      </w:r>
      <w:r>
        <w:rPr>
          <w:rFonts w:ascii="Times New Roman" w:hAnsi="Times New Roman" w:cs="Times New Roman"/>
        </w:rPr>
        <w:t xml:space="preserve"> Natural trails, mountain environments and ecologically vulnerable areas. Visitor numbers depend on seasonal and environmental conditions.</w:t>
      </w:r>
    </w:p>
    <w:p w14:paraId="0728E715">
      <w:pPr>
        <w:rPr>
          <w:rFonts w:ascii="Times New Roman" w:hAnsi="Times New Roman" w:cs="Times New Roman"/>
        </w:rPr>
      </w:pPr>
      <w:r>
        <w:rPr>
          <w:rFonts w:ascii="Times New Roman" w:hAnsi="Times New Roman" w:cs="Times New Roman"/>
          <w:b/>
          <w:bCs/>
        </w:rPr>
        <w:t>Zone 3 – Visitor Transition:</w:t>
      </w:r>
      <w:r>
        <w:rPr>
          <w:rFonts w:ascii="Times New Roman" w:hAnsi="Times New Roman" w:cs="Times New Roman"/>
        </w:rPr>
        <w:t xml:space="preserve"> Entrances, transport connections and visitor facilities. Designed to absorb queues and organise visitors before they reach sensitive areas.</w:t>
      </w:r>
    </w:p>
    <w:p w14:paraId="4735D08B">
      <w:pPr>
        <w:rPr>
          <w:rFonts w:ascii="Times New Roman" w:hAnsi="Times New Roman" w:cs="Times New Roman"/>
        </w:rPr>
      </w:pPr>
      <w:r>
        <w:rPr>
          <w:rFonts w:ascii="Times New Roman" w:hAnsi="Times New Roman" w:cs="Times New Roman"/>
          <w:b/>
          <w:bCs/>
        </w:rPr>
        <w:t>Zone 4 – Community Benefit:</w:t>
      </w:r>
      <w:r>
        <w:rPr>
          <w:rFonts w:ascii="Times New Roman" w:hAnsi="Times New Roman" w:cs="Times New Roman"/>
        </w:rPr>
        <w:t xml:space="preserve"> Local settlements, services and suitable cultural tourism areas. Designed to distribute visitor spending and reduce concentration around the archaeological site.</w:t>
      </w:r>
    </w:p>
    <w:p w14:paraId="768E3C02">
      <w:pPr>
        <w:rPr>
          <w:rFonts w:ascii="Times New Roman" w:hAnsi="Times New Roman" w:cs="Times New Roman"/>
        </w:rPr>
      </w:pPr>
      <w:r>
        <w:rPr>
          <w:rFonts w:ascii="Times New Roman" w:hAnsi="Times New Roman" w:cs="Times New Roman"/>
          <w:b/>
          <w:bCs/>
        </w:rPr>
        <w:t>Zone 5 – Recovery and Conservation:</w:t>
      </w:r>
      <w:r>
        <w:rPr>
          <w:rFonts w:ascii="Times New Roman" w:hAnsi="Times New Roman" w:cs="Times New Roman"/>
        </w:rPr>
        <w:t xml:space="preserve"> Locations where environmental or heritage indicators have exceeded acceptable limits. Access restricted until recovery targets are achieved.</w:t>
      </w:r>
    </w:p>
    <w:p w14:paraId="49A11EEC">
      <w:pPr>
        <w:rPr>
          <w:rFonts w:ascii="Times New Roman" w:hAnsi="Times New Roman" w:cs="Times New Roman"/>
        </w:rPr>
      </w:pPr>
      <w:r>
        <w:rPr>
          <w:rFonts w:ascii="Times New Roman" w:hAnsi="Times New Roman" w:cs="Times New Roman"/>
        </w:rPr>
        <w:t xml:space="preserve">For the final Word document, this appendix would be stronger if you turn these five zones into a </w:t>
      </w:r>
      <w:r>
        <w:rPr>
          <w:rFonts w:ascii="Times New Roman" w:hAnsi="Times New Roman" w:cs="Times New Roman"/>
          <w:b/>
          <w:bCs/>
        </w:rPr>
        <w:t>simple coloured diagram or SmartArt map</w:t>
      </w:r>
      <w:r>
        <w:rPr>
          <w:rFonts w:ascii="Times New Roman" w:hAnsi="Times New Roman" w:cs="Times New Roman"/>
        </w:rPr>
        <w:t xml:space="preserve"> titled </w:t>
      </w:r>
      <w:r>
        <w:rPr>
          <w:rFonts w:ascii="Times New Roman" w:hAnsi="Times New Roman" w:cs="Times New Roman"/>
          <w:b/>
          <w:bCs/>
        </w:rPr>
        <w:t>“Figure 1: Proposed Sustainable Tourism Zoning Model for Machu Picchu.”</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ordia New">
    <w:altName w:val="Yu Gothic UI Light"/>
    <w:panose1 w:val="020B0304020202020204"/>
    <w:charset w:val="00"/>
    <w:family w:val="swiss"/>
    <w:pitch w:val="default"/>
    <w:sig w:usb0="00000000" w:usb1="00000000" w:usb2="00000000" w:usb3="00000000" w:csb0="00010001" w:csb1="00000000"/>
  </w:font>
  <w:font w:name="Aptos">
    <w:altName w:val="Segoe UI"/>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ngsana New">
    <w:altName w:val="Times New Roman"/>
    <w:panose1 w:val="02020603050405020304"/>
    <w:charset w:val="00"/>
    <w:family w:val="roman"/>
    <w:pitch w:val="default"/>
    <w:sig w:usb0="00000000" w:usb1="00000000" w:usb2="00000000" w:usb3="00000000" w:csb0="00010001"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5566D8"/>
    <w:multiLevelType w:val="multilevel"/>
    <w:tmpl w:val="0F5566D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0F255A1"/>
    <w:multiLevelType w:val="multilevel"/>
    <w:tmpl w:val="10F255A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20"/>
  <w:characterSpacingControl w:val="doNotCompress"/>
  <w:footnotePr>
    <w:footnote w:id="0"/>
    <w:footnote w:id="1"/>
  </w:footnotePr>
  <w:endnotePr>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40A"/>
    <w:rsid w:val="002B57C5"/>
    <w:rsid w:val="00616C81"/>
    <w:rsid w:val="00676AC2"/>
    <w:rsid w:val="006C6F22"/>
    <w:rsid w:val="008544BD"/>
    <w:rsid w:val="00944B5D"/>
    <w:rsid w:val="00985AA7"/>
    <w:rsid w:val="00A67279"/>
    <w:rsid w:val="00B16587"/>
    <w:rsid w:val="00BC21EE"/>
    <w:rsid w:val="00CF540A"/>
    <w:rsid w:val="00D9432D"/>
    <w:rsid w:val="00E27C32"/>
    <w:rsid w:val="00F50DC9"/>
    <w:rsid w:val="00FD4DF1"/>
    <w:rsid w:val="00FF6101"/>
    <w:rsid w:val="46367A63"/>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30"/>
      <w:lang w:val="en-US" w:eastAsia="zh-CN" w:bidi="th-TH"/>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50"/>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40"/>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35"/>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semiHidden/>
    <w:unhideWhenUsed/>
    <w:uiPriority w:val="99"/>
    <w:rPr>
      <w:color w:val="96607D" w:themeColor="followedHyperlink"/>
      <w:u w:val="single"/>
      <w14:textFill>
        <w14:solidFill>
          <w14:schemeClr w14:val="folHlink"/>
        </w14:solidFill>
      </w14:textFill>
    </w:rPr>
  </w:style>
  <w:style w:type="paragraph" w:styleId="14">
    <w:name w:val="footer"/>
    <w:basedOn w:val="1"/>
    <w:link w:val="39"/>
    <w:unhideWhenUsed/>
    <w:uiPriority w:val="99"/>
    <w:pPr>
      <w:tabs>
        <w:tab w:val="center" w:pos="4680"/>
        <w:tab w:val="right" w:pos="9360"/>
      </w:tabs>
      <w:spacing w:after="0" w:line="240" w:lineRule="auto"/>
    </w:pPr>
  </w:style>
  <w:style w:type="paragraph" w:styleId="15">
    <w:name w:val="header"/>
    <w:basedOn w:val="1"/>
    <w:link w:val="38"/>
    <w:unhideWhenUsed/>
    <w:uiPriority w:val="99"/>
    <w:pPr>
      <w:tabs>
        <w:tab w:val="center" w:pos="4680"/>
        <w:tab w:val="right" w:pos="9360"/>
      </w:tabs>
      <w:spacing w:after="0" w:line="240" w:lineRule="auto"/>
    </w:pPr>
  </w:style>
  <w:style w:type="character" w:styleId="16">
    <w:name w:val="Hyperlink"/>
    <w:basedOn w:val="11"/>
    <w:unhideWhenUsed/>
    <w:uiPriority w:val="99"/>
    <w:rPr>
      <w:color w:val="467886" w:themeColor="hyperlink"/>
      <w:u w:val="single"/>
      <w14:textFill>
        <w14:solidFill>
          <w14:schemeClr w14:val="hlink"/>
        </w14:solidFill>
      </w14:textFill>
    </w:rPr>
  </w:style>
  <w:style w:type="paragraph" w:styleId="17">
    <w:name w:val="Subtitle"/>
    <w:basedOn w:val="1"/>
    <w:next w:val="1"/>
    <w:link w:val="29"/>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18">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71"/>
    </w:rPr>
  </w:style>
  <w:style w:type="character" w:customStyle="1" w:styleId="19">
    <w:name w:val="Heading 1 Char"/>
    <w:basedOn w:val="11"/>
    <w:link w:val="2"/>
    <w:qFormat/>
    <w:uiPriority w:val="9"/>
    <w:rPr>
      <w:rFonts w:asciiTheme="majorHAnsi" w:hAnsiTheme="majorHAnsi" w:eastAsiaTheme="majorEastAsia" w:cstheme="majorBidi"/>
      <w:color w:val="104862" w:themeColor="accent1" w:themeShade="BF"/>
      <w:sz w:val="40"/>
      <w:szCs w:val="50"/>
    </w:rPr>
  </w:style>
  <w:style w:type="character" w:customStyle="1" w:styleId="20">
    <w:name w:val="Heading 2 Char"/>
    <w:basedOn w:val="11"/>
    <w:link w:val="3"/>
    <w:semiHidden/>
    <w:qFormat/>
    <w:uiPriority w:val="9"/>
    <w:rPr>
      <w:rFonts w:asciiTheme="majorHAnsi" w:hAnsiTheme="majorHAnsi" w:eastAsiaTheme="majorEastAsia" w:cstheme="majorBidi"/>
      <w:color w:val="104862" w:themeColor="accent1" w:themeShade="BF"/>
      <w:sz w:val="32"/>
      <w:szCs w:val="40"/>
    </w:rPr>
  </w:style>
  <w:style w:type="character" w:customStyle="1" w:styleId="21">
    <w:name w:val="Heading 3 Char"/>
    <w:basedOn w:val="11"/>
    <w:link w:val="4"/>
    <w:semiHidden/>
    <w:qFormat/>
    <w:uiPriority w:val="9"/>
    <w:rPr>
      <w:rFonts w:eastAsiaTheme="majorEastAsia" w:cstheme="majorBidi"/>
      <w:color w:val="104862" w:themeColor="accent1" w:themeShade="BF"/>
      <w:sz w:val="28"/>
      <w:szCs w:val="35"/>
    </w:rPr>
  </w:style>
  <w:style w:type="character" w:customStyle="1" w:styleId="22">
    <w:name w:val="Heading 4 Char"/>
    <w:basedOn w:val="11"/>
    <w:link w:val="5"/>
    <w:semiHidden/>
    <w:qFormat/>
    <w:uiPriority w:val="9"/>
    <w:rPr>
      <w:rFonts w:eastAsiaTheme="majorEastAsia" w:cstheme="majorBidi"/>
      <w:i/>
      <w:iCs/>
      <w:color w:val="104862" w:themeColor="accent1" w:themeShade="BF"/>
    </w:rPr>
  </w:style>
  <w:style w:type="character" w:customStyle="1" w:styleId="23">
    <w:name w:val="Heading 5 Char"/>
    <w:basedOn w:val="11"/>
    <w:link w:val="6"/>
    <w:semiHidden/>
    <w:qFormat/>
    <w:uiPriority w:val="9"/>
    <w:rPr>
      <w:rFonts w:eastAsiaTheme="majorEastAsia" w:cstheme="majorBidi"/>
      <w:color w:val="104862" w:themeColor="accent1" w:themeShade="BF"/>
    </w:rPr>
  </w:style>
  <w:style w:type="character" w:customStyle="1" w:styleId="24">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8"/>
    <w:qFormat/>
    <w:uiPriority w:val="10"/>
    <w:rPr>
      <w:rFonts w:asciiTheme="majorHAnsi" w:hAnsiTheme="majorHAnsi" w:eastAsiaTheme="majorEastAsia" w:cstheme="majorBidi"/>
      <w:spacing w:val="-10"/>
      <w:kern w:val="28"/>
      <w:sz w:val="56"/>
      <w:szCs w:val="71"/>
    </w:rPr>
  </w:style>
  <w:style w:type="character" w:customStyle="1" w:styleId="29">
    <w:name w:val="Subtitle Char"/>
    <w:basedOn w:val="11"/>
    <w:link w:val="17"/>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qFormat/>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character" w:customStyle="1" w:styleId="37">
    <w:name w:val="Unresolved Mention"/>
    <w:basedOn w:val="11"/>
    <w:semiHidden/>
    <w:unhideWhenUsed/>
    <w:uiPriority w:val="99"/>
    <w:rPr>
      <w:color w:val="605E5C"/>
      <w:shd w:val="clear" w:color="auto" w:fill="E1DFDD"/>
    </w:rPr>
  </w:style>
  <w:style w:type="character" w:customStyle="1" w:styleId="38">
    <w:name w:val="Header Char"/>
    <w:basedOn w:val="11"/>
    <w:link w:val="15"/>
    <w:uiPriority w:val="99"/>
  </w:style>
  <w:style w:type="character" w:customStyle="1" w:styleId="39">
    <w:name w:val="Footer Char"/>
    <w:basedOn w:val="11"/>
    <w:link w:val="14"/>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4B966-2CEE-4F76-83B2-7F3CCA756BBD}">
  <ds:schemaRefs/>
</ds:datastoreItem>
</file>

<file path=docProps/app.xml><?xml version="1.0" encoding="utf-8"?>
<Properties xmlns="http://schemas.openxmlformats.org/officeDocument/2006/extended-properties" xmlns:vt="http://schemas.openxmlformats.org/officeDocument/2006/docPropsVTypes">
  <Template>Normal</Template>
  <Pages>19</Pages>
  <Words>5636</Words>
  <Characters>36995</Characters>
  <Lines>309</Lines>
  <Paragraphs>87</Paragraphs>
  <TotalTime>2</TotalTime>
  <ScaleCrop>false</ScaleCrop>
  <LinksUpToDate>false</LinksUpToDate>
  <CharactersWithSpaces>42414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2026-09-17T14:49:00Z</dcterms:created>
  <dc:creator>vikanshu bangar</dc:creator>
  <cp:lastModifiedBy>Monika Chahal</cp:lastModifiedBy>
  <dcterms:modified xsi:type="dcterms:W3CDTF">2026-09-20T23:24:04Z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eyJoZGlkIjoiZTNiMmJjMGUyMDNhMGI0MjllZTc4OTE3ODRjOTBjMWQiLCJ1c2VySWQiOiI1Njc1MDE3NjA3NTMifQ==</vt:lpwstr>
  </property>
  <property fmtid="{D5CDD505-2E9C-101B-9397-08002B2CF9AE}" pid="3" name="KSOProductBuildVer">
    <vt:lpwstr>1033-12.1.0.28485</vt:lpwstr>
  </property>
  <property fmtid="{D5CDD505-2E9C-101B-9397-08002B2CF9AE}" pid="4" name="ICV">
    <vt:lpwstr>EC76803002EF4359A81D723FB7876E4F_12</vt:lpwstr>
  </property>
</Properties>
</file>