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0DE84DDA" w14:textId="6568CA60" w:rsidR="0019504D" w:rsidRPr="00FC3CE9" w:rsidRDefault="00E53D54">
      <w:pPr>
        <w:rPr>
          <w:lang w:val="en-US"/>
        </w:rPr>
      </w:pPr>
      <w:r w:rsidRPr="00FC3CE9">
        <w:rPr>
          <w:lang w:val="en-US"/>
        </w:rPr>
        <w:t xml:space="preserve">Student </w:t>
      </w:r>
      <w:proofErr w:type="gramStart"/>
      <w:r w:rsidRPr="00FC3CE9">
        <w:rPr>
          <w:lang w:val="en-US"/>
        </w:rPr>
        <w:t>name</w:t>
      </w:r>
      <w:r w:rsidR="009C5AB2">
        <w:rPr>
          <w:lang w:val="en-US"/>
        </w:rPr>
        <w:t xml:space="preserve"> :</w:t>
      </w:r>
      <w:proofErr w:type="gramEnd"/>
      <w:r w:rsidR="009C5AB2">
        <w:rPr>
          <w:lang w:val="en-US"/>
        </w:rPr>
        <w:t xml:space="preserve"> </w:t>
      </w:r>
      <w:r w:rsidR="006215AD">
        <w:rPr>
          <w:lang w:val="en-US"/>
        </w:rPr>
        <w:t>Pradeep Subhash</w:t>
      </w:r>
      <w:r w:rsidR="009C5AB2">
        <w:rPr>
          <w:lang w:val="en-US"/>
        </w:rPr>
        <w:t xml:space="preserve"> </w:t>
      </w: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00B71288" w14:textId="4C319E59" w:rsidR="006215AD" w:rsidRPr="006215AD" w:rsidRDefault="00EE7C80" w:rsidP="006215AD">
      <w:pPr>
        <w:ind w:left="360"/>
        <w:rPr>
          <w:lang w:val="en-GB"/>
        </w:rPr>
      </w:pPr>
      <w:r>
        <w:rPr>
          <w:lang w:val="en-US"/>
        </w:rPr>
        <w:t xml:space="preserve"> </w:t>
      </w:r>
      <w:r w:rsidR="006215AD" w:rsidRPr="006215AD">
        <w:rPr>
          <w:lang w:val="en-GB"/>
        </w:rPr>
        <w:t xml:space="preserve">Revenue Management (RM) in hotels is a strategy methodology designed to optimize revenue by offering the appropriate accommodation to the suitable client, at the correct price, via the appropriate distribution channel, and at the optimal time. The approach involves </w:t>
      </w:r>
      <w:proofErr w:type="spellStart"/>
      <w:r w:rsidR="006215AD" w:rsidRPr="006215AD">
        <w:rPr>
          <w:lang w:val="en-GB"/>
        </w:rPr>
        <w:t>analyzing</w:t>
      </w:r>
      <w:proofErr w:type="spellEnd"/>
      <w:r w:rsidR="006215AD" w:rsidRPr="006215AD">
        <w:rPr>
          <w:lang w:val="en-GB"/>
        </w:rPr>
        <w:t xml:space="preserve"> customer demand patterns, booking behaviour, seasonality, and market conditions to optimize pricing and inventory decisions. The perishable nature of hotel rooms, which cannot be held or resold once unsold, necessitates excellent revenue management for profitability and sustained competitiveness.</w:t>
      </w:r>
    </w:p>
    <w:p w14:paraId="0A4EA481" w14:textId="77777777" w:rsidR="006215AD" w:rsidRPr="006215AD" w:rsidRDefault="006215AD" w:rsidP="006215AD">
      <w:pPr>
        <w:ind w:left="360"/>
        <w:rPr>
          <w:lang w:val="en-GB"/>
        </w:rPr>
      </w:pPr>
    </w:p>
    <w:p w14:paraId="4742F5DD" w14:textId="0609AC14" w:rsidR="00FC3CE9" w:rsidRDefault="006215AD" w:rsidP="006215AD">
      <w:pPr>
        <w:ind w:left="360"/>
        <w:rPr>
          <w:lang w:val="en-GB"/>
        </w:rPr>
      </w:pPr>
      <w:r w:rsidRPr="006215AD">
        <w:rPr>
          <w:lang w:val="en-GB"/>
        </w:rPr>
        <w:t>Performance metrics are crucial in the decision-making process of revenue management. These measurements offer measurable insights into a hotel's efficacy in transforming demand into revenue and profit. Through the monitoring of critical data, managers can assess pricing strategies, anticipate demand, manage expenses, and compare performance with competitors. In the absence of performance measurements, revenue management decisions would depend on intuition instead of data-driven analysis, heightening the risk of poor pricing and revenue loss.</w:t>
      </w:r>
    </w:p>
    <w:p w14:paraId="78A1EDDA" w14:textId="77777777" w:rsidR="006215AD" w:rsidRDefault="006215AD" w:rsidP="006215AD">
      <w:pPr>
        <w:ind w:left="360"/>
        <w:rPr>
          <w:lang w:val="en-GB"/>
        </w:rPr>
      </w:pPr>
    </w:p>
    <w:p w14:paraId="5670E2FA" w14:textId="77777777" w:rsidR="006215AD" w:rsidRDefault="006215AD" w:rsidP="006215AD">
      <w:pPr>
        <w:ind w:left="360"/>
        <w:rPr>
          <w:lang w:val="en-GB"/>
        </w:rPr>
      </w:pPr>
    </w:p>
    <w:p w14:paraId="47612BB9" w14:textId="77777777" w:rsidR="006215AD" w:rsidRDefault="006215AD" w:rsidP="006215AD">
      <w:pPr>
        <w:ind w:left="360"/>
        <w:rPr>
          <w:lang w:val="en-GB"/>
        </w:rPr>
      </w:pPr>
    </w:p>
    <w:p w14:paraId="5AD3119A" w14:textId="77777777" w:rsidR="006215AD" w:rsidRDefault="006215AD" w:rsidP="006215AD">
      <w:pPr>
        <w:ind w:left="360"/>
        <w:rPr>
          <w:lang w:val="en-GB"/>
        </w:rPr>
      </w:pPr>
    </w:p>
    <w:p w14:paraId="1E4F66D5" w14:textId="77777777" w:rsidR="006215AD" w:rsidRDefault="006215AD" w:rsidP="006215AD">
      <w:pPr>
        <w:ind w:left="360"/>
        <w:rPr>
          <w:lang w:val="en-GB"/>
        </w:rPr>
      </w:pPr>
    </w:p>
    <w:p w14:paraId="20F482C8" w14:textId="77777777" w:rsidR="006215AD" w:rsidRDefault="006215AD" w:rsidP="006215AD">
      <w:pPr>
        <w:ind w:left="360"/>
        <w:rPr>
          <w:lang w:val="en-GB"/>
        </w:rPr>
      </w:pPr>
    </w:p>
    <w:p w14:paraId="3319A07D" w14:textId="77777777" w:rsidR="006215AD" w:rsidRDefault="006215AD" w:rsidP="006215AD">
      <w:pPr>
        <w:ind w:left="360"/>
        <w:rPr>
          <w:lang w:val="en-GB"/>
        </w:rPr>
      </w:pP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t>GOPPAR</w:t>
      </w:r>
    </w:p>
    <w:p w14:paraId="69105839" w14:textId="77777777" w:rsidR="009C5AB2" w:rsidRPr="009C5AB2" w:rsidRDefault="00EE7C80" w:rsidP="009C5AB2">
      <w:pPr>
        <w:pStyle w:val="ListParagraph"/>
        <w:rPr>
          <w:b/>
          <w:bCs/>
          <w:lang w:val="en-GB"/>
        </w:rPr>
      </w:pPr>
      <w:proofErr w:type="gramStart"/>
      <w:r>
        <w:rPr>
          <w:lang w:val="en-US"/>
        </w:rPr>
        <w:t>Answer :</w:t>
      </w:r>
      <w:proofErr w:type="gramEnd"/>
      <w:r>
        <w:rPr>
          <w:lang w:val="en-US"/>
        </w:rPr>
        <w:t xml:space="preserve"> </w:t>
      </w:r>
      <w:r w:rsidR="009C5AB2" w:rsidRPr="009C5AB2">
        <w:rPr>
          <w:b/>
          <w:bCs/>
          <w:lang w:val="en-GB"/>
        </w:rPr>
        <w:t>Key Revenue Management Metrics and Their Managerial Significance</w:t>
      </w:r>
    </w:p>
    <w:p w14:paraId="3A901E80" w14:textId="77777777" w:rsidR="006215AD" w:rsidRPr="006215AD" w:rsidRDefault="006215AD" w:rsidP="006215AD">
      <w:pPr>
        <w:pStyle w:val="ListParagraph"/>
        <w:spacing w:line="276" w:lineRule="auto"/>
        <w:rPr>
          <w:lang w:val="en-GB"/>
        </w:rPr>
      </w:pPr>
      <w:r w:rsidRPr="006215AD">
        <w:rPr>
          <w:b/>
          <w:bCs/>
          <w:lang w:val="en-GB"/>
        </w:rPr>
        <w:t>Average Daily Rate (ADR)</w:t>
      </w:r>
      <w:r w:rsidRPr="006215AD">
        <w:rPr>
          <w:b/>
          <w:bCs/>
          <w:lang w:val="en-GB"/>
        </w:rPr>
        <w:br/>
      </w:r>
      <w:r w:rsidRPr="006215AD">
        <w:rPr>
          <w:lang w:val="en-GB"/>
        </w:rPr>
        <w:t>ADR quantifies the mean revenue generated per occupied room for a designated timeframe. Total room revenue is divided by the number of rooms sold to obtain the calculation. ADR assists managers in evaluating the efficacy of pricing initiatives and comprehending customers' price sensitivity. An increasing ADR often signifies effective rate optimization; nevertheless, managers must weigh it against occupancy rates to prevent deterring prospective demand.</w:t>
      </w:r>
      <w:r w:rsidRPr="006215AD">
        <w:rPr>
          <w:lang w:val="en-GB"/>
        </w:rPr>
        <w:br/>
      </w:r>
      <w:r w:rsidRPr="006215AD">
        <w:rPr>
          <w:lang w:val="en-GB"/>
        </w:rPr>
        <w:br/>
        <w:t>Occupancy Ratio</w:t>
      </w:r>
      <w:r w:rsidRPr="006215AD">
        <w:rPr>
          <w:lang w:val="en-GB"/>
        </w:rPr>
        <w:br/>
        <w:t>Occupancy Rate denotes the proportion of available rooms that are sold during a specified timeframe. It indicates the efficiency with which a hotel is utilizing its inventory. Elevated occupancy indicates robust demand or competitive price, whereas diminished occupancy may reflect insufficient demand, ineffective distribution strategy, or misaligned pricing. Managers utilize this measure to modify pricing, promotions, and marketing strategies.</w:t>
      </w:r>
      <w:r w:rsidRPr="006215AD">
        <w:rPr>
          <w:lang w:val="en-GB"/>
        </w:rPr>
        <w:br/>
      </w:r>
      <w:r w:rsidRPr="006215AD">
        <w:rPr>
          <w:lang w:val="en-GB"/>
        </w:rPr>
        <w:br/>
        <w:t>Revenue per Available Room (RevPAR)</w:t>
      </w:r>
      <w:r w:rsidRPr="006215AD">
        <w:rPr>
          <w:lang w:val="en-GB"/>
        </w:rPr>
        <w:br/>
        <w:t>RevPAR integrates room rate and occupancy into a singular metric by dividing total room revenue by the total number of available rooms. This is a prevalent hotel performance metric since it indicates the efficacy of a hotel in producing revenue from its room inventory. Managers utilize RevPAR to evaluate performance over time and in relation to competitors, irrespective of hotel size.</w:t>
      </w:r>
      <w:r w:rsidRPr="006215AD">
        <w:rPr>
          <w:lang w:val="en-GB"/>
        </w:rPr>
        <w:br/>
      </w:r>
      <w:r w:rsidRPr="006215AD">
        <w:rPr>
          <w:lang w:val="en-GB"/>
        </w:rPr>
        <w:br/>
        <w:t>Gross Operating Profit per Available Room (GOPPAR)</w:t>
      </w:r>
      <w:r w:rsidRPr="006215AD">
        <w:rPr>
          <w:lang w:val="en-GB"/>
        </w:rPr>
        <w:br/>
        <w:t>GOPPAR assesses profitability by calculating gross operating profit divided by the total number of available rooms, rather than merely focusing on revenue. It offers a more holistic perspective on financial performance by integrating both revenue and operating expenses. This statistic is particularly significant for managerial decision-making, as it indicates if sales increases are converting into actual profit.</w:t>
      </w:r>
      <w:r w:rsidRPr="006215AD">
        <w:rPr>
          <w:lang w:val="en-GB"/>
        </w:rPr>
        <w:br/>
      </w:r>
      <w:r w:rsidRPr="006215AD">
        <w:rPr>
          <w:lang w:val="en-GB"/>
        </w:rPr>
        <w:br/>
        <w:t>In summary, revenue management indicators are crucial instruments that empower hotel managers to make educated decisions regarding pricing, demand forecasting, and cost control, hence facilitating sustainable profitability.</w:t>
      </w:r>
    </w:p>
    <w:p w14:paraId="4120DDA1" w14:textId="314E54AE" w:rsidR="009C5AB2" w:rsidRDefault="009C5AB2" w:rsidP="009C5AB2">
      <w:pPr>
        <w:pStyle w:val="ListParagraph"/>
        <w:spacing w:line="276" w:lineRule="auto"/>
        <w:rPr>
          <w:lang w:val="en-GB"/>
        </w:rPr>
      </w:pPr>
    </w:p>
    <w:p w14:paraId="611F0986" w14:textId="77777777" w:rsidR="006215AD" w:rsidRPr="009C5AB2" w:rsidRDefault="006215AD"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3BA695B1"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Cross, R. G., Higbie, J. A., &amp; Cross, D. Q. (2009). Revenue management’s renaissance: A rebirth of the art and science of profitable revenue generation. </w:t>
      </w:r>
      <w:r w:rsidRPr="009C5AB2">
        <w:rPr>
          <w:i/>
          <w:iCs/>
          <w:lang w:val="en-GB"/>
        </w:rPr>
        <w:t>Cornell Hospitality Quarterly, 50</w:t>
      </w:r>
      <w:r w:rsidRPr="009C5AB2">
        <w:rPr>
          <w:lang w:val="en-GB"/>
        </w:rPr>
        <w:t xml:space="preserve">(1), 56–81. </w:t>
      </w:r>
      <w:hyperlink r:id="rId6" w:tgtFrame="_new" w:history="1">
        <w:r w:rsidRPr="009C5AB2">
          <w:rPr>
            <w:rStyle w:val="Hyperlink"/>
            <w:lang w:val="en-GB"/>
          </w:rPr>
          <w:t>https://doi.org/10.1177/1938965508328716</w:t>
        </w:r>
      </w:hyperlink>
    </w:p>
    <w:p w14:paraId="00C974DB"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Ivanov, S., &amp; Zhechev, V. (2012). </w:t>
      </w:r>
      <w:r w:rsidRPr="009C5AB2">
        <w:rPr>
          <w:i/>
          <w:iCs/>
          <w:lang w:val="en-GB"/>
        </w:rPr>
        <w:t>Hotel revenue management: From theory to practice</w:t>
      </w:r>
      <w:r w:rsidRPr="009C5AB2">
        <w:rPr>
          <w:lang w:val="en-GB"/>
        </w:rPr>
        <w:t xml:space="preserve">. </w:t>
      </w:r>
      <w:proofErr w:type="spellStart"/>
      <w:r w:rsidRPr="009C5AB2">
        <w:rPr>
          <w:lang w:val="en-GB"/>
        </w:rPr>
        <w:t>Zangador</w:t>
      </w:r>
      <w:proofErr w:type="spellEnd"/>
      <w:r w:rsidRPr="009C5AB2">
        <w:rPr>
          <w:lang w:val="en-GB"/>
        </w:rPr>
        <w:t>.</w:t>
      </w:r>
    </w:p>
    <w:p w14:paraId="4B94A8F6"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Kimes, S. E. (2011). The future of hotel revenue management. </w:t>
      </w:r>
      <w:r w:rsidRPr="009C5AB2">
        <w:rPr>
          <w:i/>
          <w:iCs/>
          <w:lang w:val="en-GB"/>
        </w:rPr>
        <w:t>Journal of Revenue and Pricing Management, 10</w:t>
      </w:r>
      <w:r w:rsidRPr="009C5AB2">
        <w:rPr>
          <w:lang w:val="en-GB"/>
        </w:rPr>
        <w:t>(1), 62–72. https://doi.org/10.1057/rpm.2010.35</w:t>
      </w:r>
    </w:p>
    <w:p w14:paraId="2122B013"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Hayes, D. K., &amp; Miller, A. A. (2011). </w:t>
      </w:r>
      <w:r w:rsidRPr="009C5AB2">
        <w:rPr>
          <w:i/>
          <w:iCs/>
          <w:lang w:val="en-GB"/>
        </w:rPr>
        <w:t>Revenue management for the hospitality industry</w:t>
      </w:r>
      <w:r w:rsidRPr="009C5AB2">
        <w:rPr>
          <w:lang w:val="en-GB"/>
        </w:rPr>
        <w:t>. Wiley.</w:t>
      </w:r>
    </w:p>
    <w:p w14:paraId="0482C2A7" w14:textId="4AC98B83" w:rsidR="00EE7C80" w:rsidRPr="00EE7C80" w:rsidRDefault="00EE7C80" w:rsidP="00EE7C80">
      <w:pPr>
        <w:pStyle w:val="ListParagraph"/>
        <w:spacing w:line="276" w:lineRule="auto"/>
        <w:ind w:left="0"/>
        <w:rPr>
          <w:lang w:val="en-US"/>
        </w:rPr>
      </w:pP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5F4C9E0-3BCD-4861-BE54-8E1ABD554237}"/>
    <w:embedBold r:id="rId2" w:fontKey="{17B1F21F-80BD-495E-B247-605AB4DBFA76}"/>
    <w:embedItalic r:id="rId3" w:fontKey="{D355C1C0-E356-4B40-83DC-3CF53F28DD53}"/>
  </w:font>
  <w:font w:name="Cambria">
    <w:panose1 w:val="02040503050406030204"/>
    <w:charset w:val="00"/>
    <w:family w:val="roman"/>
    <w:pitch w:val="variable"/>
    <w:sig w:usb0="E00006FF" w:usb1="420024FF" w:usb2="02000000" w:usb3="00000000" w:csb0="0000019F" w:csb1="00000000"/>
    <w:embedRegular r:id="rId4" w:fontKey="{B6431060-593E-43EC-8B0F-B05EA1B03806}"/>
  </w:font>
  <w:font w:name="Calibri Light">
    <w:panose1 w:val="020F0302020204030204"/>
    <w:charset w:val="00"/>
    <w:family w:val="swiss"/>
    <w:pitch w:val="variable"/>
    <w:sig w:usb0="E4002EFF" w:usb1="C000247B" w:usb2="00000009" w:usb3="00000000" w:csb0="000001FF" w:csb1="00000000"/>
    <w:embedRegular r:id="rId5" w:fontKey="{A630E901-3CDF-49C2-AA36-344B9A2DDF4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2"/>
  </w:num>
  <w:num w:numId="4" w16cid:durableId="1109160729">
    <w:abstractNumId w:val="4"/>
  </w:num>
  <w:num w:numId="5" w16cid:durableId="1079014838">
    <w:abstractNumId w:val="0"/>
  </w:num>
  <w:num w:numId="6" w16cid:durableId="80347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B6817"/>
    <w:rsid w:val="005E458B"/>
    <w:rsid w:val="006215AD"/>
    <w:rsid w:val="00661030"/>
    <w:rsid w:val="00844EC2"/>
    <w:rsid w:val="008516FE"/>
    <w:rsid w:val="008E3539"/>
    <w:rsid w:val="00903466"/>
    <w:rsid w:val="009122A2"/>
    <w:rsid w:val="009942AA"/>
    <w:rsid w:val="009C1D0A"/>
    <w:rsid w:val="009C5AB2"/>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2026-01-20T15:34:00Z</dcterms:created>
  <dcterms:modified xsi:type="dcterms:W3CDTF">2026-01-20T15:34:00Z</dcterms:modified>
</cp:coreProperties>
</file>