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0" w:after="360"/>
        <w:jc w:val="center"/>
      </w:pPr>
      <w:r>
        <w:rPr>
          <w:rFonts w:ascii="Times New Roman" w:hAnsi="Times New Roman" w:eastAsia="Times New Roman"/>
          <w:b/>
          <w:sz w:val="24"/>
        </w:rPr>
        <w:t>Market Structure, Competitive Conduct and Monopoly Power in Travel: Restaurants, Airlines and Global Distribution Systems</w:t>
      </w:r>
    </w:p>
    <w:p>
      <w:pPr>
        <w:spacing w:line="480" w:lineRule="auto"/>
        <w:jc w:val="center"/>
      </w:pPr>
      <w:r>
        <w:rPr>
          <w:rFonts w:ascii="Times New Roman" w:hAnsi="Times New Roman" w:eastAsia="Times New Roman"/>
          <w:b/>
          <w:sz w:val="24"/>
        </w:rPr>
        <w:t>Fundamentals of Economics – Detailed Project Report</w:t>
      </w:r>
    </w:p>
    <w:p>
      <w:pPr>
        <w:jc w:val="center"/>
      </w:pPr>
      <w:r>
        <w:rPr>
          <w:rFonts w:ascii="Times New Roman" w:hAnsi="Times New Roman" w:eastAsia="Times New Roman"/>
          <w:i/>
          <w:sz w:val="24"/>
        </w:rPr>
        <w:t>Option 2: Market Structures, Competitive Conduct, and Monopoly Power in Travel</w:t>
      </w:r>
    </w:p>
    <w:p/>
    <w:p>
      <w:pPr>
        <w:spacing w:line="480" w:lineRule="auto"/>
        <w:jc w:val="center"/>
      </w:pPr>
      <w:r>
        <w:rPr>
          <w:rFonts w:ascii="Times New Roman" w:hAnsi="Times New Roman" w:eastAsia="Times New Roman"/>
          <w:sz w:val="24"/>
        </w:rPr>
        <w:t>Student: Student 3 – Name: ____________________</w:t>
      </w:r>
    </w:p>
    <w:p>
      <w:pPr>
        <w:spacing w:line="480" w:lineRule="auto"/>
        <w:jc w:val="center"/>
      </w:pPr>
      <w:r>
        <w:rPr>
          <w:rFonts w:ascii="Times New Roman" w:hAnsi="Times New Roman" w:eastAsia="Times New Roman"/>
          <w:sz w:val="24"/>
        </w:rPr>
        <w:t>Student ID: ____________________</w:t>
      </w:r>
    </w:p>
    <w:p>
      <w:pPr>
        <w:spacing w:line="480" w:lineRule="auto"/>
        <w:jc w:val="center"/>
      </w:pPr>
      <w:r>
        <w:rPr>
          <w:rFonts w:ascii="Times New Roman" w:hAnsi="Times New Roman" w:eastAsia="Times New Roman"/>
          <w:sz w:val="24"/>
        </w:rPr>
        <w:t>Module: Fundamentals of Economics</w:t>
      </w:r>
    </w:p>
    <w:p>
      <w:pPr>
        <w:spacing w:line="480" w:lineRule="auto"/>
        <w:jc w:val="center"/>
      </w:pPr>
      <w:r>
        <w:rPr>
          <w:rFonts w:ascii="Times New Roman" w:hAnsi="Times New Roman" w:eastAsia="Times New Roman"/>
          <w:sz w:val="24"/>
        </w:rPr>
        <w:t>Submission: Academic Year 2026</w:t>
      </w:r>
    </w:p>
    <w:p>
      <w:pPr>
        <w:spacing w:line="480" w:lineRule="auto"/>
        <w:jc w:val="center"/>
      </w:pPr>
      <w:r>
        <w:rPr>
          <w:rFonts w:ascii="Times New Roman" w:hAnsi="Times New Roman" w:eastAsia="Times New Roman"/>
          <w:sz w:val="24"/>
        </w:rPr>
        <w:t>Main-text word count: 4002</w:t>
      </w:r>
    </w:p>
    <w:p>
      <w:r>
        <w:br w:type="page"/>
      </w:r>
    </w:p>
    <w:p>
      <w:pPr>
        <w:pStyle w:val="Heading1"/>
        <w:pageBreakBefore w:val="0"/>
      </w:pPr>
      <w:r>
        <w:rPr>
          <w:rFonts w:ascii="Times New Roman" w:hAnsi="Times New Roman" w:eastAsia="Times New Roman"/>
          <w:b/>
          <w:sz w:val="24"/>
        </w:rPr>
        <w:t>Table of Contents</w:t>
      </w:r>
    </w:p>
    <w:p>
      <w:pPr>
        <w:tabs>
          <w:tab w:pos="8856" w:val="right" w:leader="dot"/>
          <w:tab w:pos="8856" w:val="right" w:leader="dot"/>
        </w:tabs>
        <w:spacing w:line="480" w:lineRule="auto" w:before="0" w:after="0"/>
        <w:ind w:firstLine="0"/>
        <w:jc w:val="left"/>
      </w:pPr>
      <w:r>
        <w:rPr>
          <w:rFonts w:ascii="Times New Roman" w:hAnsi="Times New Roman"/>
          <w:sz w:val="24"/>
        </w:rPr>
        <w:t>Executive Summary</w:t>
      </w:r>
      <w:r>
        <w:rPr>
          <w:rFonts w:ascii="Times New Roman" w:hAnsi="Times New Roman"/>
          <w:sz w:val="24"/>
        </w:rPr>
        <w:tab/>
      </w:r>
      <w:r>
        <w:rPr>
          <w:rFonts w:ascii="Times New Roman" w:hAnsi="Times New Roman"/>
          <w:sz w:val="24"/>
        </w:rPr>
        <w:t>3</w:t>
      </w:r>
      <w:r>
        <w:br/>
      </w:r>
      <w:r>
        <w:rPr>
          <w:rFonts w:ascii="Times New Roman" w:hAnsi="Times New Roman"/>
          <w:sz w:val="24"/>
        </w:rPr>
        <w:t>Introduction</w:t>
      </w:r>
      <w:r>
        <w:rPr>
          <w:rFonts w:ascii="Times New Roman" w:hAnsi="Times New Roman"/>
          <w:sz w:val="24"/>
        </w:rPr>
        <w:tab/>
      </w:r>
      <w:r>
        <w:rPr>
          <w:rFonts w:ascii="Times New Roman" w:hAnsi="Times New Roman"/>
          <w:sz w:val="24"/>
        </w:rPr>
        <w:t>4</w:t>
      </w:r>
      <w:r>
        <w:br/>
      </w:r>
      <w:r>
        <w:rPr>
          <w:rFonts w:ascii="Times New Roman" w:hAnsi="Times New Roman"/>
          <w:sz w:val="24"/>
        </w:rPr>
        <w:t>Microeconomic Analysis &amp; Market Structure</w:t>
      </w:r>
      <w:r>
        <w:rPr>
          <w:rFonts w:ascii="Times New Roman" w:hAnsi="Times New Roman"/>
          <w:sz w:val="24"/>
        </w:rPr>
        <w:tab/>
      </w:r>
      <w:r>
        <w:rPr>
          <w:rFonts w:ascii="Times New Roman" w:hAnsi="Times New Roman"/>
          <w:sz w:val="24"/>
        </w:rPr>
        <w:t>6</w:t>
      </w:r>
      <w:r>
        <w:br/>
      </w:r>
      <w:r>
        <w:rPr>
          <w:rFonts w:ascii="Times New Roman" w:hAnsi="Times New Roman"/>
          <w:sz w:val="24"/>
        </w:rPr>
        <w:t>Macroeconomic Environment &amp; Policy Impact</w:t>
      </w:r>
      <w:r>
        <w:rPr>
          <w:rFonts w:ascii="Times New Roman" w:hAnsi="Times New Roman"/>
          <w:sz w:val="24"/>
        </w:rPr>
        <w:tab/>
      </w:r>
      <w:r>
        <w:rPr>
          <w:rFonts w:ascii="Times New Roman" w:hAnsi="Times New Roman"/>
          <w:sz w:val="24"/>
        </w:rPr>
        <w:t>13</w:t>
      </w:r>
      <w:r>
        <w:br/>
      </w:r>
      <w:r>
        <w:rPr>
          <w:rFonts w:ascii="Times New Roman" w:hAnsi="Times New Roman"/>
          <w:sz w:val="24"/>
        </w:rPr>
        <w:t>Empirical Data &amp; Case Study Analysis</w:t>
      </w:r>
      <w:r>
        <w:rPr>
          <w:rFonts w:ascii="Times New Roman" w:hAnsi="Times New Roman"/>
          <w:sz w:val="24"/>
        </w:rPr>
        <w:tab/>
      </w:r>
      <w:r>
        <w:rPr>
          <w:rFonts w:ascii="Times New Roman" w:hAnsi="Times New Roman"/>
          <w:sz w:val="24"/>
        </w:rPr>
        <w:t>15</w:t>
      </w:r>
      <w:r>
        <w:br/>
      </w:r>
      <w:r>
        <w:rPr>
          <w:rFonts w:ascii="Times New Roman" w:hAnsi="Times New Roman"/>
          <w:sz w:val="24"/>
        </w:rPr>
        <w:t>Strategic Implications for Tourism</w:t>
      </w:r>
      <w:r>
        <w:rPr>
          <w:rFonts w:ascii="Times New Roman" w:hAnsi="Times New Roman"/>
          <w:sz w:val="24"/>
        </w:rPr>
        <w:tab/>
      </w:r>
      <w:r>
        <w:rPr>
          <w:rFonts w:ascii="Times New Roman" w:hAnsi="Times New Roman"/>
          <w:sz w:val="24"/>
        </w:rPr>
        <w:t>19</w:t>
      </w:r>
      <w:r>
        <w:br/>
      </w:r>
      <w:r>
        <w:rPr>
          <w:rFonts w:ascii="Times New Roman" w:hAnsi="Times New Roman"/>
          <w:sz w:val="24"/>
        </w:rPr>
        <w:t>Conclusion &amp; Recommendations</w:t>
      </w:r>
      <w:r>
        <w:rPr>
          <w:rFonts w:ascii="Times New Roman" w:hAnsi="Times New Roman"/>
          <w:sz w:val="24"/>
        </w:rPr>
        <w:tab/>
      </w:r>
      <w:r>
        <w:rPr>
          <w:rFonts w:ascii="Times New Roman" w:hAnsi="Times New Roman"/>
          <w:sz w:val="24"/>
        </w:rPr>
        <w:t>21</w:t>
      </w:r>
      <w:r>
        <w:br/>
      </w:r>
      <w:r>
        <w:rPr>
          <w:rFonts w:ascii="Times New Roman" w:hAnsi="Times New Roman"/>
          <w:sz w:val="24"/>
        </w:rPr>
        <w:t>References</w:t>
      </w:r>
      <w:r>
        <w:rPr>
          <w:rFonts w:ascii="Times New Roman" w:hAnsi="Times New Roman"/>
          <w:sz w:val="24"/>
        </w:rPr>
        <w:tab/>
      </w:r>
      <w:r>
        <w:rPr>
          <w:rFonts w:ascii="Times New Roman" w:hAnsi="Times New Roman"/>
          <w:sz w:val="24"/>
        </w:rPr>
        <w:t>22</w:t>
      </w:r>
      <w:r>
        <w:br/>
      </w:r>
      <w:r>
        <w:rPr>
          <w:rFonts w:ascii="Times New Roman" w:hAnsi="Times New Roman"/>
          <w:sz w:val="24"/>
        </w:rPr>
        <w:t>Appendices</w:t>
      </w:r>
      <w:r>
        <w:rPr>
          <w:rFonts w:ascii="Times New Roman" w:hAnsi="Times New Roman"/>
          <w:sz w:val="24"/>
        </w:rPr>
        <w:tab/>
      </w:r>
      <w:r>
        <w:rPr>
          <w:rFonts w:ascii="Times New Roman" w:hAnsi="Times New Roman"/>
          <w:sz w:val="24"/>
        </w:rPr>
        <w:t>23</w:t>
      </w:r>
    </w:p>
    <w:p>
      <w:r>
        <w:br w:type="page"/>
      </w:r>
    </w:p>
    <w:p>
      <w:pPr>
        <w:pStyle w:val="Heading1"/>
        <w:pageBreakBefore w:val="0"/>
      </w:pPr>
      <w:r>
        <w:rPr>
          <w:rFonts w:ascii="Times New Roman" w:hAnsi="Times New Roman" w:eastAsia="Times New Roman"/>
          <w:b/>
          <w:sz w:val="24"/>
        </w:rPr>
        <w:t>Executive Summary</w:t>
      </w:r>
    </w:p>
    <w:p>
      <w:pPr>
        <w:spacing w:line="480" w:lineRule="auto" w:before="0" w:after="0"/>
        <w:ind w:firstLine="720"/>
        <w:jc w:val="both"/>
      </w:pPr>
      <w:r>
        <w:rPr>
          <w:rFonts w:ascii="Times New Roman" w:hAnsi="Times New Roman" w:eastAsia="Times New Roman"/>
          <w:sz w:val="24"/>
        </w:rPr>
        <w:t>Travel and tourism contain markets that look very different even though they serve the same final visitor. A neighbourhood restaurant may operate in a fragmented market with low-to-moderate entry barriers, while commercial aviation and global distribution systems (GDSs) exhibit high fixed costs, network effects and substantial concentration. This report compares those structures and evaluates how they shape price, capacity, innovation and bargaining power. Industrial-organisation theory predicts that firms in concentrated markets must account for rivals’ reactions, whereas a small restaurant usually treats the wider market price and local demand conditions as constraints rather than coordinating strategy with every competitor (Tirole, 1988). The difference is not simply the number of firms: sunk costs, economies of scale, product differentiation and network effects determine whether entry can discipline incumbents.</w:t>
      </w:r>
    </w:p>
    <w:p>
      <w:pPr>
        <w:spacing w:line="480" w:lineRule="auto" w:before="0" w:after="0"/>
        <w:ind w:firstLine="720"/>
        <w:jc w:val="both"/>
      </w:pPr>
      <w:r>
        <w:rPr>
          <w:rFonts w:ascii="Times New Roman" w:hAnsi="Times New Roman" w:eastAsia="Times New Roman"/>
          <w:sz w:val="24"/>
        </w:rPr>
        <w:t>The empirical discussion focuses on airline alliances, GDS platforms and recent competition-policy interventions. The European Commission notes that a relatively small set of airline groups accounts for a large share of European air traffic, while U.S. aviation is also highly concentrated (European Commission, 2025). Amadeus and Sabre illustrate the two-sided economics of travel distribution, connecting airlines and other suppliers with agencies and corporate buyers at global scale (Amadeus, 2026; Sabre Corporation, 2026). Regulatory cases involving the American Airlines–JetBlue Northeast Alliance and the proposed JetBlue–Spirit acquisition show authorities testing claimed network efficiencies against the risk that coordination or consolidation would weaken rivalry (U.S. Department of Justice [DOJ], 2023, 2024). The report concludes that policy should protect contestability rather than mechanically pursue a particular number of firms: slot access, interoperability, transparent distribution terms and targeted merger remedies can preserve entry incentives while still allowing genuine scale and network efficiencies.</w:t>
      </w:r>
    </w:p>
    <w:p>
      <w:pPr>
        <w:pStyle w:val="Heading1"/>
        <w:pageBreakBefore w:val="0"/>
      </w:pPr>
      <w:r>
        <w:rPr>
          <w:rFonts w:ascii="Times New Roman" w:hAnsi="Times New Roman" w:eastAsia="Times New Roman"/>
          <w:b/>
          <w:sz w:val="24"/>
        </w:rPr>
        <w:t>Introduction</w:t>
      </w:r>
    </w:p>
    <w:p>
      <w:pPr>
        <w:spacing w:line="480" w:lineRule="auto" w:before="0" w:after="0"/>
        <w:ind w:firstLine="720"/>
        <w:jc w:val="both"/>
      </w:pPr>
      <w:r>
        <w:rPr>
          <w:rFonts w:ascii="Times New Roman" w:hAnsi="Times New Roman" w:eastAsia="Times New Roman"/>
          <w:sz w:val="24"/>
        </w:rPr>
        <w:t>Market structure determines the strategic environment in which tourism firms make decisions. Perfect competition is the theoretical benchmark: many sellers offer homogeneous products, no individual firm can influence price, entry is easy and information is widely available. Few tourism markets satisfy these conditions exactly. Restaurants differentiate cuisine and location; hotels differentiate brand and quality; airlines differentiate schedules and networks. Nevertheless, the competitive benchmark remains useful because it identifies how market power emerges when firms gain the ability to set price above marginal cost without immediately losing all customers.</w:t>
      </w:r>
    </w:p>
    <w:p>
      <w:pPr>
        <w:spacing w:line="480" w:lineRule="auto" w:before="0" w:after="0"/>
        <w:ind w:firstLine="720"/>
        <w:jc w:val="both"/>
      </w:pPr>
      <w:r>
        <w:rPr>
          <w:rFonts w:ascii="Times New Roman" w:hAnsi="Times New Roman" w:eastAsia="Times New Roman"/>
          <w:sz w:val="24"/>
        </w:rPr>
        <w:t>Monopoly lies at the opposite extreme, where a single supplier serves a relevant market and entry is sufficiently difficult that competitive pressure is weak. Tourism monopolies can arise temporarily or locally—for example, an exclusive concession inside an attraction or a single transport provider on a remote route—but many important markets are oligopolies rather than pure monopolies. In an oligopoly, a few firms recognise their mutual interdependence. A capacity increase, loyalty change or price reduction by one airline affects the optimal response of its rivals. Game theory is therefore more relevant than the price-taking logic of perfect competition (Carlton &amp; Perloff, 2005).</w:t>
      </w:r>
    </w:p>
    <w:p>
      <w:pPr>
        <w:spacing w:line="480" w:lineRule="auto" w:before="0" w:after="0"/>
        <w:ind w:firstLine="720"/>
        <w:jc w:val="both"/>
      </w:pPr>
      <w:r>
        <w:rPr>
          <w:rFonts w:ascii="Times New Roman" w:hAnsi="Times New Roman" w:eastAsia="Times New Roman"/>
          <w:sz w:val="24"/>
        </w:rPr>
        <w:t>The local restaurant market is used in this report as a relatively contestable comparator. Opening a restaurant still requires capital, licensing, premises, labour and marketing, and failure rates can be high. Yet an entrepreneur can enter with a single site and need not replicate the national network of an incumbent. By contrast, a new long-haul airline requires aircraft, crews, safety approvals, airport access, distribution, working capital and enough frequencies to attract travellers. A new GDS or large travel-distribution platform confronts an additional chicken-and-egg problem: travel agencies value a platform with broad supplier content, while suppliers value a platform with many agency buyers.</w:t>
      </w:r>
    </w:p>
    <w:p>
      <w:pPr>
        <w:spacing w:line="480" w:lineRule="auto" w:before="0" w:after="0"/>
        <w:ind w:firstLine="720"/>
        <w:jc w:val="both"/>
      </w:pPr>
      <w:r>
        <w:rPr>
          <w:rFonts w:ascii="Times New Roman" w:hAnsi="Times New Roman" w:eastAsia="Times New Roman"/>
          <w:sz w:val="24"/>
        </w:rPr>
        <w:t>The report asks four linked questions. First, how do fragmented and concentrated market structures alter pricing behaviour? Second, how do fixed costs, scale economies and network effects deter tourism start-ups? Third, what does recent antitrust intervention reveal about the boundary between beneficial cooperation and harmful market power? Fourth, when can government subsidies be justified in a troubled travel industry without permanently insulating incumbents from market discipline? These questions matter for managers because strategy and public policy jointly determine the feasible set of prices, partnerships and investments.</w:t>
      </w:r>
    </w:p>
    <w:p>
      <w:pPr>
        <w:pStyle w:val="Heading1"/>
        <w:pageBreakBefore/>
      </w:pPr>
      <w:r>
        <w:rPr>
          <w:rFonts w:ascii="Times New Roman" w:hAnsi="Times New Roman" w:eastAsia="Times New Roman"/>
          <w:b/>
          <w:sz w:val="24"/>
        </w:rPr>
        <w:t>Microeconomic Analysis &amp; Market Structure</w:t>
      </w:r>
    </w:p>
    <w:p>
      <w:pPr>
        <w:pStyle w:val="Heading2"/>
      </w:pPr>
      <w:r>
        <w:rPr>
          <w:rFonts w:ascii="Times New Roman" w:hAnsi="Times New Roman" w:eastAsia="Times New Roman"/>
          <w:b/>
          <w:sz w:val="24"/>
        </w:rPr>
        <w:t>Local Restaurants: Differentiated Competition and Contestability</w:t>
      </w:r>
    </w:p>
    <w:p>
      <w:pPr>
        <w:spacing w:line="480" w:lineRule="auto" w:before="0" w:after="0"/>
        <w:ind w:firstLine="720"/>
        <w:jc w:val="both"/>
      </w:pPr>
      <w:r>
        <w:rPr>
          <w:rFonts w:ascii="Times New Roman" w:hAnsi="Times New Roman" w:eastAsia="Times New Roman"/>
          <w:sz w:val="24"/>
        </w:rPr>
        <w:t>A local restaurant market is better described as monopolistic competition than perfect competition. Many sellers compete, but each outlet differentiates its offer through cuisine, chef reputation, location, atmosphere, opening hours, dietary options and service. This differentiation gives a restaurant a downward-sloping demand curve: a modest price increase will not cause every customer to leave, because the product is not identical to the restaurant next door. Yet demand can still be highly elastic where diners have many close alternatives and low switching costs. The result is limited market power constrained by entry and substitution.</w:t>
      </w:r>
    </w:p>
    <w:p>
      <w:pPr>
        <w:spacing w:line="480" w:lineRule="auto" w:before="0" w:after="0"/>
        <w:ind w:firstLine="720"/>
        <w:jc w:val="both"/>
      </w:pPr>
      <w:r>
        <w:rPr>
          <w:rFonts w:ascii="Times New Roman" w:hAnsi="Times New Roman" w:eastAsia="Times New Roman"/>
          <w:sz w:val="24"/>
        </w:rPr>
        <w:t>Entry disciplines profits over time. If a district becomes unusually profitable, entrepreneurs can open competing concepts, delivery-only kitchens or small-format outlets. Entry is not costless—commercial leases and fit-outs are partly sunk—but the minimum efficient scale is modest compared with aviation. A single successful site can operate without owning a citywide network. This keeps the threat of entry credible and makes persistent monopoly rents harder to sustain unless location, permits or a unique asset create scarcity.</w:t>
      </w:r>
    </w:p>
    <w:p>
      <w:pPr>
        <w:spacing w:line="480" w:lineRule="auto" w:before="0" w:after="0"/>
        <w:ind w:firstLine="720"/>
        <w:jc w:val="both"/>
      </w:pPr>
      <w:r>
        <w:rPr>
          <w:rFonts w:ascii="Times New Roman" w:hAnsi="Times New Roman" w:eastAsia="Times New Roman"/>
          <w:sz w:val="24"/>
        </w:rPr>
        <w:t>Restaurant pricing is therefore often local and value-oriented. Managers compare ingredient and labour costs with neighbourhood willingness to pay, competitor menus and seat turnover. Peak-period reservations can create temporary scarcity, but capacity can sometimes be adjusted through table management, takeaway, delivery or additional shifts. The firm’s central competitive tools are product differentiation and operational efficiency rather than strategic control of an essential network. This is important when comparing restaurants with airlines: both have perishable capacity, but their barriers to entry and network economics are fundamentally different.</w:t>
      </w:r>
    </w:p>
    <w:p>
      <w:pPr>
        <w:pStyle w:val="Heading2"/>
      </w:pPr>
      <w:r>
        <w:rPr>
          <w:rFonts w:ascii="Times New Roman" w:hAnsi="Times New Roman" w:eastAsia="Times New Roman"/>
          <w:b/>
          <w:sz w:val="24"/>
        </w:rPr>
        <w:t>Airline Oligopoly: Capacity, Frequency and Strategic Interdependence</w:t>
      </w:r>
    </w:p>
    <w:p>
      <w:pPr>
        <w:spacing w:line="480" w:lineRule="auto" w:before="0" w:after="0"/>
        <w:ind w:firstLine="720"/>
        <w:jc w:val="both"/>
      </w:pPr>
      <w:r>
        <w:rPr>
          <w:rFonts w:ascii="Times New Roman" w:hAnsi="Times New Roman" w:eastAsia="Times New Roman"/>
          <w:sz w:val="24"/>
        </w:rPr>
        <w:t>Airline markets exhibit high fixed and sunk costs. Aircraft ownership or leases, maintenance systems, crew training, airport facilities, regulatory certification and information technology must be financed before a route generates substantial traffic. Variable cost per additional passenger on a scheduled flight can be relatively low until capacity is full, creating strong incentives to fill seats. At the network level, economies of density arise when additional passengers can be carried through hubs and existing frequencies, while larger networks create more connecting itineraries. These characteristics support scale but also make entry risky.</w:t>
      </w:r>
    </w:p>
    <w:p>
      <w:pPr>
        <w:spacing w:line="480" w:lineRule="auto" w:before="0" w:after="0"/>
        <w:ind w:firstLine="720"/>
        <w:jc w:val="both"/>
      </w:pPr>
      <w:r>
        <w:rPr>
          <w:rFonts w:ascii="Times New Roman" w:hAnsi="Times New Roman" w:eastAsia="Times New Roman"/>
          <w:sz w:val="24"/>
        </w:rPr>
        <w:t>The relevant market is often route-specific. A traveller between two cities cares about schedule, total journey time, airport location and connections; national market share can therefore conceal strong or weak rivalry on individual city pairs. Yuan (2026) develops an empirical framework for airline network competition, illustrating why route decisions cannot be evaluated independently of network structure. An incumbent with a large hub can offer more connecting destinations, making its local flights more valuable to customers and reinforcing the hub’s attractiveness.</w:t>
      </w:r>
    </w:p>
    <w:p>
      <w:pPr>
        <w:spacing w:line="480" w:lineRule="auto" w:before="0" w:after="0"/>
        <w:ind w:firstLine="720"/>
        <w:jc w:val="both"/>
      </w:pPr>
      <w:r>
        <w:rPr>
          <w:rFonts w:ascii="Times New Roman" w:hAnsi="Times New Roman" w:eastAsia="Times New Roman"/>
          <w:sz w:val="24"/>
        </w:rPr>
        <w:t>Strategic interdependence affects capacity as well as fares. An entrant adding frequency can improve its product because travellers value departure-time choice, but it can provoke an incumbent response. A carrier may match fares, add seats or use loyalty benefits to defend the route. These responses can benefit consumers in the short run, but they also raise the capital required for an entrant to survive. A competition assessment must distinguish vigorous competition from exclusionary conduct by asking whether the response is economically rational absent the goal of deterring entry.</w:t>
      </w:r>
    </w:p>
    <w:p>
      <w:pPr>
        <w:keepNext/>
        <w:jc w:val="center"/>
      </w:pPr>
      <w:r>
        <w:drawing>
          <wp:inline xmlns:a="http://schemas.openxmlformats.org/drawingml/2006/main" xmlns:pic="http://schemas.openxmlformats.org/drawingml/2006/picture">
            <wp:extent cx="5852160" cy="3366367"/>
            <wp:docPr id="1" name="Picture 1"/>
            <wp:cNvGraphicFramePr>
              <a:graphicFrameLocks noChangeAspect="1"/>
            </wp:cNvGraphicFramePr>
            <a:graphic>
              <a:graphicData uri="http://schemas.openxmlformats.org/drawingml/2006/picture">
                <pic:pic>
                  <pic:nvPicPr>
                    <pic:cNvPr id="0" name="figure_1.png"/>
                    <pic:cNvPicPr/>
                  </pic:nvPicPr>
                  <pic:blipFill>
                    <a:blip r:embed="rId10"/>
                    <a:stretch>
                      <a:fillRect/>
                    </a:stretch>
                  </pic:blipFill>
                  <pic:spPr>
                    <a:xfrm>
                      <a:off x="0" y="0"/>
                      <a:ext cx="5852160" cy="3366367"/>
                    </a:xfrm>
                    <a:prstGeom prst="rect"/>
                  </pic:spPr>
                </pic:pic>
              </a:graphicData>
            </a:graphic>
          </wp:inline>
        </w:drawing>
      </w:r>
    </w:p>
    <w:p>
      <w:pPr>
        <w:spacing w:line="240" w:lineRule="auto" w:after="120"/>
        <w:jc w:val="center"/>
      </w:pPr>
      <w:r>
        <w:rPr>
          <w:rFonts w:ascii="Times New Roman" w:hAnsi="Times New Roman" w:eastAsia="Times New Roman"/>
          <w:i/>
          <w:sz w:val="20"/>
        </w:rPr>
        <w:t>Figure 1. Illustrative comparison of entry barriers. The index is analytical rather than an official concentration measure.</w:t>
      </w:r>
    </w:p>
    <w:p>
      <w:pPr>
        <w:pStyle w:val="Heading2"/>
      </w:pPr>
      <w:r>
        <w:rPr>
          <w:rFonts w:ascii="Times New Roman" w:hAnsi="Times New Roman" w:eastAsia="Times New Roman"/>
          <w:b/>
          <w:sz w:val="24"/>
        </w:rPr>
        <w:t>Global Distribution Systems as Two-Sided Platforms</w:t>
      </w:r>
    </w:p>
    <w:p>
      <w:pPr>
        <w:spacing w:line="480" w:lineRule="auto" w:before="0" w:after="0"/>
        <w:ind w:firstLine="720"/>
        <w:jc w:val="both"/>
      </w:pPr>
      <w:r>
        <w:rPr>
          <w:rFonts w:ascii="Times New Roman" w:hAnsi="Times New Roman" w:eastAsia="Times New Roman"/>
          <w:sz w:val="24"/>
        </w:rPr>
        <w:t>GDSs connect travel suppliers with travel agencies and corporate booking intermediaries. This is a two-sided platform problem: the value to agencies increases with the breadth and quality of airline, hotel and ancillary content, while the value to suppliers increases with access to agency demand. Rochet and Tirole (2003) show that platform markets cannot be understood by examining only one side’s price; the platform chooses a structure of charges to attract participation on both sides. This explains why distribution fees, incentives and content commitments can be more important competitively than a single posted access price.</w:t>
      </w:r>
    </w:p>
    <w:p>
      <w:pPr>
        <w:spacing w:line="480" w:lineRule="auto" w:before="0" w:after="0"/>
        <w:ind w:firstLine="720"/>
        <w:jc w:val="both"/>
      </w:pPr>
      <w:r>
        <w:rPr>
          <w:rFonts w:ascii="Times New Roman" w:hAnsi="Times New Roman" w:eastAsia="Times New Roman"/>
          <w:sz w:val="24"/>
        </w:rPr>
        <w:t>Scale and network effects make GDS entry difficult. Amadeus reported hundreds of millions of agency air bookings in 2025 and continued investment in technology and NDC connectivity (Amadeus, 2026). Sabre similarly describes a transaction-driven distribution business that operates as a marketplace between travel suppliers and buyers (Sabre Corporation, 2026). A start-up platform must persuade suppliers to integrate before it has agency demand and persuade agencies to adopt before it has comprehensive content. Technical integration, reliability and global support create additional fixed costs.</w:t>
      </w:r>
    </w:p>
    <w:p>
      <w:pPr>
        <w:spacing w:line="480" w:lineRule="auto" w:before="0" w:after="0"/>
        <w:ind w:firstLine="720"/>
        <w:jc w:val="both"/>
      </w:pPr>
      <w:r>
        <w:rPr>
          <w:rFonts w:ascii="Times New Roman" w:hAnsi="Times New Roman" w:eastAsia="Times New Roman"/>
          <w:sz w:val="24"/>
        </w:rPr>
        <w:t>Market power in distribution can therefore arise even without a single monopoly provider. If agencies multi-home across several systems, rivalry can remain meaningful; if switching costs, contracts or workflow integration lock users to one platform, bargaining power increases. Padilla et al. (2021) analyse wholesale price-parity agreements in airline-ticket distribution and show how contractual rules can affect competitive incentives. For managers, distribution strategy is consequently a competition issue as well as a sales issue: access to customers depends on the terms under which platforms, airlines and agencies interact.</w:t>
      </w:r>
    </w:p>
    <w:p>
      <w:pPr>
        <w:spacing w:line="240" w:lineRule="auto" w:after="120"/>
        <w:jc w:val="center"/>
      </w:pPr>
      <w:r>
        <w:rPr>
          <w:rFonts w:ascii="Times New Roman" w:hAnsi="Times New Roman" w:eastAsia="Times New Roman"/>
          <w:i/>
          <w:sz w:val="20"/>
        </w:rPr>
        <w:t>Table 1. Structural comparison of tourism markets</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172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Dimension</w:t>
            </w:r>
          </w:p>
        </w:tc>
        <w:tc>
          <w:tcPr>
            <w:tcW w:type="dxa" w:w="2304"/>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Local restaurant market</w:t>
            </w:r>
          </w:p>
        </w:tc>
        <w:tc>
          <w:tcPr>
            <w:tcW w:type="dxa" w:w="2520"/>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Airline / GDS oligopoly</w:t>
            </w:r>
          </w:p>
        </w:tc>
        <w:tc>
          <w:tcPr>
            <w:tcW w:type="dxa" w:w="208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Economic consequence</w:t>
            </w:r>
          </w:p>
        </w:tc>
      </w:tr>
      <w:tr>
        <w:tc>
          <w:tcPr>
            <w:tcW w:type="dxa" w:w="172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Number of sellers</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Often many small outlets in a city or neighbourhood</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Few network airlines and a small number of major distribution platforms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Concentration increases strategic interdependence</w:t>
            </w:r>
          </w:p>
        </w:tc>
      </w:tr>
      <w:tr>
        <w:tc>
          <w:tcPr>
            <w:tcW w:type="dxa" w:w="172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Entry cost</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Kitchen, lease, licences and local marketing</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Aircraft/fleet access, slots, IT, safety certification, global network and data infrastructure</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Sunk and fixed costs deter entry</w:t>
            </w:r>
          </w:p>
        </w:tc>
      </w:tr>
      <w:tr>
        <w:tc>
          <w:tcPr>
            <w:tcW w:type="dxa" w:w="172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Product differentiation</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Cuisine, location, service, ambience</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Schedule, network, loyalty, alliance connectivity, platform content</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Differentiation softens direct price competition</w:t>
            </w:r>
          </w:p>
        </w:tc>
      </w:tr>
      <w:tr>
        <w:tc>
          <w:tcPr>
            <w:tcW w:type="dxa" w:w="172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Network effects</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Usually limited and local</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Strong in hub networks and two-sided distribution platforms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Scale can reinforce incumbent advantage</w:t>
            </w:r>
          </w:p>
        </w:tc>
      </w:tr>
      <w:tr>
        <w:tc>
          <w:tcPr>
            <w:tcW w:type="dxa" w:w="172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Pricing behaviour</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Menu pricing and local promotions</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Yield management, fare families, negotiated distribution fees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Prices can respond strategically to rivals and capacity</w:t>
            </w:r>
          </w:p>
        </w:tc>
      </w:tr>
      <w:tr>
        <w:tc>
          <w:tcPr>
            <w:tcW w:type="dxa" w:w="172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Regulatory exposure</w:t>
            </w:r>
          </w:p>
        </w:tc>
        <w:tc>
          <w:tcPr>
            <w:tcW w:type="dxa" w:w="230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Food, labour, zoning and ordinary competition law</w:t>
            </w:r>
          </w:p>
        </w:tc>
        <w:tc>
          <w:tcPr>
            <w:tcW w:type="dxa" w:w="252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Aviation regulation, antitrust, airport access and platform rules</w:t>
            </w:r>
          </w:p>
        </w:tc>
        <w:tc>
          <w:tcPr>
            <w:tcW w:type="dxa" w:w="2088"/>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Policy materially shapes contestability</w:t>
            </w:r>
          </w:p>
        </w:tc>
      </w:tr>
    </w:tbl>
    <w:p>
      <w:pPr>
        <w:spacing w:after="120"/>
      </w:pPr>
    </w:p>
    <w:p>
      <w:pPr>
        <w:pStyle w:val="Heading2"/>
      </w:pPr>
      <w:r>
        <w:rPr>
          <w:rFonts w:ascii="Times New Roman" w:hAnsi="Times New Roman" w:eastAsia="Times New Roman"/>
          <w:b/>
          <w:sz w:val="24"/>
        </w:rPr>
        <w:t>Measuring Market Power, Entry and Dynamic Competition</w:t>
      </w:r>
    </w:p>
    <w:p>
      <w:pPr>
        <w:spacing w:line="480" w:lineRule="auto" w:before="0" w:after="0"/>
        <w:ind w:firstLine="720"/>
        <w:jc w:val="both"/>
      </w:pPr>
      <w:r>
        <w:rPr>
          <w:rFonts w:ascii="Times New Roman" w:hAnsi="Times New Roman" w:eastAsia="Times New Roman"/>
          <w:sz w:val="24"/>
        </w:rPr>
        <w:t>Market share is a useful starting point but not a complete measure of market power. A high share can reflect superior efficiency, while a smaller firm can impose powerful competitive discipline if customers regard it as the closest substitute. Competition analysis therefore considers concentration together with diversion ratios, entry conditions, capacity constraints and evidence on how rivals respond. In airline markets the relevant unit may be a city pair rather than the national industry, because travellers substitute among feasible itineraries rather than among every carrier in the country. This is one reason route-level empirical frameworks such as Yuan (2026) are important for evaluating network competition.</w:t>
      </w:r>
    </w:p>
    <w:p>
      <w:pPr>
        <w:spacing w:line="480" w:lineRule="auto" w:before="0" w:after="0"/>
        <w:ind w:firstLine="720"/>
        <w:jc w:val="both"/>
      </w:pPr>
      <w:r>
        <w:rPr>
          <w:rFonts w:ascii="Times New Roman" w:hAnsi="Times New Roman" w:eastAsia="Times New Roman"/>
          <w:sz w:val="24"/>
        </w:rPr>
        <w:t>The Herfindahl-Hirschman Index is often used to summarise concentration by squaring and adding firm market shares, but it should not be treated as an automatic verdict. A concentrated route with low barriers and credible entry can be more contestable than a moderately concentrated route where airport slots are unavailable. Conversely, national statistics can make a hub route look competitive even when one carrier controls most convenient frequencies. Managers considering a merger or alliance should therefore map concentration at several levels: airport, city pair, connecting itinerary and customer segment.</w:t>
      </w:r>
    </w:p>
    <w:p>
      <w:pPr>
        <w:spacing w:line="480" w:lineRule="auto" w:before="0" w:after="0"/>
        <w:ind w:firstLine="720"/>
        <w:jc w:val="both"/>
      </w:pPr>
      <w:r>
        <w:rPr>
          <w:rFonts w:ascii="Times New Roman" w:hAnsi="Times New Roman" w:eastAsia="Times New Roman"/>
          <w:sz w:val="24"/>
        </w:rPr>
        <w:t>Potential competition matters because incumbents price partly in response to the threat of entry. A restaurant facing empty nearby retail space and a pool of entrepreneurs may keep prices and quality competitive even before a new outlet opens. An airline at a constrained airport may face a weaker threat if no slots are available. This difference illustrates why sunk cost and access to essential inputs are central to contestability. Tirole (1988) emphasises that entry conditions shape the ability of market structure to generate persistent rents.</w:t>
      </w:r>
    </w:p>
    <w:p>
      <w:pPr>
        <w:spacing w:line="480" w:lineRule="auto" w:before="0" w:after="0"/>
        <w:ind w:firstLine="720"/>
        <w:jc w:val="both"/>
      </w:pPr>
      <w:r>
        <w:rPr>
          <w:rFonts w:ascii="Times New Roman" w:hAnsi="Times New Roman" w:eastAsia="Times New Roman"/>
          <w:sz w:val="24"/>
        </w:rPr>
        <w:t>Innovation is another dynamic competitive force. Low-cost carriers altered airline markets through simplified fleets, dense seating, direct internet sales and unbundled products rather than merely by entering with a smaller version of a network carrier. Direct airline distribution and NDC can similarly challenge established GDS economics by changing how rich content and ancillary products are sold. A policy that protects existing business models from innovation can harm consumers even if it preserves the current number of firms. Competitive policy should protect the process of rivalry, not incumbents as such.</w:t>
      </w:r>
    </w:p>
    <w:p>
      <w:pPr>
        <w:spacing w:line="480" w:lineRule="auto" w:before="0" w:after="0"/>
        <w:ind w:firstLine="720"/>
        <w:jc w:val="both"/>
      </w:pPr>
      <w:r>
        <w:rPr>
          <w:rFonts w:ascii="Times New Roman" w:hAnsi="Times New Roman" w:eastAsia="Times New Roman"/>
          <w:sz w:val="24"/>
        </w:rPr>
        <w:t>At the same time, network industries can exhibit tipping. If users increasingly join the platform with the most counterparties, a small initial advantage can become self-reinforcing. Rochet and Tirole (2003) explain why two-sided platforms use pricing across both sides to build participation. For a travel-distribution entrant, subsidising agency adoption may be rational if agency scale attracts supplier content; charging agencies too early may prevent the network from reaching critical mass. Strategic pricing for entry therefore differs from mature-platform pricing.</w:t>
      </w:r>
    </w:p>
    <w:p>
      <w:pPr>
        <w:spacing w:line="480" w:lineRule="auto" w:before="0" w:after="0"/>
        <w:ind w:firstLine="720"/>
        <w:jc w:val="both"/>
      </w:pPr>
      <w:r>
        <w:rPr>
          <w:rFonts w:ascii="Times New Roman" w:hAnsi="Times New Roman" w:eastAsia="Times New Roman"/>
          <w:sz w:val="24"/>
        </w:rPr>
        <w:t>Data can itself become a scale economy. Large airlines and GDSs observe vast transaction histories that improve forecasting, personalisation and operational planning. A start-up with fewer observations may face higher forecast error even if its software is technically strong. The appropriate managerial response is to identify data that are truly proprietary versus data that can be obtained through partnerships or public sources. From a policy perspective, mandatory data sharing can improve entry in some settings but may reduce incentives to invest or raise privacy concerns, so remedies should target a demonstrable bottleneck rather than assume all data concentration is anticompetitive.</w:t>
      </w:r>
    </w:p>
    <w:p>
      <w:pPr>
        <w:spacing w:line="480" w:lineRule="auto" w:before="0" w:after="0"/>
        <w:ind w:firstLine="720"/>
        <w:jc w:val="both"/>
      </w:pPr>
      <w:r>
        <w:rPr>
          <w:rFonts w:ascii="Times New Roman" w:hAnsi="Times New Roman" w:eastAsia="Times New Roman"/>
          <w:sz w:val="24"/>
        </w:rPr>
        <w:t>Finally, managers should distinguish economies of scale from economies of scope. Scale reduces average cost as the volume of the same activity grows; scope lowers cost or raises value by combining activities, such as a network airline feeding passengers across many routes or a GDS distributing airlines, hotels and cars through one agency workflow. A merger justified by scope should identify specific complementarities and show why contracts or partnerships cannot achieve them with less loss of rivalry. This discipline strengthens both the business case and the competition-policy analysis.</w:t>
      </w:r>
    </w:p>
    <w:p>
      <w:pPr>
        <w:spacing w:line="480" w:lineRule="auto" w:before="0" w:after="0"/>
        <w:ind w:firstLine="720"/>
        <w:jc w:val="both"/>
      </w:pPr>
      <w:r>
        <w:rPr>
          <w:rFonts w:ascii="Times New Roman" w:hAnsi="Times New Roman" w:eastAsia="Times New Roman"/>
          <w:sz w:val="24"/>
        </w:rPr>
        <w:t>Concentration measures should also be interpreted over time. A market that is concentrated because one firm innovated successfully can still be dynamically competitive if entry, switching and expansion remain feasible. By contrast, a stable moderate share can conceal weak rivalry when firms face similar incentives not to expand. Managers and regulators should therefore examine capacity decisions, product innovation and entry episodes rather than relying on a single annual snapshot.</w:t>
      </w:r>
    </w:p>
    <w:p>
      <w:pPr>
        <w:spacing w:line="480" w:lineRule="auto" w:before="0" w:after="0"/>
        <w:ind w:firstLine="720"/>
        <w:jc w:val="both"/>
      </w:pPr>
      <w:r>
        <w:rPr>
          <w:rFonts w:ascii="Times New Roman" w:hAnsi="Times New Roman" w:eastAsia="Times New Roman"/>
          <w:sz w:val="24"/>
        </w:rPr>
        <w:t>For tourism strategy, this means that the strongest defence against regulatory concern is demonstrable consumer benefit. Partnerships that produce new routes, lower connection times, better distribution technology or lower unit costs are easier to justify when those outcomes are measured and passed through. Scale without evidence of benefit is a weaker argument, especially where the transaction removes an aggressive or distinctive competitor.</w:t>
      </w:r>
    </w:p>
    <w:p>
      <w:pPr>
        <w:pStyle w:val="Heading1"/>
        <w:pageBreakBefore/>
      </w:pPr>
      <w:r>
        <w:rPr>
          <w:rFonts w:ascii="Times New Roman" w:hAnsi="Times New Roman" w:eastAsia="Times New Roman"/>
          <w:b/>
          <w:sz w:val="24"/>
        </w:rPr>
        <w:t>Macroeconomic Environment &amp; Policy Impact</w:t>
      </w:r>
    </w:p>
    <w:p>
      <w:pPr>
        <w:pStyle w:val="Heading2"/>
      </w:pPr>
      <w:r>
        <w:rPr>
          <w:rFonts w:ascii="Times New Roman" w:hAnsi="Times New Roman" w:eastAsia="Times New Roman"/>
          <w:b/>
          <w:sz w:val="24"/>
        </w:rPr>
        <w:t>Why High Fixed Costs Matter During Economic Shocks</w:t>
      </w:r>
    </w:p>
    <w:p>
      <w:pPr>
        <w:spacing w:line="480" w:lineRule="auto" w:before="0" w:after="0"/>
        <w:ind w:firstLine="720"/>
        <w:jc w:val="both"/>
      </w:pPr>
      <w:r>
        <w:rPr>
          <w:rFonts w:ascii="Times New Roman" w:hAnsi="Times New Roman" w:eastAsia="Times New Roman"/>
          <w:sz w:val="24"/>
        </w:rPr>
        <w:t>A recession or external shock affects concentrated travel industries differently from small fragmented businesses. Airlines face large committed costs and cannot instantly shrink fleets, airport obligations or technical infrastructure. When demand collapses, revenue can fall far faster than avoidable cost. This financial operating leverage makes insolvency risk high even when a carrier was viable under normal demand. The same property that creates economies of scale in good times therefore creates vulnerability in severe downturns.</w:t>
      </w:r>
    </w:p>
    <w:p>
      <w:pPr>
        <w:spacing w:line="480" w:lineRule="auto" w:before="0" w:after="0"/>
        <w:ind w:firstLine="720"/>
        <w:jc w:val="both"/>
      </w:pPr>
      <w:r>
        <w:rPr>
          <w:rFonts w:ascii="Times New Roman" w:hAnsi="Times New Roman" w:eastAsia="Times New Roman"/>
          <w:sz w:val="24"/>
        </w:rPr>
        <w:t>The COVID-19 shock provides an extreme example. The U.S. Treasury ultimately awarded $59 billion across three rounds of Payroll Support Program assistance to the domestic aviation industry to continue employee wages and benefits (U.S. Department of the Treasury, 2024). The economic justification rested partly on preserving strategically important transport capacity and employment during an externally imposed collapse rather than compensating firms for ordinary competitive failure. Such support can prevent inefficient destruction of specialised human and network capital when the shock is temporary.</w:t>
      </w:r>
    </w:p>
    <w:p>
      <w:pPr>
        <w:spacing w:line="480" w:lineRule="auto" w:before="0" w:after="0"/>
        <w:ind w:firstLine="720"/>
        <w:jc w:val="both"/>
      </w:pPr>
      <w:r>
        <w:rPr>
          <w:rFonts w:ascii="Times New Roman" w:hAnsi="Times New Roman" w:eastAsia="Times New Roman"/>
          <w:sz w:val="24"/>
        </w:rPr>
        <w:t>However, subsidy design changes competitive conduct. If incumbents expect repeated rescue whenever demand weakens, the prospect of exit no longer disciplines investment and cost decisions. Support can also disadvantage potential entrants that did not receive comparable historical assistance. The appropriate macro-policy principle is therefore temporary, conditional intervention tied to a clearly identified systemic shock, with restrictions that prevent funds from becoming a permanent source of competitive advantage.</w:t>
      </w:r>
    </w:p>
    <w:p>
      <w:pPr>
        <w:pStyle w:val="Heading2"/>
      </w:pPr>
      <w:r>
        <w:rPr>
          <w:rFonts w:ascii="Times New Roman" w:hAnsi="Times New Roman" w:eastAsia="Times New Roman"/>
          <w:b/>
          <w:sz w:val="24"/>
        </w:rPr>
        <w:t>Competition Policy as a Supply-Side Economic Policy</w:t>
      </w:r>
    </w:p>
    <w:p>
      <w:pPr>
        <w:spacing w:line="480" w:lineRule="auto" w:before="0" w:after="0"/>
        <w:ind w:firstLine="720"/>
        <w:jc w:val="both"/>
      </w:pPr>
      <w:r>
        <w:rPr>
          <w:rFonts w:ascii="Times New Roman" w:hAnsi="Times New Roman" w:eastAsia="Times New Roman"/>
          <w:sz w:val="24"/>
        </w:rPr>
        <w:t>Competition policy influences long-run productivity by determining whether efficient entry and innovation can challenge incumbents. In tourism, the policy objective is not necessarily to maximise the number of firms. A network industry may achieve lower average cost and better connectivity at scale. The relevant question is whether scale economies are passed through in lower prices or better service, and whether entry remains possible where incumbents underperform. Antitrust analysis therefore evaluates both market power and verifiable efficiencies.</w:t>
      </w:r>
    </w:p>
    <w:p>
      <w:pPr>
        <w:spacing w:line="480" w:lineRule="auto" w:before="0" w:after="0"/>
        <w:ind w:firstLine="720"/>
        <w:jc w:val="both"/>
      </w:pPr>
      <w:r>
        <w:rPr>
          <w:rFonts w:ascii="Times New Roman" w:hAnsi="Times New Roman" w:eastAsia="Times New Roman"/>
          <w:sz w:val="24"/>
        </w:rPr>
        <w:t>Airport slots, gates and traffic rights are examples of scarce inputs that can turn scale into durable advantage. A new airline cannot compete effectively on a route if it cannot obtain commercially useful departure times. Remedies that release slots can sometimes restore contestability more directly than broad price regulation. Similarly, distribution interoperability and content access can reduce platform switching costs without requiring a regulator to set every GDS fee. Supply-side policy is strongest when it targets the bottleneck responsible for market power.</w:t>
      </w:r>
    </w:p>
    <w:p>
      <w:pPr>
        <w:spacing w:line="480" w:lineRule="auto" w:before="0" w:after="0"/>
        <w:ind w:firstLine="720"/>
        <w:jc w:val="both"/>
      </w:pPr>
      <w:r>
        <w:rPr>
          <w:rFonts w:ascii="Times New Roman" w:hAnsi="Times New Roman" w:eastAsia="Times New Roman"/>
          <w:sz w:val="24"/>
        </w:rPr>
        <w:t>Macroeconomic policy and competition policy can conflict during crises. Governments may want financially weak carriers to merge so capacity survives, while competition authorities may fear that permanent consolidation will raise fares after demand recovers. The solution requires a time-horizon analysis: emergency liquidity may be less damaging to future rivalry than allowing a crisis to produce an irreversible merger, but repeated support can also preserve inefficient capacity. Policymakers should compare these alternatives explicitly rather than treating rescue, exit and consolidation as interchangeable.</w:t>
      </w:r>
    </w:p>
    <w:p>
      <w:pPr>
        <w:pStyle w:val="Heading1"/>
        <w:pageBreakBefore/>
      </w:pPr>
      <w:r>
        <w:rPr>
          <w:rFonts w:ascii="Times New Roman" w:hAnsi="Times New Roman" w:eastAsia="Times New Roman"/>
          <w:b/>
          <w:sz w:val="24"/>
        </w:rPr>
        <w:t>Empirical Data &amp; Case Study Analysis</w:t>
      </w:r>
    </w:p>
    <w:p>
      <w:pPr>
        <w:pStyle w:val="Heading2"/>
      </w:pPr>
      <w:r>
        <w:rPr>
          <w:rFonts w:ascii="Times New Roman" w:hAnsi="Times New Roman" w:eastAsia="Times New Roman"/>
          <w:b/>
          <w:sz w:val="24"/>
        </w:rPr>
        <w:t>Airline Alliances: Cooperation With Competitive Risks</w:t>
      </w:r>
    </w:p>
    <w:p>
      <w:pPr>
        <w:spacing w:line="480" w:lineRule="auto" w:before="0" w:after="0"/>
        <w:ind w:firstLine="720"/>
        <w:jc w:val="both"/>
      </w:pPr>
      <w:r>
        <w:rPr>
          <w:rFonts w:ascii="Times New Roman" w:hAnsi="Times New Roman" w:eastAsia="Times New Roman"/>
          <w:sz w:val="24"/>
        </w:rPr>
        <w:t>Airline alliances can create real efficiencies. Coordinated schedules reduce connection times, reciprocal frequent-flyer benefits increase network value and joint selling can create itineraries that neither airline could conveniently offer alone. These are network-complementarity benefits. At the same time, deep cooperation among carriers that otherwise compete on overlapping routes can reduce independent pricing and capacity incentives. The competition problem is therefore not “cooperation is bad,” but whether the scope of cooperation exceeds what is necessary to deliver integration benefits.</w:t>
      </w:r>
    </w:p>
    <w:p>
      <w:pPr>
        <w:spacing w:line="480" w:lineRule="auto" w:before="0" w:after="0"/>
        <w:ind w:firstLine="720"/>
        <w:jc w:val="both"/>
      </w:pPr>
      <w:r>
        <w:rPr>
          <w:rFonts w:ascii="Times New Roman" w:hAnsi="Times New Roman" w:eastAsia="Times New Roman"/>
          <w:sz w:val="24"/>
        </w:rPr>
        <w:t>The European Commission’s air-transport competition materials reflect this balance, noting both the importance of alliances and the concentration of airline markets (European Commission, 2025). In a previous transatlantic joint-venture case, the Commission accepted commitments from Air France/KLM, Alitalia and Delta intended to address competition concerns on specified routes (European Commission, 2015). Commitments are an example of targeted intervention: the authority can preserve some cooperation while seeking to protect entry or competition where the overlap is most problematic.</w:t>
      </w:r>
    </w:p>
    <w:p>
      <w:pPr>
        <w:spacing w:line="480" w:lineRule="auto" w:before="0" w:after="0"/>
        <w:ind w:firstLine="720"/>
        <w:jc w:val="both"/>
      </w:pPr>
      <w:r>
        <w:rPr>
          <w:rFonts w:ascii="Times New Roman" w:hAnsi="Times New Roman" w:eastAsia="Times New Roman"/>
          <w:sz w:val="24"/>
        </w:rPr>
        <w:t>For airline managers, alliance design should therefore begin with a route-level competition map. Benefits such as through-ticketing and lounge reciprocity can be separated analytically from decisions that remove independent capacity or price rivalry. Where partners are each other’s closest competitors, management should expect more scrutiny and should document passenger benefits in measurable terms rather than relying on broad claims that bigger networks are always better.</w:t>
      </w:r>
    </w:p>
    <w:p>
      <w:pPr>
        <w:pStyle w:val="Heading2"/>
      </w:pPr>
      <w:r>
        <w:rPr>
          <w:rFonts w:ascii="Times New Roman" w:hAnsi="Times New Roman" w:eastAsia="Times New Roman"/>
          <w:b/>
          <w:sz w:val="24"/>
        </w:rPr>
        <w:t>United States v. American Airlines and JetBlue: The Northeast Alliance</w:t>
      </w:r>
    </w:p>
    <w:p>
      <w:pPr>
        <w:spacing w:line="480" w:lineRule="auto" w:before="0" w:after="0"/>
        <w:ind w:firstLine="720"/>
        <w:jc w:val="both"/>
      </w:pPr>
      <w:r>
        <w:rPr>
          <w:rFonts w:ascii="Times New Roman" w:hAnsi="Times New Roman" w:eastAsia="Times New Roman"/>
          <w:sz w:val="24"/>
        </w:rPr>
        <w:t>The American Airlines–JetBlue Northeast Alliance coordinated aspects of the two airlines’ operations in the U.S. Northeast. The DOJ challenged the arrangement, and a federal court ruled against the alliance. The government’s theory focused on the loss of independent competition between two carriers that had previously made separate decisions about routes, capacity and fares (DOJ, 2023). The case is significant because no full corporate merger was required for competition to be reduced; contractual coordination itself can alter incentives.</w:t>
      </w:r>
    </w:p>
    <w:p>
      <w:pPr>
        <w:spacing w:line="480" w:lineRule="auto" w:before="0" w:after="0"/>
        <w:ind w:firstLine="720"/>
        <w:jc w:val="both"/>
      </w:pPr>
      <w:r>
        <w:rPr>
          <w:rFonts w:ascii="Times New Roman" w:hAnsi="Times New Roman" w:eastAsia="Times New Roman"/>
          <w:sz w:val="24"/>
        </w:rPr>
        <w:t>Economically, the key issue is counterfactual behaviour. If each carrier independently decides whether to add a flight, it internalises only its own profit and may expand when the route is attractive. If the carriers coordinate and share benefits, some of the business stolen from the partner becomes an internal transfer rather than a competitive gain. The incentive to add capacity or discount can weaken. This logic is directly relevant to tourism managers considering joint ventures: the more a partnership aligns revenues and capacity decisions among close rivals, the more it begins to resemble structural consolidation in economic effect.</w:t>
      </w:r>
    </w:p>
    <w:p>
      <w:pPr>
        <w:pStyle w:val="Heading2"/>
      </w:pPr>
      <w:r>
        <w:rPr>
          <w:rFonts w:ascii="Times New Roman" w:hAnsi="Times New Roman" w:eastAsia="Times New Roman"/>
          <w:b/>
          <w:sz w:val="24"/>
        </w:rPr>
        <w:t>JetBlue–Spirit: Merger Efficiencies Versus Loss of a Low-Fare Rival</w:t>
      </w:r>
    </w:p>
    <w:p>
      <w:pPr>
        <w:spacing w:line="480" w:lineRule="auto" w:before="0" w:after="0"/>
        <w:ind w:firstLine="720"/>
        <w:jc w:val="both"/>
      </w:pPr>
      <w:r>
        <w:rPr>
          <w:rFonts w:ascii="Times New Roman" w:hAnsi="Times New Roman" w:eastAsia="Times New Roman"/>
          <w:sz w:val="24"/>
        </w:rPr>
        <w:t>The DOJ also challenged JetBlue’s proposed acquisition of Spirit Airlines, and in January 2024 a federal district court blocked the transaction (DOJ, 2024). The case centred on the competitive role of Spirit as an ultra-low-cost carrier and the risk that eliminating an independent low-fare business model would harm price-sensitive passengers. This example shows why market share alone is incomplete. A smaller firm can exert disproportionate competitive pressure if its business model forces larger rivals to respond.</w:t>
      </w:r>
    </w:p>
    <w:p>
      <w:pPr>
        <w:spacing w:line="480" w:lineRule="auto" w:before="0" w:after="0"/>
        <w:ind w:firstLine="720"/>
        <w:jc w:val="both"/>
      </w:pPr>
      <w:r>
        <w:rPr>
          <w:rFonts w:ascii="Times New Roman" w:hAnsi="Times New Roman" w:eastAsia="Times New Roman"/>
          <w:sz w:val="24"/>
        </w:rPr>
        <w:t>The merger debate also illustrates the efficiency defence. Combining airlines can create network breadth, purchasing economies and operating synergies. The economic test is whether those merger-specific efficiencies are likely, verifiable and large enough to offset the loss of rivalry for affected customers. Managers considering consolidation should therefore build the efficiency case from operational evidence—fleet utilisation, duplicated facilities, connectivity and unit costs—rather than treating scale as self-evidently beneficial.</w:t>
      </w:r>
    </w:p>
    <w:p>
      <w:pPr>
        <w:spacing w:line="240" w:lineRule="auto" w:after="120"/>
        <w:jc w:val="center"/>
      </w:pPr>
      <w:r>
        <w:rPr>
          <w:rFonts w:ascii="Times New Roman" w:hAnsi="Times New Roman" w:eastAsia="Times New Roman"/>
          <w:i/>
          <w:sz w:val="20"/>
        </w:rPr>
        <w:t>Table 2. Selected competition and support interventions in aviation</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223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Intervention</w:t>
            </w:r>
          </w:p>
        </w:tc>
        <w:tc>
          <w:tcPr>
            <w:tcW w:type="dxa" w:w="295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Competition concern / market failure</w:t>
            </w:r>
          </w:p>
        </w:tc>
        <w:tc>
          <w:tcPr>
            <w:tcW w:type="dxa" w:w="237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Economic logic</w:t>
            </w:r>
          </w:p>
        </w:tc>
        <w:tc>
          <w:tcPr>
            <w:tcW w:type="dxa" w:w="1800"/>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Potential trade-off</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 v. American Airlines &amp; JetBlue (Northeast Alliance)</w:t>
            </w:r>
          </w:p>
        </w:tc>
        <w:tc>
          <w:tcPr>
            <w:tcW w:type="dxa" w:w="295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Coordination between competitors on routes serving the U.S. Northeast</w:t>
            </w:r>
          </w:p>
        </w:tc>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Protect independent rivalry in fares, capacity and service</w:t>
            </w:r>
          </w:p>
        </w:tc>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Some claimed network/connectivity efficiencies may be lost</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DOJ challenge to JetBlue-Spirit acquisition</w:t>
            </w:r>
          </w:p>
        </w:tc>
        <w:tc>
          <w:tcPr>
            <w:tcW w:type="dxa" w:w="295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Loss of an independent low-fare competitor</w:t>
            </w:r>
          </w:p>
        </w:tc>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Prevent higher concentration and preserve disruptive pricing pressure</w:t>
            </w:r>
          </w:p>
        </w:tc>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Foregone merger synergies and scale economies</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EU transatlantic joint-venture commitments</w:t>
            </w:r>
          </w:p>
        </w:tc>
        <w:tc>
          <w:tcPr>
            <w:tcW w:type="dxa" w:w="295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Potential harm from cooperation among major transatlantic carriers</w:t>
            </w:r>
          </w:p>
        </w:tc>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Use remedies/commitments to maintain route competition</w:t>
            </w:r>
          </w:p>
        </w:tc>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Monitoring and remedy design can be complex</w:t>
            </w:r>
          </w:p>
        </w:tc>
      </w:tr>
      <w:tr>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U.S. airline Payroll Support Program</w:t>
            </w:r>
          </w:p>
        </w:tc>
        <w:tc>
          <w:tcPr>
            <w:tcW w:type="dxa" w:w="295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Pandemic collapse threatened employment and network continuity</w:t>
            </w:r>
          </w:p>
        </w:tc>
        <w:tc>
          <w:tcPr>
            <w:tcW w:type="dxa" w:w="237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Temporary support can preserve capacity through an external shock</w:t>
            </w:r>
          </w:p>
        </w:tc>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Subsidies can weaken exit discipline and create fiscal cost</w:t>
            </w:r>
          </w:p>
        </w:tc>
      </w:tr>
    </w:tbl>
    <w:p>
      <w:pPr>
        <w:spacing w:after="120"/>
      </w:pPr>
    </w:p>
    <w:p>
      <w:pPr>
        <w:pStyle w:val="Heading2"/>
      </w:pPr>
      <w:r>
        <w:rPr>
          <w:rFonts w:ascii="Times New Roman" w:hAnsi="Times New Roman" w:eastAsia="Times New Roman"/>
          <w:b/>
          <w:sz w:val="24"/>
        </w:rPr>
        <w:t>GDS Competition and Distribution Bargaining</w:t>
      </w:r>
    </w:p>
    <w:p>
      <w:pPr>
        <w:spacing w:line="480" w:lineRule="auto" w:before="0" w:after="0"/>
        <w:ind w:firstLine="720"/>
        <w:jc w:val="both"/>
      </w:pPr>
      <w:r>
        <w:rPr>
          <w:rFonts w:ascii="Times New Roman" w:hAnsi="Times New Roman" w:eastAsia="Times New Roman"/>
          <w:sz w:val="24"/>
        </w:rPr>
        <w:t>The GDS market adds a vertical dimension. Airlines want broad distribution but also seek to lower booking costs and control merchandising. Agencies want comprehensive, comparable content. GDS firms invest heavily in reliable search, ticketing and settlement technology. Amadeus reported EUR 6.517 billion of revenue for 2025 and substantial R&amp;D expenditure, while agency air bookings remained a major activity (Amadeus, 2026). These figures illustrate why a new platform must fund technology at scale before it can match incumbent service breadth.</w:t>
      </w:r>
    </w:p>
    <w:p>
      <w:pPr>
        <w:spacing w:line="480" w:lineRule="auto" w:before="0" w:after="0"/>
        <w:ind w:firstLine="720"/>
        <w:jc w:val="both"/>
      </w:pPr>
      <w:r>
        <w:rPr>
          <w:rFonts w:ascii="Times New Roman" w:hAnsi="Times New Roman" w:eastAsia="Times New Roman"/>
          <w:sz w:val="24"/>
        </w:rPr>
        <w:t>Direct airline channels and New Distribution Capability (NDC) can increase competitive pressure on intermediaries by giving suppliers alternative paths to customers. Yet fragmentation can also raise agency search and integration costs if content differs across channels. The welfare question is whether new distribution technology reduces intermediation cost and improves product choice or instead creates new forms of foreclosure and discriminatory access. Platform competition should therefore be assessed across both supplier and agency sides.</w:t>
      </w:r>
    </w:p>
    <w:p>
      <w:pPr>
        <w:pStyle w:val="Heading1"/>
        <w:pageBreakBefore/>
      </w:pPr>
      <w:r>
        <w:rPr>
          <w:rFonts w:ascii="Times New Roman" w:hAnsi="Times New Roman" w:eastAsia="Times New Roman"/>
          <w:b/>
          <w:sz w:val="24"/>
        </w:rPr>
        <w:t>Strategic Implications for Tourism</w:t>
      </w:r>
    </w:p>
    <w:p>
      <w:pPr>
        <w:pStyle w:val="Heading2"/>
      </w:pPr>
      <w:r>
        <w:rPr>
          <w:rFonts w:ascii="Times New Roman" w:hAnsi="Times New Roman" w:eastAsia="Times New Roman"/>
          <w:b/>
          <w:sz w:val="24"/>
        </w:rPr>
        <w:t>Advice for Tourism Start-Ups Facing Structural Barriers</w:t>
      </w:r>
    </w:p>
    <w:p>
      <w:pPr>
        <w:spacing w:line="480" w:lineRule="auto" w:before="0" w:after="0"/>
        <w:ind w:firstLine="720"/>
        <w:jc w:val="both"/>
      </w:pPr>
      <w:r>
        <w:rPr>
          <w:rFonts w:ascii="Times New Roman" w:hAnsi="Times New Roman" w:eastAsia="Times New Roman"/>
          <w:sz w:val="24"/>
        </w:rPr>
        <w:t>A tourism start-up should avoid competing head-on with an incumbent’s strongest scale advantage unless it has patient capital and a clear cost innovation. A new restaurant can often enter through differentiation because minimum efficient scale is small. A new airline is more likely to survive by choosing underserved routes, secondary airports, a distinctive cost base or a focused customer segment. A new travel-distribution platform can reduce the network-effect barrier by specialising in content or workflow that incumbents serve poorly, then broadening after it has anchored one side of the market.</w:t>
      </w:r>
    </w:p>
    <w:p>
      <w:pPr>
        <w:spacing w:line="480" w:lineRule="auto" w:before="0" w:after="0"/>
        <w:ind w:firstLine="720"/>
        <w:jc w:val="both"/>
      </w:pPr>
      <w:r>
        <w:rPr>
          <w:rFonts w:ascii="Times New Roman" w:hAnsi="Times New Roman" w:eastAsia="Times New Roman"/>
          <w:sz w:val="24"/>
        </w:rPr>
        <w:t>Partnership can substitute for scale, but governance matters. Code-sharing, technology integrations and marketplace participation can give entrants access to networks without reproducing every fixed asset. The danger is dependence: if the incumbent partner controls essential customer access, data or settlement, the entrant’s bargaining position may weaken as it grows. Contracts should preserve portability, access to performance data and reasonable termination rights so that partnership does not become a private barrier to future competition.</w:t>
      </w:r>
    </w:p>
    <w:p>
      <w:pPr>
        <w:spacing w:line="480" w:lineRule="auto" w:before="0" w:after="0"/>
        <w:ind w:firstLine="720"/>
        <w:jc w:val="both"/>
      </w:pPr>
      <w:r>
        <w:rPr>
          <w:rFonts w:ascii="Times New Roman" w:hAnsi="Times New Roman" w:eastAsia="Times New Roman"/>
          <w:sz w:val="24"/>
        </w:rPr>
        <w:t>Managers should also treat regulatory strategy as part of market-entry economics. Slot rules, foreign-ownership limits, airport charges, consumer obligations and distribution standards can determine the viable business model. Early engagement with regulators is more productive when the entrant can identify a specific bottleneck and explain how access would expand capacity, lower cost or improve consumer choice.</w:t>
      </w:r>
    </w:p>
    <w:p>
      <w:pPr>
        <w:pStyle w:val="Heading2"/>
      </w:pPr>
      <w:r>
        <w:rPr>
          <w:rFonts w:ascii="Times New Roman" w:hAnsi="Times New Roman" w:eastAsia="Times New Roman"/>
          <w:b/>
          <w:sz w:val="24"/>
        </w:rPr>
        <w:t>Policy Recommendations for Competitive and Resilient Tourism Markets</w:t>
      </w:r>
    </w:p>
    <w:p>
      <w:pPr>
        <w:spacing w:line="480" w:lineRule="auto" w:before="0" w:after="0"/>
        <w:ind w:firstLine="720"/>
        <w:jc w:val="both"/>
      </w:pPr>
      <w:r>
        <w:rPr>
          <w:rFonts w:ascii="Times New Roman" w:hAnsi="Times New Roman" w:eastAsia="Times New Roman"/>
          <w:sz w:val="24"/>
        </w:rPr>
        <w:t>First, competition authorities should define markets at the level where customers actually substitute. Route-level aviation analysis and local restaurant catchments are more informative than broad national labels. Second, scarce infrastructure such as slots and gates should be allocated in ways that preserve credible entry, including use-it-or-lose-it provisions or targeted divestiture where appropriate. Third, alliance and merger reviews should separate genuine network complementarities from coordination that simply suppresses rivalry.</w:t>
      </w:r>
    </w:p>
    <w:p>
      <w:pPr>
        <w:spacing w:line="480" w:lineRule="auto" w:before="0" w:after="0"/>
        <w:ind w:firstLine="720"/>
        <w:jc w:val="both"/>
      </w:pPr>
      <w:r>
        <w:rPr>
          <w:rFonts w:ascii="Times New Roman" w:hAnsi="Times New Roman" w:eastAsia="Times New Roman"/>
          <w:sz w:val="24"/>
        </w:rPr>
        <w:t>Fourth, distribution policy should emphasise interoperability and contestable access. Two-sided platforms can generate large efficiencies, so forced fragmentation may destroy value; however, exclusivity or parity rules that unnecessarily foreclose alternative channels deserve scrutiny (Padilla et al., 2021). Fifth, crisis subsidies should be temporary and conditional. The U.S. Payroll Support Program demonstrates how government can preserve specialised aviation employment during an extraordinary shock, but such intervention should expire when the market again becomes capable of allocating capacity through ordinary competition.</w:t>
      </w:r>
    </w:p>
    <w:p>
      <w:pPr>
        <w:spacing w:line="480" w:lineRule="auto" w:before="0" w:after="0"/>
        <w:ind w:firstLine="720"/>
        <w:jc w:val="both"/>
      </w:pPr>
      <w:r>
        <w:rPr>
          <w:rFonts w:ascii="Times New Roman" w:hAnsi="Times New Roman" w:eastAsia="Times New Roman"/>
          <w:sz w:val="24"/>
        </w:rPr>
        <w:t>Finally, policy evaluation should include dynamic effects. A merger that lowers cost today may reduce entry and innovation tomorrow; a subsidy that preserves jobs today may slow restructuring; a slot remedy that enables a small entrant can create future competitive pressure larger than its initial market share. The objective is not static equality among firms but a market process in which efficient businesses can enter, grow and challenge incumbents.</w:t>
      </w:r>
    </w:p>
    <w:p>
      <w:pPr>
        <w:pStyle w:val="Heading1"/>
        <w:pageBreakBefore/>
      </w:pPr>
      <w:r>
        <w:rPr>
          <w:rFonts w:ascii="Times New Roman" w:hAnsi="Times New Roman" w:eastAsia="Times New Roman"/>
          <w:b/>
          <w:sz w:val="24"/>
        </w:rPr>
        <w:t>Conclusion &amp; Recommendations</w:t>
      </w:r>
    </w:p>
    <w:p>
      <w:pPr>
        <w:spacing w:line="480" w:lineRule="auto" w:before="0" w:after="0"/>
        <w:ind w:firstLine="720"/>
        <w:jc w:val="both"/>
      </w:pPr>
      <w:r>
        <w:rPr>
          <w:rFonts w:ascii="Times New Roman" w:hAnsi="Times New Roman" w:eastAsia="Times New Roman"/>
          <w:sz w:val="24"/>
        </w:rPr>
        <w:t>The comparison between local restaurants, airlines and global distribution systems demonstrates why market structure must be analysed through more than firm counts. Restaurants typically face many substitutes and manageable minimum scale, so entry and differentiation constrain market power. Airlines face large sunk costs, scarce airport inputs, network economies and strategic capacity interaction. GDS platforms add two-sided network effects, where participation by suppliers attracts agencies and agency demand attracts suppliers. These mechanisms can create substantial efficiency while simultaneously making incumbent positions difficult to contest.</w:t>
      </w:r>
    </w:p>
    <w:p>
      <w:pPr>
        <w:spacing w:line="480" w:lineRule="auto" w:before="0" w:after="0"/>
        <w:ind w:firstLine="720"/>
        <w:jc w:val="both"/>
      </w:pPr>
      <w:r>
        <w:rPr>
          <w:rFonts w:ascii="Times New Roman" w:hAnsi="Times New Roman" w:eastAsia="Times New Roman"/>
          <w:sz w:val="24"/>
        </w:rPr>
        <w:t>Recent aviation cases show regulators attempting to preserve independent rivalry without denying all forms of cooperation. The American–JetBlue Northeast Alliance case illustrates that contractual coordination can reduce competitive incentives even without a merger; the JetBlue–Spirit case shows why the loss of a distinctive low-cost competitor can matter beyond simple size; European alliance commitments demonstrate the use of targeted remedies; and pandemic payroll support illustrates the exceptional case for temporary state assistance during a systemic demand shock. Managers should therefore pursue scale through verifiable efficiency, maintain independent competitive decision-making where required, and design partnerships with contestability in mind. Policymakers should focus on bottlenecks—slots, access, interoperability and exclusionary contracts—because removing those barriers can preserve the benefits of networks while limiting durable monopoly power.</w:t>
      </w:r>
    </w:p>
    <w:p>
      <w:pPr>
        <w:pStyle w:val="Heading1"/>
        <w:pageBreakBefore/>
      </w:pPr>
      <w:r>
        <w:rPr>
          <w:rFonts w:ascii="Times New Roman" w:hAnsi="Times New Roman" w:eastAsia="Times New Roman"/>
          <w:b/>
          <w:sz w:val="24"/>
        </w:rPr>
        <w:t>References</w:t>
      </w:r>
    </w:p>
    <w:p>
      <w:pPr>
        <w:spacing w:line="480" w:lineRule="auto" w:after="0"/>
        <w:ind w:left="720" w:hanging="720"/>
      </w:pPr>
      <w:r>
        <w:rPr>
          <w:rFonts w:ascii="Times New Roman" w:hAnsi="Times New Roman" w:eastAsia="Times New Roman"/>
          <w:sz w:val="24"/>
        </w:rPr>
        <w:t>Amadeus IT Group. (2026). Global report 2025. https://corporate.amadeus.com/en/investors</w:t>
      </w:r>
    </w:p>
    <w:p>
      <w:pPr>
        <w:spacing w:line="480" w:lineRule="auto" w:after="0"/>
        <w:ind w:left="720" w:hanging="720"/>
      </w:pPr>
      <w:r>
        <w:rPr>
          <w:rFonts w:ascii="Times New Roman" w:hAnsi="Times New Roman" w:eastAsia="Times New Roman"/>
          <w:sz w:val="24"/>
        </w:rPr>
        <w:t>Carlton, D. W., &amp; Perloff, J. M. (2005). Modern industrial organization (4th ed.). Pearson Addison Wesley.</w:t>
      </w:r>
    </w:p>
    <w:p>
      <w:pPr>
        <w:spacing w:line="480" w:lineRule="auto" w:after="0"/>
        <w:ind w:left="720" w:hanging="720"/>
      </w:pPr>
      <w:r>
        <w:rPr>
          <w:rFonts w:ascii="Times New Roman" w:hAnsi="Times New Roman" w:eastAsia="Times New Roman"/>
          <w:sz w:val="24"/>
        </w:rPr>
        <w:t>European Commission. (2015). Antitrust: Commission accepts commitments by Air France/KLM, Alitalia and Delta on transatlantic joint venture. European Commission.</w:t>
      </w:r>
    </w:p>
    <w:p>
      <w:pPr>
        <w:spacing w:line="480" w:lineRule="auto" w:after="0"/>
        <w:ind w:left="720" w:hanging="720"/>
      </w:pPr>
      <w:r>
        <w:rPr>
          <w:rFonts w:ascii="Times New Roman" w:hAnsi="Times New Roman" w:eastAsia="Times New Roman"/>
          <w:sz w:val="24"/>
        </w:rPr>
        <w:t>European Commission. (2025). Air transport: Competition policy. Directorate-General for Competition. https://competition-policy.ec.europa.eu/sectors/transport/air-transport_en</w:t>
      </w:r>
    </w:p>
    <w:p>
      <w:pPr>
        <w:spacing w:line="480" w:lineRule="auto" w:after="0"/>
        <w:ind w:left="720" w:hanging="720"/>
      </w:pPr>
      <w:r>
        <w:rPr>
          <w:rFonts w:ascii="Times New Roman" w:hAnsi="Times New Roman" w:eastAsia="Times New Roman"/>
          <w:sz w:val="24"/>
        </w:rPr>
        <w:t>Padilla, J., Piccolo, S., &amp; Watson, N. (2021). The simple economics of wholesale price-parity agreements: The case of the airline tickets distribution industry. Journal of Competition Law &amp; Economics, 17(2), 364–379. https://doi.org/10.1093/joclec/nhaa028</w:t>
      </w:r>
    </w:p>
    <w:p>
      <w:pPr>
        <w:spacing w:line="480" w:lineRule="auto" w:after="0"/>
        <w:ind w:left="720" w:hanging="720"/>
      </w:pPr>
      <w:r>
        <w:rPr>
          <w:rFonts w:ascii="Times New Roman" w:hAnsi="Times New Roman" w:eastAsia="Times New Roman"/>
          <w:sz w:val="24"/>
        </w:rPr>
        <w:t>Rochet, J.-C., &amp; Tirole, J. (2003). Platform competition in two-sided markets. Journal of the European Economic Association, 1(4), 990–1029.</w:t>
      </w:r>
    </w:p>
    <w:p>
      <w:pPr>
        <w:spacing w:line="480" w:lineRule="auto" w:after="0"/>
        <w:ind w:left="720" w:hanging="720"/>
      </w:pPr>
      <w:r>
        <w:rPr>
          <w:rFonts w:ascii="Times New Roman" w:hAnsi="Times New Roman" w:eastAsia="Times New Roman"/>
          <w:sz w:val="24"/>
        </w:rPr>
        <w:t>Sabre Corporation. (2026). 2025 annual report on Form 10-K. https://investors.sabre.com/</w:t>
      </w:r>
    </w:p>
    <w:p>
      <w:pPr>
        <w:spacing w:line="480" w:lineRule="auto" w:after="0"/>
        <w:ind w:left="720" w:hanging="720"/>
      </w:pPr>
      <w:r>
        <w:rPr>
          <w:rFonts w:ascii="Times New Roman" w:hAnsi="Times New Roman" w:eastAsia="Times New Roman"/>
          <w:sz w:val="24"/>
        </w:rPr>
        <w:t>Tirole, J. (1988). The theory of industrial organization. MIT Press.</w:t>
      </w:r>
    </w:p>
    <w:p>
      <w:pPr>
        <w:spacing w:line="480" w:lineRule="auto" w:after="0"/>
        <w:ind w:left="720" w:hanging="720"/>
      </w:pPr>
      <w:r>
        <w:rPr>
          <w:rFonts w:ascii="Times New Roman" w:hAnsi="Times New Roman" w:eastAsia="Times New Roman"/>
          <w:sz w:val="24"/>
        </w:rPr>
        <w:t>U.S. Department of Justice. (2023). United States and Plaintiff States v. American Airlines Group Inc. and JetBlue Airways Corporation: Case materials. Antitrust Division.</w:t>
      </w:r>
    </w:p>
    <w:p>
      <w:pPr>
        <w:spacing w:line="480" w:lineRule="auto" w:after="0"/>
        <w:ind w:left="720" w:hanging="720"/>
      </w:pPr>
      <w:r>
        <w:rPr>
          <w:rFonts w:ascii="Times New Roman" w:hAnsi="Times New Roman" w:eastAsia="Times New Roman"/>
          <w:sz w:val="24"/>
        </w:rPr>
        <w:t>U.S. Department of Justice. (2024, January 16). Justice Department statements on district court decision to block JetBlue’s acquisition of Spirit Airlines. Antitrust Division.</w:t>
      </w:r>
    </w:p>
    <w:p>
      <w:pPr>
        <w:spacing w:line="480" w:lineRule="auto" w:after="0"/>
        <w:ind w:left="720" w:hanging="720"/>
      </w:pPr>
      <w:r>
        <w:rPr>
          <w:rFonts w:ascii="Times New Roman" w:hAnsi="Times New Roman" w:eastAsia="Times New Roman"/>
          <w:sz w:val="24"/>
        </w:rPr>
        <w:t>U.S. Department of the Treasury. (2024). Airline and national security relief programs: Payroll Support Program. https://home.treasury.gov/</w:t>
      </w:r>
    </w:p>
    <w:p>
      <w:pPr>
        <w:spacing w:line="480" w:lineRule="auto" w:after="0"/>
        <w:ind w:left="720" w:hanging="720"/>
      </w:pPr>
      <w:r>
        <w:rPr>
          <w:rFonts w:ascii="Times New Roman" w:hAnsi="Times New Roman" w:eastAsia="Times New Roman"/>
          <w:sz w:val="24"/>
        </w:rPr>
        <w:t>Yuan, Z. (2026). Network competition in the airline industry: An empirical framework. RAND Journal of Economics, 57(1), 39–59. https://doi.org/10.1111/1756-2171.70031</w:t>
      </w:r>
    </w:p>
    <w:p>
      <w:pPr>
        <w:pStyle w:val="Heading1"/>
        <w:pageBreakBefore/>
      </w:pPr>
      <w:r>
        <w:rPr>
          <w:rFonts w:ascii="Times New Roman" w:hAnsi="Times New Roman" w:eastAsia="Times New Roman"/>
          <w:b/>
          <w:sz w:val="24"/>
        </w:rPr>
        <w:t>Appendices</w:t>
      </w:r>
    </w:p>
    <w:p>
      <w:pPr>
        <w:spacing w:line="480" w:lineRule="auto" w:before="0" w:after="0"/>
        <w:ind w:firstLine="0"/>
        <w:jc w:val="both"/>
      </w:pPr>
      <w:r>
        <w:rPr>
          <w:rFonts w:ascii="Times New Roman" w:hAnsi="Times New Roman" w:eastAsia="Times New Roman"/>
          <w:sz w:val="24"/>
        </w:rPr>
        <w:t>Appendix A. Market-structure framework: concentration is evaluated together with entry barriers, switching costs, product differentiation and network effects. The conceptual barrier index in Figure 1 is illustrative and is not presented as an official HHI calculation.</w:t>
      </w:r>
    </w:p>
    <w:p>
      <w:pPr>
        <w:spacing w:line="480" w:lineRule="auto" w:before="0" w:after="0"/>
        <w:ind w:firstLine="0"/>
        <w:jc w:val="both"/>
      </w:pPr>
      <w:r>
        <w:rPr>
          <w:rFonts w:ascii="Times New Roman" w:hAnsi="Times New Roman" w:eastAsia="Times New Roman"/>
          <w:sz w:val="24"/>
        </w:rPr>
        <w:t>Appendix B. Policy distinction: antitrust intervention addresses conduct or transactions that may weaken competition; crisis support addresses a macroeconomic or external shock. The economic rationales and appropriate exit conditions are therefore different.</w:t>
      </w:r>
    </w:p>
    <w:sectPr w:rsidR="00FC693F" w:rsidRPr="0006063C" w:rsidSect="00034616">
      <w:footerReference w:type="default" r:id="rId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0" w:line="480" w:lineRule="auto"/>
      <w:outlineLvl w:val="0"/>
    </w:pPr>
    <w:rPr>
      <w:rFonts w:asciiTheme="majorHAnsi" w:eastAsiaTheme="majorEastAsia" w:hAnsiTheme="majorHAnsi" w:cstheme="majorBidi" w:ascii="Times New Roman" w:hAnsi="Times New Roman"/>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120" w:after="0" w:line="480" w:lineRule="auto"/>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120" w:after="0" w:line="480" w:lineRule="auto"/>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