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9F78F" w14:textId="77777777" w:rsidR="00495BDB" w:rsidRDefault="004D7F69" w:rsidP="000776E7">
      <w:pPr>
        <w:pStyle w:val="Heading1"/>
        <w:jc w:val="both"/>
      </w:pPr>
      <w:bookmarkStart w:id="0" w:name="title-page"/>
      <w:r>
        <w:t>Title Page</w:t>
      </w:r>
    </w:p>
    <w:p w14:paraId="137AF3B1" w14:textId="77777777" w:rsidR="00495BDB" w:rsidRDefault="004D7F69" w:rsidP="000776E7">
      <w:pPr>
        <w:pStyle w:val="FirstParagraph"/>
        <w:jc w:val="both"/>
      </w:pPr>
      <w:r>
        <w:rPr>
          <w:b/>
          <w:bCs/>
        </w:rPr>
        <w:t>Assignment Title:</w:t>
      </w:r>
      <w:r>
        <w:t xml:space="preserve"> Role of Cost Accounting in Managerial Planning and Control</w:t>
      </w:r>
    </w:p>
    <w:p w14:paraId="6EE39B1C" w14:textId="77777777" w:rsidR="00495BDB" w:rsidRDefault="004D7F69" w:rsidP="000776E7">
      <w:pPr>
        <w:pStyle w:val="BodyText"/>
        <w:jc w:val="both"/>
      </w:pPr>
      <w:r>
        <w:rPr>
          <w:b/>
          <w:bCs/>
        </w:rPr>
        <w:t>Module:</w:t>
      </w:r>
      <w:r>
        <w:t xml:space="preserve"> M08 - Cost Accounting</w:t>
      </w:r>
    </w:p>
    <w:p w14:paraId="2CC28682" w14:textId="77777777" w:rsidR="00495BDB" w:rsidRDefault="004D7F69" w:rsidP="000776E7">
      <w:pPr>
        <w:pStyle w:val="BodyText"/>
        <w:jc w:val="both"/>
      </w:pPr>
      <w:r>
        <w:rPr>
          <w:b/>
          <w:bCs/>
        </w:rPr>
        <w:t>Word Count:</w:t>
      </w:r>
      <w:r>
        <w:t xml:space="preserve"> ~4500 words</w:t>
      </w:r>
    </w:p>
    <w:p w14:paraId="3DAEF8BA" w14:textId="77777777" w:rsidR="00495BDB" w:rsidRDefault="004D7F69" w:rsidP="000776E7">
      <w:pPr>
        <w:jc w:val="both"/>
      </w:pPr>
      <w:r>
        <w:pict w14:anchorId="15FFCEAF">
          <v:rect id="_x0000_i1025" style="width:0;height:1.5pt" o:hralign="center" o:hrstd="t" o:hr="t"/>
        </w:pict>
      </w:r>
    </w:p>
    <w:p w14:paraId="7C88C6B1" w14:textId="77777777" w:rsidR="00495BDB" w:rsidRDefault="004D7F69" w:rsidP="000776E7">
      <w:pPr>
        <w:pStyle w:val="FirstParagraph"/>
        <w:jc w:val="both"/>
      </w:pPr>
      <w:r>
        <w:t>Role of Cost Accounting in Managerial Planning and Control</w:t>
      </w:r>
    </w:p>
    <w:p w14:paraId="263B6D50" w14:textId="77777777" w:rsidR="00495BDB" w:rsidRDefault="00495BDB" w:rsidP="000776E7">
      <w:pPr>
        <w:pStyle w:val="BodyText"/>
        <w:jc w:val="both"/>
      </w:pPr>
    </w:p>
    <w:p w14:paraId="50DD5706" w14:textId="77777777" w:rsidR="00495BDB" w:rsidRDefault="004D7F69" w:rsidP="000776E7">
      <w:pPr>
        <w:pStyle w:val="BodyText"/>
        <w:jc w:val="both"/>
      </w:pPr>
      <w:r>
        <w:t>Module: M08 - Cost Accounting</w:t>
      </w:r>
    </w:p>
    <w:p w14:paraId="56606D86" w14:textId="77777777" w:rsidR="00495BDB" w:rsidRDefault="00495BDB" w:rsidP="000776E7">
      <w:pPr>
        <w:pStyle w:val="BodyText"/>
        <w:jc w:val="both"/>
      </w:pPr>
    </w:p>
    <w:p w14:paraId="4C56A08B" w14:textId="41C77F6C" w:rsidR="00495BDB" w:rsidRDefault="004D7F69" w:rsidP="000776E7">
      <w:pPr>
        <w:pStyle w:val="BodyText"/>
        <w:jc w:val="both"/>
      </w:pPr>
      <w:r>
        <w:t xml:space="preserve">Student Name: </w:t>
      </w:r>
      <w:r w:rsidR="000776E7">
        <w:t>Navandeep Navandeep</w:t>
      </w:r>
    </w:p>
    <w:p w14:paraId="3CEB4CC8" w14:textId="0413C56F" w:rsidR="00495BDB" w:rsidRDefault="004D7F69" w:rsidP="000776E7">
      <w:pPr>
        <w:pStyle w:val="BodyText"/>
        <w:jc w:val="both"/>
      </w:pPr>
      <w:r>
        <w:t xml:space="preserve">Date: </w:t>
      </w:r>
      <w:r w:rsidR="000776E7">
        <w:t>24 May 2026</w:t>
      </w:r>
    </w:p>
    <w:p w14:paraId="29ED6CEC" w14:textId="77777777" w:rsidR="00495BDB" w:rsidRDefault="004D7F69" w:rsidP="000776E7">
      <w:pPr>
        <w:pStyle w:val="BodyText"/>
        <w:jc w:val="both"/>
      </w:pPr>
      <w:r>
        <w:rPr>
          <w:b/>
          <w:bCs/>
        </w:rPr>
        <w:t>Role of Cost Accounting in Managerial Planning and Control</w:t>
      </w:r>
    </w:p>
    <w:p w14:paraId="14787287" w14:textId="77777777" w:rsidR="00495BDB" w:rsidRDefault="004D7F69" w:rsidP="000776E7">
      <w:pPr>
        <w:pStyle w:val="BodyText"/>
        <w:jc w:val="both"/>
      </w:pPr>
      <w:r>
        <w:t>[Student Name]</w:t>
      </w:r>
    </w:p>
    <w:p w14:paraId="6BCE61E2" w14:textId="77777777" w:rsidR="00495BDB" w:rsidRDefault="004D7F69" w:rsidP="000776E7">
      <w:pPr>
        <w:pStyle w:val="BodyText"/>
        <w:jc w:val="both"/>
      </w:pPr>
      <w:r>
        <w:t>[Institution Name]</w:t>
      </w:r>
    </w:p>
    <w:p w14:paraId="678E07D2" w14:textId="77777777" w:rsidR="00495BDB" w:rsidRDefault="004D7F69" w:rsidP="000776E7">
      <w:pPr>
        <w:pStyle w:val="BodyText"/>
        <w:jc w:val="both"/>
      </w:pPr>
      <w:r>
        <w:t xml:space="preserve">M08 - Cost </w:t>
      </w:r>
      <w:r>
        <w:t>Accounting</w:t>
      </w:r>
    </w:p>
    <w:p w14:paraId="4ECEF2B5" w14:textId="77777777" w:rsidR="00495BDB" w:rsidRDefault="004D7F69" w:rsidP="000776E7">
      <w:pPr>
        <w:pStyle w:val="BodyText"/>
        <w:jc w:val="both"/>
      </w:pPr>
      <w:r>
        <w:t>[Instructor Name]</w:t>
      </w:r>
    </w:p>
    <w:p w14:paraId="7441E769" w14:textId="77777777" w:rsidR="00495BDB" w:rsidRDefault="004D7F69" w:rsidP="000776E7">
      <w:pPr>
        <w:pStyle w:val="BodyText"/>
        <w:jc w:val="both"/>
      </w:pPr>
      <w:r>
        <w:t>[Date]</w:t>
      </w:r>
    </w:p>
    <w:p w14:paraId="1F57A94C" w14:textId="77777777" w:rsidR="00495BDB" w:rsidRDefault="004D7F69" w:rsidP="000776E7">
      <w:pPr>
        <w:pStyle w:val="BodyText"/>
        <w:jc w:val="both"/>
      </w:pPr>
      <w:r>
        <w:rPr>
          <w:b/>
          <w:bCs/>
        </w:rPr>
        <w:lastRenderedPageBreak/>
        <w:t>Table of Contents</w:t>
      </w:r>
    </w:p>
    <w:p w14:paraId="01068FB8" w14:textId="77777777" w:rsidR="00495BDB" w:rsidRDefault="004D7F69" w:rsidP="000776E7">
      <w:pPr>
        <w:pStyle w:val="BodyText"/>
        <w:jc w:val="both"/>
      </w:pPr>
      <w:r>
        <w:t>Abstract ………………………………………………………………………………………. 3</w:t>
      </w:r>
      <w:r>
        <w:br/>
        <w:t>Introduction …………………………………………………………………………………… 4</w:t>
      </w:r>
      <w:r>
        <w:br/>
        <w:t>Meaning and Objectives of Cost Accounting ………………………………………….. [X]</w:t>
      </w:r>
      <w:r>
        <w:br/>
        <w:t>Cost Accounting in Managerial Planning …………</w:t>
      </w:r>
      <w:r>
        <w:t>……………………………………. [X]</w:t>
      </w:r>
      <w:r>
        <w:br/>
        <w:t>Cost Accounting in Managerial Control …………………………………………………. [X]</w:t>
      </w:r>
      <w:r>
        <w:br/>
        <w:t>Conclusion …………………………………………………………………………………….. [X]</w:t>
      </w:r>
    </w:p>
    <w:p w14:paraId="73C447C7" w14:textId="77777777" w:rsidR="00495BDB" w:rsidRDefault="004D7F69" w:rsidP="000776E7">
      <w:pPr>
        <w:pStyle w:val="BodyText"/>
        <w:jc w:val="both"/>
      </w:pPr>
      <w:r>
        <w:rPr>
          <w:b/>
          <w:bCs/>
        </w:rPr>
        <w:t>Abstract</w:t>
      </w:r>
    </w:p>
    <w:p w14:paraId="4C029780" w14:textId="77777777" w:rsidR="00495BDB" w:rsidRDefault="004D7F69" w:rsidP="000776E7">
      <w:pPr>
        <w:pStyle w:val="BodyText"/>
        <w:jc w:val="both"/>
      </w:pPr>
      <w:r>
        <w:t>In the contemporary business environment, organizations face immense pressure to optimize resources, maximize prof</w:t>
      </w:r>
      <w:r>
        <w:t>itability, and sustain competitive advantages. Cost accounting functions as a critical mechanism to achieve these organizational goals, serving as the foundational bridge between basic financial data and advanced managerial decision-making. This paper expl</w:t>
      </w:r>
      <w:r>
        <w:t>ores the fundamental role of cost accounting in managerial planning and control. It delineates the meaning, primary objectives, and strategic importance of cost accounting within modern enterprises. Specifically, the discussion highlights how cost accounti</w:t>
      </w:r>
      <w:r>
        <w:t>ng systems provide management with the granular, timely, and relevant data required to formulate future strategies (planning) and monitor ongoing operational performance (control). By examining budgeting methodologies, variance analysis, and cost-volume-pr</w:t>
      </w:r>
      <w:r>
        <w:t>ofit relationships, this assignment demonstrates that cost accounting is a dynamic tool essential for proactive management rather than a mere bookkeeping exercise. Ultimately, the integration of robust cost accounting practices enables managers to mitigate</w:t>
      </w:r>
      <w:r>
        <w:t xml:space="preserve"> financial risks, allocate resources efficiently, and steer the organization toward long-term operational success.</w:t>
      </w:r>
    </w:p>
    <w:p w14:paraId="1A7AF8C5" w14:textId="77777777" w:rsidR="00495BDB" w:rsidRDefault="004D7F69" w:rsidP="000776E7">
      <w:pPr>
        <w:pStyle w:val="BodyText"/>
        <w:jc w:val="both"/>
      </w:pPr>
      <w:r>
        <w:rPr>
          <w:b/>
          <w:bCs/>
        </w:rPr>
        <w:lastRenderedPageBreak/>
        <w:t>Introduction</w:t>
      </w:r>
    </w:p>
    <w:p w14:paraId="7AA66D49" w14:textId="77777777" w:rsidR="00495BDB" w:rsidRDefault="004D7F69" w:rsidP="000776E7">
      <w:pPr>
        <w:pStyle w:val="BodyText"/>
        <w:jc w:val="both"/>
      </w:pPr>
      <w:r>
        <w:t>The rapid globalization of markets and the increasing complexity of modern business operations necessitate a paradigm shift in h</w:t>
      </w:r>
      <w:r>
        <w:t>ow organizations manage financial and operational resources. In this highly competitive environment, relying solely on historical financial accounting data is insufficient for steering a company toward sustainable growth. Management requires predictive, de</w:t>
      </w:r>
      <w:r>
        <w:t>tailed, and actionable information to navigate uncertainties and maintain operational efficiency. Consequently, cost accounting has evolved from a simple mechanism for inventory valuation and profit measurement into an indispensable strategic tool that fac</w:t>
      </w:r>
      <w:r>
        <w:t>ilitates managerial planning and control.</w:t>
      </w:r>
    </w:p>
    <w:p w14:paraId="5DBB93E9" w14:textId="77777777" w:rsidR="00495BDB" w:rsidRDefault="004D7F69" w:rsidP="000776E7">
      <w:pPr>
        <w:pStyle w:val="BodyText"/>
        <w:jc w:val="both"/>
      </w:pPr>
      <w:r>
        <w:t>At its core, cost accounting is the systematic process of recording, classifying, analyzing, summarizing, and allocating costs associated with a process, product, or service. Unlike financial accounting, which prim</w:t>
      </w:r>
      <w:r>
        <w:t>arily serves external stakeholders such as investors, creditors, and regulatory bodies, cost accounting is an internal framework designed specifically to meet the informational needs of management. The primary objectives of cost accounting encompass the as</w:t>
      </w:r>
      <w:r>
        <w:t xml:space="preserve">certainment of costs, the determination of selling prices, the measurement of operational efficiency, and the provision of precise data for informed decision-making. By breaking down aggregate financial figures into granular cost components—such as direct </w:t>
      </w:r>
      <w:r>
        <w:t>materials, direct labor, and manufacturing overhead—cost accounting provides visibility into the specific drivers of organizational expenses.</w:t>
      </w:r>
    </w:p>
    <w:p w14:paraId="00263E5F" w14:textId="77777777" w:rsidR="00495BDB" w:rsidRDefault="004D7F69" w:rsidP="000776E7">
      <w:pPr>
        <w:pStyle w:val="BodyText"/>
        <w:jc w:val="both"/>
      </w:pPr>
      <w:r>
        <w:t xml:space="preserve">The importance of cost accounting in the contemporary enterprise is foundational to managerial planning. Planning </w:t>
      </w:r>
      <w:r>
        <w:t xml:space="preserve">involves setting objectives and determining the most effective strategies to achieve them. This proactive process inherently requires anticipating future conditions. Cost accounting supports strategic planning by providing historical cost trends, standard </w:t>
      </w:r>
      <w:r>
        <w:t xml:space="preserve">cost models, </w:t>
      </w:r>
      <w:r>
        <w:lastRenderedPageBreak/>
        <w:t>and comprehensive budgeting frameworks. For instance, when management evaluates whether to introduce a new product line or expand into a new geographic market, cost accounting supplies the necessary cost-volume-profit (CVP) analysis to forecas</w:t>
      </w:r>
      <w:r>
        <w:t>t potential break-even points and profitability margins. Without this quantitative foundation, strategic planning would rely heavily on assumption, exposing the organization to significant financial risk.</w:t>
      </w:r>
    </w:p>
    <w:p w14:paraId="56336521" w14:textId="77777777" w:rsidR="00495BDB" w:rsidRDefault="004D7F69" w:rsidP="000776E7">
      <w:pPr>
        <w:pStyle w:val="BodyText"/>
        <w:jc w:val="both"/>
      </w:pPr>
      <w:r>
        <w:t>Furthermore, cost accounting is equally essential t</w:t>
      </w:r>
      <w:r>
        <w:t>o the managerial control process. Control involves monitoring actual performance, comparing it against established plans or budgets, and taking corrective action when necessary to ensure organizational goals are met. Cost accounting facilitates this contro</w:t>
      </w:r>
      <w:r>
        <w:t>l through techniques such as variance analysis and responsibility accounting. By establishing standard costs for various operational activities, management can continuously track actual expenditures against these predefined benchmarks. When adverse varianc</w:t>
      </w:r>
      <w:r>
        <w:t>es occur—such as material costs exceeding the standard budget—cost accounting isolates these discrepancies, allowing managers to identify the root causes and implement targeted interventions. This continuous feedback loop ensures the organization remains a</w:t>
      </w:r>
      <w:r>
        <w:t>gile, minimizes waste, and sustains its competitive edge.</w:t>
      </w:r>
    </w:p>
    <w:p w14:paraId="0CBB79AF" w14:textId="77777777" w:rsidR="00495BDB" w:rsidRDefault="004D7F69" w:rsidP="000776E7">
      <w:pPr>
        <w:pStyle w:val="BodyText"/>
        <w:jc w:val="both"/>
      </w:pPr>
      <w:r>
        <w:t>This assignment will systematically unpack these concepts. The subsequent sections will delve deeper into the specific mechanisms of cost determination and allocation. Following this, the analysis w</w:t>
      </w:r>
      <w:r>
        <w:t>ill evaluate the application of cost accounting techniques specifically within the planning phase, focusing on budgeting and forecasting methodologies. Finally, the paper will examine the control function, highlighting how variance analysis and performance</w:t>
      </w:r>
      <w:r>
        <w:t xml:space="preserve"> reports empower managers to maintain operational discipline. Through this comprehensive examination, the critical importance of cost accounting as a strategic managerial asset will be thoroughly articulated.</w:t>
      </w:r>
    </w:p>
    <w:p w14:paraId="0F37F682" w14:textId="77777777" w:rsidR="00495BDB" w:rsidRDefault="004D7F69" w:rsidP="000776E7">
      <w:pPr>
        <w:pStyle w:val="Heading2"/>
        <w:jc w:val="both"/>
      </w:pPr>
      <w:bookmarkStart w:id="1" w:name="X541c696ae28e8ade785f9cee58a765b6af89af7"/>
      <w:r>
        <w:lastRenderedPageBreak/>
        <w:t>Literature Review: Role of Cost Accounting in Managerial Planning and Control</w:t>
      </w:r>
    </w:p>
    <w:p w14:paraId="70F89B16" w14:textId="77777777" w:rsidR="00495BDB" w:rsidRDefault="004D7F69" w:rsidP="000776E7">
      <w:pPr>
        <w:pStyle w:val="Heading3"/>
        <w:jc w:val="both"/>
      </w:pPr>
      <w:bookmarkStart w:id="2" w:name="Xdd30a2b57972d58327d8a47bcbd61604f6d5ea3"/>
      <w:r>
        <w:t>Introduction to Cost Accounting: Meaning, Objectives, and Importance</w:t>
      </w:r>
    </w:p>
    <w:p w14:paraId="0C628E3C" w14:textId="77777777" w:rsidR="00495BDB" w:rsidRDefault="004D7F69" w:rsidP="000776E7">
      <w:pPr>
        <w:pStyle w:val="FirstParagraph"/>
        <w:jc w:val="both"/>
      </w:pPr>
      <w:r>
        <w:t>Cost accounting forms the bedrock of managerial planning and control, serving as a specialized branch of acco</w:t>
      </w:r>
      <w:r>
        <w:t>unting dedicated to capturing, classifying, and analyzing the costs associated with an organization’s operations. Unlike financial accounting, which primarily targets external stakeholders through highly standardized reporting frameworks, cost accounting i</w:t>
      </w:r>
      <w:r>
        <w:t>s an internal mechanism explicitly engineered to facilitate strategic and operational decision-making (Drury, 2018). The foundational meaning of cost accounting lies in its systematic and rigorous approach to ascertaining the precise cost of products, proc</w:t>
      </w:r>
      <w:r>
        <w:t>esses, departments, or services. This granularity of financial data enables management to evaluate operational efficiency, assess profitability, and make informed choices regarding resource deployment.</w:t>
      </w:r>
    </w:p>
    <w:p w14:paraId="3BF7555C" w14:textId="77777777" w:rsidR="00495BDB" w:rsidRDefault="004D7F69" w:rsidP="000776E7">
      <w:pPr>
        <w:pStyle w:val="BodyText"/>
        <w:jc w:val="both"/>
      </w:pPr>
      <w:r>
        <w:t>The objectives of cost accounting are inherently multi</w:t>
      </w:r>
      <w:r>
        <w:t>faceted and aligned with the strategic goals of the enterprise. Primarily, it seeks to determine the cost per unit of output, a metric essential for inventory valuation and the formulation of competitive pricing strategies. However, its modern iteration ex</w:t>
      </w:r>
      <w:r>
        <w:t>tends far beyond mere historical measurement. A core, proactive objective is cost control and continuous cost reduction—identifying specific areas of operational waste and implementing systematic procedures to enhance overall efficiency (Horngren et al., 2</w:t>
      </w:r>
      <w:r>
        <w:t>020). Furthermore, cost accounting provides the critical data infrastructure required for profitability analysis across diverse dimensions, such as different product lines, regional departments, or distinct customer segments, empowering managers to allocat</w:t>
      </w:r>
      <w:r>
        <w:t>e capital and human resources optimally.</w:t>
      </w:r>
    </w:p>
    <w:p w14:paraId="1A9281CA" w14:textId="77777777" w:rsidR="00495BDB" w:rsidRDefault="004D7F69" w:rsidP="000776E7">
      <w:pPr>
        <w:pStyle w:val="BodyText"/>
        <w:jc w:val="both"/>
      </w:pPr>
      <w:r>
        <w:lastRenderedPageBreak/>
        <w:t>The importance of cost accounting in contemporary, complex business environments cannot be overstated. In highly competitive, globalized markets, the margin for error in pricing strategies and operational resource a</w:t>
      </w:r>
      <w:r>
        <w:t>llocation is minimal. Cost accounting provides the quantitative foundation required for management to formulate strategic policies, construct robust plans for the future, and exercise strict control over present operations (Garrison et al., 2021). By trans</w:t>
      </w:r>
      <w:r>
        <w:t>lating complex, multi-layered operational activities into standardized financial metrics, cost accounting bridges the critical gap between high-level strategic intent and ground-level operational reality. It ensures that management possesses the necessary,</w:t>
      </w:r>
      <w:r>
        <w:t xml:space="preserve"> granular insights to navigate economic volatility, adapt to changing market conditions, and sustain a competitive advantage (Bhimani et al., 2019).</w:t>
      </w:r>
    </w:p>
    <w:p w14:paraId="0189F449" w14:textId="77777777" w:rsidR="00495BDB" w:rsidRDefault="004D7F69" w:rsidP="000776E7">
      <w:pPr>
        <w:pStyle w:val="Heading3"/>
        <w:jc w:val="both"/>
      </w:pPr>
      <w:bookmarkStart w:id="3" w:name="Xd24380a6fc390dc952fd9cdda8d8e53254b882a"/>
      <w:bookmarkEnd w:id="2"/>
      <w:r>
        <w:t>Cost Mechanics: Classification, Behavior, and Allocation</w:t>
      </w:r>
    </w:p>
    <w:p w14:paraId="246D3617" w14:textId="77777777" w:rsidR="00495BDB" w:rsidRDefault="004D7F69" w:rsidP="000776E7">
      <w:pPr>
        <w:pStyle w:val="FirstParagraph"/>
        <w:jc w:val="both"/>
      </w:pPr>
      <w:r>
        <w:t>A fundamental prerequisite for deploying effective</w:t>
      </w:r>
      <w:r>
        <w:t xml:space="preserve"> cost accounting methodologies is the rigorous classification of costs. Cost classification involves grouping costs according to their common characteristics, which is essential for fulfilling different managerial purposes. Traditionally, costs are classif</w:t>
      </w:r>
      <w:r>
        <w:t>ied by their traceability to a specific cost object, distinguishing sharply between direct costs—which can be conveniently, accurately, and economically traced to a specific product or department (e.g., raw materials)—and indirect costs, which cannot be ea</w:t>
      </w:r>
      <w:r>
        <w:t>sily traced and must be allocated (Drury, 2018). Furthermore, costs are frequently categorized by their function within the organizational structure, such as manufacturing, administration, or selling and distribution. They are also classified by their timi</w:t>
      </w:r>
      <w:r>
        <w:t>ng of charge against revenue, separating product costs (which are inventoriable and recognized as expenses only when goods are sold) from period costs (which are expensed immediately in the period they are incurred) (Horngren et al., 2020).</w:t>
      </w:r>
    </w:p>
    <w:p w14:paraId="0CC0D239" w14:textId="77777777" w:rsidR="00495BDB" w:rsidRDefault="004D7F69" w:rsidP="000776E7">
      <w:pPr>
        <w:pStyle w:val="BodyText"/>
        <w:jc w:val="both"/>
      </w:pPr>
      <w:r>
        <w:lastRenderedPageBreak/>
        <w:t>Equally critica</w:t>
      </w:r>
      <w:r>
        <w:t>l to sophisticated managerial planning is the thorough understanding of cost behavior—specifically, how costs respond dynamically to changes in the volume of business activity. Cost behavior analysis categorizes costs into fixed, variable, mixed, and step-</w:t>
      </w:r>
      <w:r>
        <w:t>variable components. Fixed costs remain constant in total regardless of short-term activity levels within a relevant operational range, while variable costs fluctuate in direct mathematical proportion to changes in production or sales activity. Mixed costs</w:t>
      </w:r>
      <w:r>
        <w:t xml:space="preserve"> contain both fixed baselines and variable elements, complicating analysis (Garrison et al., 2021). Understanding these distinct behavioral patterns is important for conducting accurate cost-volume-profit (CVP) analysis, performing break-even calculations,</w:t>
      </w:r>
      <w:r>
        <w:t xml:space="preserve"> and developing flexible budgets. This behavioral insight allows managers to confidently predict the financial impact of varying production volumes, pricing changes, or aggressive sales strategies (Atkinson et al., 2012).</w:t>
      </w:r>
    </w:p>
    <w:p w14:paraId="5C4D86B8" w14:textId="77777777" w:rsidR="00495BDB" w:rsidRDefault="004D7F69" w:rsidP="000776E7">
      <w:pPr>
        <w:pStyle w:val="BodyText"/>
        <w:jc w:val="both"/>
      </w:pPr>
      <w:r>
        <w:t>Cost allocation, the systematic pr</w:t>
      </w:r>
      <w:r>
        <w:t>ocess of assigning indirect costs to specific cost objects, represents one of the most complex yet essential arenas of cost accounting. Accurate cost allocation is absolutely necessary to determine the true, fully-burdened profitability of diverse products</w:t>
      </w:r>
      <w:r>
        <w:t xml:space="preserve"> and services. Traditional allocation methods often rely on simplistic, volume-based allocation bases, such as direct labor hours or machine hours. However, as modern manufacturing environments have grown exponentially more complex—characterized by high au</w:t>
      </w:r>
      <w:r>
        <w:t>tomation and increasing overhead costs relative to direct labor—traditional methods have been severely criticized for cross-subsidizing products and distorting product costs (Kaplan &amp; Cooper, 1998). This critical limitation catalyzed the development of Act</w:t>
      </w:r>
      <w:r>
        <w:t>ivity-Based Costing (ABC). ABC refines cost allocation by first meticulously tracing overhead costs to specific organizational activities (e.g., machine setup, quality inspection) and then assigning these pooled costs to products based on their actual cons</w:t>
      </w:r>
      <w:r>
        <w:t xml:space="preserve">umption of those specific activities. By utilizing multiple, </w:t>
      </w:r>
      <w:r>
        <w:lastRenderedPageBreak/>
        <w:t>highly targeted cost drivers, ABC provides a dramatically more accurate reflection of the resources consumed by diverse and complex product lines, thereby helping superior pricing, outsourcing, a</w:t>
      </w:r>
      <w:r>
        <w:t>nd product mix decisions (Kaplan &amp; Anderson, 2017).</w:t>
      </w:r>
    </w:p>
    <w:p w14:paraId="25363745" w14:textId="77777777" w:rsidR="00495BDB" w:rsidRDefault="004D7F69" w:rsidP="000776E7">
      <w:pPr>
        <w:pStyle w:val="Heading3"/>
        <w:jc w:val="both"/>
      </w:pPr>
      <w:bookmarkStart w:id="4" w:name="Xf4ec8b2112fe48d8e1d52fc25aa9446bdc3598a"/>
      <w:bookmarkEnd w:id="3"/>
      <w:r>
        <w:t>Managerial Control Mechanisms: Budgeting, Standard Costing, and Variance Analysis</w:t>
      </w:r>
    </w:p>
    <w:p w14:paraId="2BF31BF2" w14:textId="77777777" w:rsidR="00495BDB" w:rsidRDefault="004D7F69" w:rsidP="000776E7">
      <w:pPr>
        <w:pStyle w:val="FirstParagraph"/>
        <w:jc w:val="both"/>
      </w:pPr>
      <w:r>
        <w:t>The essential transition from passive cost measurement to proactive managerial control is primarily facilitated through th</w:t>
      </w:r>
      <w:r>
        <w:t>e integrated triad of budgeting, standard costing, and variance analysis. Budgeting is the formal, quantitative expression of management’s proposed plan of action for a specified future period. It is a comprehensive organizational blueprint, actively coord</w:t>
      </w:r>
      <w:r>
        <w:t>inating the disparate activities of various departments toward a common, unified set of strategic goals (Merchant &amp; Van der Stede, 2017). Through the meticulous development of the master budget—which encompasses both detailed operating budgets (sales, prod</w:t>
      </w:r>
      <w:r>
        <w:t>uction, materials) and financial budgets (cash, capital expenditures)—managers are forced to explicitly forecast revenues, resource constraints, costs, and cash flows. This proactive planning exercise forces management to anticipate potential operational b</w:t>
      </w:r>
      <w:r>
        <w:t>ottlenecks and align resources accordingly prior to execution. Beyond the planning phase, budgets establish a rigid baseline for subsequent control; they provide an authorized financial standard against which actual performance can be reliably measured, th</w:t>
      </w:r>
      <w:r>
        <w:t>ereby enabling the objective evaluation of departmental efficiency and managerial effectiveness (Bhimani et al., 2019).</w:t>
      </w:r>
    </w:p>
    <w:p w14:paraId="2883F080" w14:textId="77777777" w:rsidR="00495BDB" w:rsidRDefault="004D7F69" w:rsidP="000776E7">
      <w:pPr>
        <w:pStyle w:val="BodyText"/>
        <w:jc w:val="both"/>
      </w:pPr>
      <w:r>
        <w:t xml:space="preserve">Standard costing seamlessly complements the overarching budgeting process by establishing predetermined, expected micro-level costs for </w:t>
      </w:r>
      <w:r>
        <w:t xml:space="preserve">the production of a single unit or the execution of a specific, standardized service. Standard costs are not mere historical averages; they are </w:t>
      </w:r>
      <w:r>
        <w:lastRenderedPageBreak/>
        <w:t xml:space="preserve">carefully engineered estimates representing exactly what costs </w:t>
      </w:r>
      <w:r>
        <w:rPr>
          <w:i/>
          <w:iCs/>
        </w:rPr>
        <w:t>should</w:t>
      </w:r>
      <w:r>
        <w:t xml:space="preserve"> be under highly efficient, optimized opera</w:t>
      </w:r>
      <w:r>
        <w:t>ting conditions (Drury, 2018). These standards are rigorously developed through comprehensive analysis of historical operational data, precise time and motion studies, and strict engineering specifications. By setting these exact benchmarks, standard costi</w:t>
      </w:r>
      <w:r>
        <w:t xml:space="preserve">ng dramatically simplifies routine inventory valuation and, more importantly, fosters pervasive cost consciousness throughout the manufacturing or service organization. It effectively shifts the managerial focus away from merely determining </w:t>
      </w:r>
      <w:r>
        <w:rPr>
          <w:i/>
          <w:iCs/>
        </w:rPr>
        <w:t>what</w:t>
      </w:r>
      <w:r>
        <w:t xml:space="preserve"> it cost to</w:t>
      </w:r>
      <w:r>
        <w:t xml:space="preserve"> produce an item retrospectively, toward rigorously analyzing </w:t>
      </w:r>
      <w:r>
        <w:rPr>
          <w:i/>
          <w:iCs/>
        </w:rPr>
        <w:t>why</w:t>
      </w:r>
      <w:r>
        <w:t xml:space="preserve"> the actual cost deviated from the established, engineered standard (Horngren et al., 2020).</w:t>
      </w:r>
    </w:p>
    <w:p w14:paraId="68AE3351" w14:textId="77777777" w:rsidR="00495BDB" w:rsidRDefault="004D7F69" w:rsidP="000776E7">
      <w:pPr>
        <w:pStyle w:val="BodyText"/>
        <w:jc w:val="both"/>
      </w:pPr>
      <w:r>
        <w:t>Variance analysis is the critical analytical mechanism that operationalizes standard costing for r</w:t>
      </w:r>
      <w:r>
        <w:t>eal-time managerial control. It involves the systematic computation and deep investigation of the differences—or variances—between the actual costs incurred and the standard costs expected. Variances are typically isolated into specific price (or rate) and</w:t>
      </w:r>
      <w:r>
        <w:t xml:space="preserve"> quantity (or efficiency) components for direct materials and direct labor, while manufacturing overhead variances are analyzed based on complex spending and volume differences (Garrison et al., 2021). The core management philosophy underpinning variance a</w:t>
      </w:r>
      <w:r>
        <w:t>nalysis is “management by exception.” Rather than wasting time reviewing all operational data, managers focus their limited attention strictly on significant, material deviations from the strategic plan. Favorable variances may indicate exceptional operati</w:t>
      </w:r>
      <w:r>
        <w:t xml:space="preserve">onal efficiency, superior procurement strategies, or highly favorable market conditions, while adverse variances strongly signal emerging operational inefficiencies, unexpected pricing issues, or fundamentally flawed, unrealistic standards (Merchant &amp; Van </w:t>
      </w:r>
      <w:r>
        <w:t xml:space="preserve">der Stede, 2017). By rigorously investigating the root causes of these significant variances, </w:t>
      </w:r>
      <w:r>
        <w:lastRenderedPageBreak/>
        <w:t>management can implement targeted corrective actions, rapidly adjust future strategic plans, and continuously refine their comprehensive cost control strategies t</w:t>
      </w:r>
      <w:r>
        <w:t>o prevent recurrence.</w:t>
      </w:r>
    </w:p>
    <w:p w14:paraId="7DF39BF0" w14:textId="77777777" w:rsidR="00495BDB" w:rsidRDefault="004D7F69" w:rsidP="000776E7">
      <w:pPr>
        <w:pStyle w:val="Heading3"/>
        <w:jc w:val="both"/>
      </w:pPr>
      <w:bookmarkStart w:id="5" w:name="X6783df5b2445f55a6ec7fc462217302f8e30e88"/>
      <w:bookmarkEnd w:id="4"/>
      <w:r>
        <w:t>Synthesis and Impact on Managerial Control</w:t>
      </w:r>
    </w:p>
    <w:p w14:paraId="05B24D83" w14:textId="77777777" w:rsidR="00495BDB" w:rsidRDefault="004D7F69" w:rsidP="000776E7">
      <w:pPr>
        <w:pStyle w:val="FirstParagraph"/>
        <w:jc w:val="both"/>
      </w:pPr>
      <w:r>
        <w:t>In synthesis, the prevailing academic literature robustly supports the fundamental proposition that cost accounting transcends mere quantitative bookkeeping to function as a critical, indispe</w:t>
      </w:r>
      <w:r>
        <w:t>nsable instrument for sophisticated managerial planning and control. The foundational, structured processes of precisely defining, classifying, and allocating costs ensure that corporate decision-makers operate with absolute financial visibility and accura</w:t>
      </w:r>
      <w:r>
        <w:t>cy. Concurrently, the highly dynamic, interconnected mechanisms of comprehensive budgeting, engineered standard costing, and rigorous variance analysis provide the essential feedback loops necessary to continuously monitor operational performance and enfor</w:t>
      </w:r>
      <w:r>
        <w:t>ce strict strategic alignment (Atkinson et al., 2012). Together, these advanced cost accounting tools systematically transform raw, disparate operational data into highly actionable managerial intelligence. By establishing clear, engineered expectations an</w:t>
      </w:r>
      <w:r>
        <w:t xml:space="preserve">d systematically analyzing deviations, cost accounting permanently empowers organizations to proactively mitigate financial risks, fiercely optimize resource utilization, and sustain long-term, competitive profitability in rapidly evolving, dynamic global </w:t>
      </w:r>
      <w:r>
        <w:t>business landscapes (Drury, 2018).</w:t>
      </w:r>
    </w:p>
    <w:p w14:paraId="24544FDE" w14:textId="77777777" w:rsidR="00495BDB" w:rsidRDefault="004D7F69" w:rsidP="000776E7">
      <w:pPr>
        <w:pStyle w:val="Heading1"/>
        <w:jc w:val="both"/>
      </w:pPr>
      <w:bookmarkStart w:id="6" w:name="methodology"/>
      <w:bookmarkEnd w:id="0"/>
      <w:bookmarkEnd w:id="1"/>
      <w:bookmarkEnd w:id="5"/>
      <w:r>
        <w:t>Methodology</w:t>
      </w:r>
    </w:p>
    <w:p w14:paraId="5188B0BE" w14:textId="77777777" w:rsidR="00495BDB" w:rsidRDefault="004D7F69" w:rsidP="000776E7">
      <w:pPr>
        <w:pStyle w:val="FirstParagraph"/>
        <w:jc w:val="both"/>
      </w:pPr>
      <w:r>
        <w:t>To comprehensively examine the multifaceted role of cost accounting in helping managerial planning and operational control, this research employs a qualitative, secondary methodology based on multiple case study analyses. The research design is fundamental</w:t>
      </w:r>
      <w:r>
        <w:t xml:space="preserve">ly descriptive and </w:t>
      </w:r>
      <w:r>
        <w:lastRenderedPageBreak/>
        <w:t>analytical, aiming to bridge theoretical cost accounting constructs with practical, real-world corporate applications. By relying on secondary data, this approach allows for a synthesis of established industry practices without the const</w:t>
      </w:r>
      <w:r>
        <w:t>raints of primary empirical data collection, which is often limited by corporate confidentiality regarding internal accounting mechanics.</w:t>
      </w:r>
    </w:p>
    <w:p w14:paraId="03F1529A" w14:textId="77777777" w:rsidR="00495BDB" w:rsidRDefault="004D7F69" w:rsidP="000776E7">
      <w:pPr>
        <w:pStyle w:val="BodyText"/>
        <w:jc w:val="both"/>
      </w:pPr>
      <w:r>
        <w:t>Data collection was systematically conducted through an extensive review of peer-reviewed academic literature, industr</w:t>
      </w:r>
      <w:r>
        <w:t>y white papers, corporate annual reports, and verified business case studies published between 2010 and 2023. The selection criteria for the corporate case studies were predicated on three factors: global market prominence, structural complexity, and a doc</w:t>
      </w:r>
      <w:r>
        <w:t>umented reliance on sophisticated cost accounting systems. Two primary organizational archetypes were selected to represent divergent operational paradigms: manufacturing and retail. Toyota Motor Corporation was selected as the representative manufacturing</w:t>
      </w:r>
      <w:r>
        <w:t xml:space="preserve"> entity due to its historical pioneering of lean manufacturing, target costing, and variance analysis. Walmart Inc. was chosen to represent the retail sector, given its unparalleled reliance on cost behavior analysis, supply chain cost allocation, and cost</w:t>
      </w:r>
      <w:r>
        <w:t>-volume-profit dynamics to sustain its competitive advantage.</w:t>
      </w:r>
    </w:p>
    <w:p w14:paraId="5BFA8ECC" w14:textId="77777777" w:rsidR="00495BDB" w:rsidRDefault="004D7F69" w:rsidP="000776E7">
      <w:pPr>
        <w:pStyle w:val="BodyText"/>
        <w:jc w:val="both"/>
      </w:pPr>
      <w:r>
        <w:t>To ensure analytical rigor, the gathered secondary data was subjected to thematic analysis. Information was coded and categorized according to core cost accounting functions—specifically, standa</w:t>
      </w:r>
      <w:r>
        <w:t>rd costing, variance analysis, cost behavior classification, and cost allocation. This structured analytical framework enables a comparative assessment of how different industries leverage identical fundamental accounting principles to achieve bespoke stra</w:t>
      </w:r>
      <w:r>
        <w:t>tegic planning and operational control objectives. This methodology ensures that the findings are grounded in the systematic application of cost accounting theory to verifiable corporate strategy.</w:t>
      </w:r>
    </w:p>
    <w:p w14:paraId="3645126F" w14:textId="77777777" w:rsidR="00495BDB" w:rsidRDefault="004D7F69" w:rsidP="000776E7">
      <w:pPr>
        <w:pStyle w:val="Heading1"/>
        <w:jc w:val="both"/>
      </w:pPr>
      <w:bookmarkStart w:id="7" w:name="findings"/>
      <w:bookmarkEnd w:id="6"/>
      <w:r>
        <w:lastRenderedPageBreak/>
        <w:t>Findings</w:t>
      </w:r>
    </w:p>
    <w:p w14:paraId="12E0FC80" w14:textId="77777777" w:rsidR="00495BDB" w:rsidRDefault="004D7F69" w:rsidP="000776E7">
      <w:pPr>
        <w:pStyle w:val="FirstParagraph"/>
        <w:jc w:val="both"/>
      </w:pPr>
      <w:r>
        <w:t>The application of the methodological framework yi</w:t>
      </w:r>
      <w:r>
        <w:t>elded significant insights into how disparate global organizations utilize cost accounting data to drive managerial planning and assert operational control. The thematic analysis of the selected case studies reveals that while the foundational principles o</w:t>
      </w:r>
      <w:r>
        <w:t>f cost accounting remain universally consistent, their practical execution is heavily contingent upon industry-specific operational models and strategic goals. The findings are categorized into three primary themes: standard and target costing in manufactu</w:t>
      </w:r>
      <w:r>
        <w:t>ring, cost behavior and volume analysis in retail, and the evolving role of Activity-Based Costing (ABC) in managing complex overheads.</w:t>
      </w:r>
    </w:p>
    <w:p w14:paraId="5C437B9C" w14:textId="77777777" w:rsidR="00495BDB" w:rsidRDefault="004D7F69" w:rsidP="000776E7">
      <w:pPr>
        <w:pStyle w:val="Heading3"/>
        <w:jc w:val="both"/>
      </w:pPr>
      <w:bookmarkStart w:id="8" w:name="Xa606c49eb6cd6da3363a4576525be4ccf0eb8ae"/>
      <w:r>
        <w:t>The Role of Standard Costing and Variance Analysis: Toyota Motor Corporation</w:t>
      </w:r>
    </w:p>
    <w:p w14:paraId="23EA09F5" w14:textId="77777777" w:rsidR="00495BDB" w:rsidRDefault="004D7F69" w:rsidP="000776E7">
      <w:pPr>
        <w:pStyle w:val="FirstParagraph"/>
        <w:jc w:val="both"/>
      </w:pPr>
      <w:r>
        <w:t>In the highly competitive global automotive</w:t>
      </w:r>
      <w:r>
        <w:t xml:space="preserve"> manufacturing sector, cost accounting is deeply integrated into both the strategic planning and daily operational control phases. Toyota Motor Corporation provides a quintessential example of leveraging standard costing alongside its proprietary continuou</w:t>
      </w:r>
      <w:r>
        <w:t>s improvement (</w:t>
      </w:r>
      <w:r>
        <w:rPr>
          <w:i/>
          <w:iCs/>
        </w:rPr>
        <w:t>kaizen</w:t>
      </w:r>
      <w:r>
        <w:t>) costing models. Unlike traditional Western manufacturing models that predominantly utilize standard costing for retrospective performance evaluation, the findings indicate that Toyota utilizes standard costs as proactive planning ben</w:t>
      </w:r>
      <w:r>
        <w:t>chmarks deeply embedded in the product design phase.</w:t>
      </w:r>
    </w:p>
    <w:p w14:paraId="648CC043" w14:textId="77777777" w:rsidR="00495BDB" w:rsidRDefault="004D7F69" w:rsidP="000776E7">
      <w:pPr>
        <w:pStyle w:val="BodyText"/>
        <w:jc w:val="both"/>
      </w:pPr>
      <w:r>
        <w:t xml:space="preserve">Through the application of target costing, Toyota’s management determines the allowable cost of a vehicle by subtracting the desired profit margin from the competitive market price (Cooper &amp; Slagmulder, </w:t>
      </w:r>
      <w:r>
        <w:t xml:space="preserve">2017). This cost accounting data immediately dictates managerial planning; if the projected manufacturing costs exceed the target cost, the vehicle does not proceed to production </w:t>
      </w:r>
      <w:r>
        <w:lastRenderedPageBreak/>
        <w:t>until design engineers and cost accountants collaboratively identify cost-red</w:t>
      </w:r>
      <w:r>
        <w:t>uction strategies. This represents a profound intersection of cost accounting and strategic product planning.</w:t>
      </w:r>
    </w:p>
    <w:p w14:paraId="06B8B664" w14:textId="77777777" w:rsidR="00495BDB" w:rsidRDefault="004D7F69" w:rsidP="000776E7">
      <w:pPr>
        <w:pStyle w:val="BodyText"/>
        <w:jc w:val="both"/>
      </w:pPr>
      <w:r>
        <w:t xml:space="preserve">Furthermore, for operational control, Toyota relies extensively on variance analysis. By meticulously comparing standard, predetermined costs for </w:t>
      </w:r>
      <w:r>
        <w:t>direct materials, direct labor, and manufacturing overhead against actual incurred costs, managers can isolate inefficiencies on the production line in real-time. For instance, if an unfavorable material quantity variance is identified on a specific assemb</w:t>
      </w:r>
      <w:r>
        <w:t xml:space="preserve">ly line, management is alerted to potential issues such as machine calibration errors causing excess scrap or substandard raw materials from a supplier (Liker, 2021). Cost accounting thereby provides the quantitative feedback loop necessary for management </w:t>
      </w:r>
      <w:r>
        <w:t>to execute corrective actions promptly, minimizing waste and maintaining the integrity of their Just-in-Time (JIT) inventory systems. The financial data is the immediate trigger for operational intervention, perfectly illustrating the control function of c</w:t>
      </w:r>
      <w:r>
        <w:t>ost accounting.</w:t>
      </w:r>
    </w:p>
    <w:p w14:paraId="7739CAF4" w14:textId="77777777" w:rsidR="00495BDB" w:rsidRDefault="004D7F69" w:rsidP="000776E7">
      <w:pPr>
        <w:pStyle w:val="Heading3"/>
        <w:jc w:val="both"/>
      </w:pPr>
      <w:bookmarkStart w:id="9" w:name="X154d67e0613066feb15b42c8ba520758c180633"/>
      <w:bookmarkEnd w:id="8"/>
      <w:r>
        <w:t>Cost Behavior Analysis and Strategic Pricing: Walmart Inc.</w:t>
      </w:r>
    </w:p>
    <w:p w14:paraId="7F2BEE6B" w14:textId="77777777" w:rsidR="00495BDB" w:rsidRDefault="004D7F69" w:rsidP="000776E7">
      <w:pPr>
        <w:pStyle w:val="FirstParagraph"/>
        <w:jc w:val="both"/>
      </w:pPr>
      <w:r>
        <w:t>While manufacturing relies heavily on direct cost variances, the retail sector emphasizes cost behavior analysis and the meticulous management of indirect costs and overheads. The a</w:t>
      </w:r>
      <w:r>
        <w:t>nalysis of Walmart Inc. highlights the key role of understanding fixed, variable, and mixed cost behaviors in formulating its overarching corporate strategy of Everyday Low Prices.</w:t>
      </w:r>
    </w:p>
    <w:p w14:paraId="536681C5" w14:textId="77777777" w:rsidR="00495BDB" w:rsidRDefault="004D7F69" w:rsidP="000776E7">
      <w:pPr>
        <w:pStyle w:val="BodyText"/>
        <w:jc w:val="both"/>
      </w:pPr>
      <w:r>
        <w:t>Cost accounting provides Walmart’s management with critical insights into C</w:t>
      </w:r>
      <w:r>
        <w:t>ost-Volume-Profit (CVP) dynamics. By accurately separating fixed costs (such as store leases, corporate salaries, and depreciation of distribution centers) from variable costs (such as the cost of goods sold, hourly wages, and shipping expenses), managemen</w:t>
      </w:r>
      <w:r>
        <w:t xml:space="preserve">t can calculate precise breakeven points for both individual store locations and the corporate entity as a whole (Garrison et al., 2021). The </w:t>
      </w:r>
      <w:r>
        <w:lastRenderedPageBreak/>
        <w:t>findings demonstrate that Walmart’s planning heavily utilizes this CVP analysis to determine the requisite sales v</w:t>
      </w:r>
      <w:r>
        <w:t>olumes needed to sustain its low-margin pricing strategy. Cost accounting data proves mathematically that the pricing strategy is only viable if supported by massive, sustained sales volumes that spread fixed overhead costs over billions of retail units, t</w:t>
      </w:r>
      <w:r>
        <w:t>hereby reducing the per-unit fixed cost.</w:t>
      </w:r>
    </w:p>
    <w:p w14:paraId="1E8D48FF" w14:textId="77777777" w:rsidR="00495BDB" w:rsidRDefault="004D7F69" w:rsidP="000776E7">
      <w:pPr>
        <w:pStyle w:val="BodyText"/>
        <w:jc w:val="both"/>
      </w:pPr>
      <w:r>
        <w:t xml:space="preserve">From a control perspective, Walmart utilizes sophisticated cost allocation techniques within its supply chain. The company operates a highly centralized distribution network, and cost accounting is used to allocate the costs of logistics, warehousing, and </w:t>
      </w:r>
      <w:r>
        <w:t>transportation back to individual retail locations and specific product categories. By analyzing these allocated costs, management can identify underperforming regions or highly expensive distribution routes. If the logistics cost per unit allocated to a s</w:t>
      </w:r>
      <w:r>
        <w:t xml:space="preserve">pecific region begins to rise, management can investigate driver routing, fuel procurement, or warehouse labor inefficiencies, reasserting control over the supply chain. This precise tracking and allocation of supply chain costs enable Walmart to maintain </w:t>
      </w:r>
      <w:r>
        <w:t>its notoriously razor-thin margins against aggressive market competition.</w:t>
      </w:r>
    </w:p>
    <w:p w14:paraId="2D361DBA" w14:textId="77777777" w:rsidR="00495BDB" w:rsidRDefault="004D7F69" w:rsidP="000776E7">
      <w:pPr>
        <w:pStyle w:val="Heading3"/>
        <w:jc w:val="both"/>
      </w:pPr>
      <w:bookmarkStart w:id="10" w:name="X35d1bc1af4f6a876e2a87b3c80706df2922cbbc"/>
      <w:bookmarkEnd w:id="9"/>
      <w:r>
        <w:t>Activity-Based Costing for Overhead Allocation in Modern Enterprises</w:t>
      </w:r>
    </w:p>
    <w:p w14:paraId="101F402A" w14:textId="77777777" w:rsidR="00495BDB" w:rsidRDefault="004D7F69" w:rsidP="000776E7">
      <w:pPr>
        <w:pStyle w:val="FirstParagraph"/>
        <w:jc w:val="both"/>
      </w:pPr>
      <w:r>
        <w:t>A tertiary finding from the secondary literature highlights the increasing reliance on Activity-Based Costing (AB</w:t>
      </w:r>
      <w:r>
        <w:t xml:space="preserve">C) to address the limitations of traditional volume-based overhead allocation, particularly in organizations with complex operational matrices. Traditional cost accounting often allocates overhead based on a single cost driver, such as direct labor hours. </w:t>
      </w:r>
      <w:r>
        <w:t>However, as automation increases, direct labor diminishes, making traditional allocation inaccurate and potentially misleading for managerial planning.</w:t>
      </w:r>
    </w:p>
    <w:p w14:paraId="19ED4BB3" w14:textId="77777777" w:rsidR="00495BDB" w:rsidRDefault="004D7F69" w:rsidP="000776E7">
      <w:pPr>
        <w:pStyle w:val="BodyText"/>
        <w:jc w:val="both"/>
      </w:pPr>
      <w:r>
        <w:lastRenderedPageBreak/>
        <w:t>Firms analyzed in the secondary literature increasingly utilize ABC to assign overhead costs to specific</w:t>
      </w:r>
      <w:r>
        <w:t xml:space="preserve"> activities—such as receiving goods, machine setup, quality inspections, and customer service—and then allocate those costs to products or services based on their actual consumption of those activities (Kaplan &amp; Anderson, 2014). This provides managers with</w:t>
      </w:r>
      <w:r>
        <w:t xml:space="preserve"> a remarkably accurate picture of product profitability. For example, if cost accounting reveals through ABC that a seemingly profitable low-volume product actually consumes an inordinate amount of quality inspection and machine setup resources, management</w:t>
      </w:r>
      <w:r>
        <w:t xml:space="preserve"> must adjust their strategic planning. They may decide to increase the product’s price, redesign the manufacturing process to reduce complexity, or discontinue the product entirely. In this way, ABC transforms opaque overhead pools into transparent, action</w:t>
      </w:r>
      <w:r>
        <w:t>able data points, preventing cross-subsidization where high-volume, simple products inadvertently absorb the costs generated by low-volume, complex products. This level of granular cost visibility is indispensable for maintaining operational control and en</w:t>
      </w:r>
      <w:r>
        <w:t>suring strategic plans are based on accurate profitability metrics rather than distorted financial averages.</w:t>
      </w:r>
    </w:p>
    <w:p w14:paraId="3F7DCD98" w14:textId="77777777" w:rsidR="00495BDB" w:rsidRDefault="004D7F69" w:rsidP="000776E7">
      <w:pPr>
        <w:pStyle w:val="Heading3"/>
        <w:jc w:val="both"/>
      </w:pPr>
      <w:bookmarkStart w:id="11" w:name="synthesis-of-findings"/>
      <w:bookmarkEnd w:id="10"/>
      <w:r>
        <w:t>Synthesis of Findings</w:t>
      </w:r>
    </w:p>
    <w:p w14:paraId="58452991" w14:textId="77777777" w:rsidR="00495BDB" w:rsidRDefault="004D7F69" w:rsidP="000776E7">
      <w:pPr>
        <w:pStyle w:val="FirstParagraph"/>
        <w:jc w:val="both"/>
      </w:pPr>
      <w:r>
        <w:t>In synthesis, the empirical evidence gathered from the case study analyses corroborates the theoretical assertion that cost a</w:t>
      </w:r>
      <w:r>
        <w:t>ccounting is an indispensable mechanism for both managerial planning and organizational control. Whether it is a manufacturing firm utilizing target costing and variance analysis to enforce lean production standards, a global retailer leveraging CVP analys</w:t>
      </w:r>
      <w:r>
        <w:t xml:space="preserve">is to sustain a volume-driven pricing strategy, or complex enterprises deploying Activity-Based Costing to illuminate hidden overhead drains, the strategic application of cost data is ubiquitous. Cost accounting transcends the mere recording of historical </w:t>
      </w:r>
      <w:r>
        <w:t xml:space="preserve">financial transactions; it acts as the quantitative nervous system of the organization, continuously transmitting the </w:t>
      </w:r>
      <w:r>
        <w:lastRenderedPageBreak/>
        <w:t>essential signals required for proactive strategic formulation and reactive operational calibration in an ever-fluctuating global marketpl</w:t>
      </w:r>
      <w:r>
        <w:t>ace.</w:t>
      </w:r>
    </w:p>
    <w:p w14:paraId="70588859" w14:textId="77777777" w:rsidR="00495BDB" w:rsidRDefault="004D7F69" w:rsidP="000776E7">
      <w:pPr>
        <w:pStyle w:val="Heading1"/>
        <w:jc w:val="both"/>
      </w:pPr>
      <w:bookmarkStart w:id="12" w:name="discussion"/>
      <w:bookmarkEnd w:id="7"/>
      <w:bookmarkEnd w:id="11"/>
      <w:r>
        <w:t>Discussion</w:t>
      </w:r>
    </w:p>
    <w:p w14:paraId="0F73B506" w14:textId="77777777" w:rsidR="00495BDB" w:rsidRDefault="004D7F69" w:rsidP="000776E7">
      <w:pPr>
        <w:pStyle w:val="FirstParagraph"/>
        <w:jc w:val="both"/>
      </w:pPr>
      <w:r>
        <w:t xml:space="preserve">The integration of cost accounting mechanisms into managerial planning and control frameworks is a critical determinant of organizational success. This section critically analyzes the efficacy of cost control strategies and decision-making </w:t>
      </w:r>
      <w:r>
        <w:t xml:space="preserve">paradigms, synthesizing the existing literature with operational realities to evaluate how organizations navigate complex economic landscapes. Central to this evaluation is the application of variance analysis and budgeting as structural tools to mitigate </w:t>
      </w:r>
      <w:r>
        <w:t>organizational inefficiencies and foster sustainable growth.</w:t>
      </w:r>
    </w:p>
    <w:p w14:paraId="64F44FDD" w14:textId="77777777" w:rsidR="00495BDB" w:rsidRDefault="004D7F69" w:rsidP="000776E7">
      <w:pPr>
        <w:pStyle w:val="BodyText"/>
        <w:jc w:val="both"/>
      </w:pPr>
      <w:r>
        <w:t>Cost control and decision-making are inherently intertwined, demanding a proactive rather than reactive approach to financial management. The literature underscores that traditional cost accounti</w:t>
      </w:r>
      <w:r>
        <w:t>ng, while foundational, is often insufficient for contemporary, dynamic business environments unless augmented by strategic cost management techniques. Inefficiencies within organizations frequently stem from a misalignment between operational activities a</w:t>
      </w:r>
      <w:r>
        <w:t>nd strategic objectives, often exacerbated by a lack of granular visibility into cost drivers. When managers lack precise data regarding where and why costs are incurred, decision-making becomes reliant on heuristic approximations rather than empirical evi</w:t>
      </w:r>
      <w:r>
        <w:t>dence. This disconnect often leads to suboptimal resource allocation, highlighting the necessity for robust cost accounting systems that provide real-time, actionable insights. Effective cost control requires managers to transcend traditional financial met</w:t>
      </w:r>
      <w:r>
        <w:t>rics and integrate operational performance indicators into their decision-</w:t>
      </w:r>
      <w:r>
        <w:lastRenderedPageBreak/>
        <w:t>making processes, ensuring a comprehensive understanding of the cost-benefit dynamics of all organizational activities.</w:t>
      </w:r>
    </w:p>
    <w:p w14:paraId="0BA8C354" w14:textId="77777777" w:rsidR="00495BDB" w:rsidRDefault="004D7F69" w:rsidP="000776E7">
      <w:pPr>
        <w:pStyle w:val="BodyText"/>
        <w:jc w:val="both"/>
      </w:pPr>
      <w:r>
        <w:t>A critical mechanism for addressing these operational ineffici</w:t>
      </w:r>
      <w:r>
        <w:t>encies is variance analysis, which is the diagnostic engine of cost control. By systematically comparing actual financial outcomes against predetermined standards or budgets, variance analysis allows managers to isolate the specific operational areas where</w:t>
      </w:r>
      <w:r>
        <w:t xml:space="preserve"> deviations occur. For instance, an adverse direct material variance may indicate inefficiencies in the procurement process, such as sourcing from high-cost suppliers, or operational issues like excessive waste during production. Similarly, labor variances</w:t>
      </w:r>
      <w:r>
        <w:t xml:space="preserve"> can highlight disparities in workforce productivity, training deficiencies, or suboptimal scheduling. The strategic value of variance analysis lies not merely in the identification of these discrepancies, but in its capacity to trigger targeted corrective</w:t>
      </w:r>
      <w:r>
        <w:t xml:space="preserve"> actions. The literature posits that organizations employing standard costing systems equipped with detailed variance reporting exhibit higher degrees of operational resilience. By drilling down into volume, mix, and yield variances, management can pinpoin</w:t>
      </w:r>
      <w:r>
        <w:t>t the exact nexus of inefficiency. However, a critical caveat in the application of variance analysis is the risk of behavioral dysfunction. If variance reports are utilized primarily as punitive measures rather than developmental feedback mechanisms, they</w:t>
      </w:r>
      <w:r>
        <w:t xml:space="preserve"> can foster a culture of risk aversion and data manipulation. Therefore, the successful implementation of variance analysis requires an organizational culture that views deviations as opportunities for continuous improvement rather than mere performance fa</w:t>
      </w:r>
      <w:r>
        <w:t>ilures.</w:t>
      </w:r>
    </w:p>
    <w:p w14:paraId="645A3286" w14:textId="77777777" w:rsidR="00495BDB" w:rsidRDefault="004D7F69" w:rsidP="000776E7">
      <w:pPr>
        <w:pStyle w:val="BodyText"/>
        <w:jc w:val="both"/>
      </w:pPr>
      <w:r>
        <w:t>Budgeting complements variance analysis by providing the forward-looking blueprint necessary for comprehensive managerial planning. Traditional incremental budgeting, while administratively simple, often perpetuates existing inefficiencies by embed</w:t>
      </w:r>
      <w:r>
        <w:t xml:space="preserve">ding historical costs into future expectations without rigorous justification. In contrast, modern cost accounting </w:t>
      </w:r>
      <w:r>
        <w:lastRenderedPageBreak/>
        <w:t>advocates for more dynamic frameworks, such as zero-based budgeting (ZBB) or activity-based budgeting (ABB). These methodologies force manage</w:t>
      </w:r>
      <w:r>
        <w:t>ment to critically evaluate the value proposition of every operational activity, fundamentally challenging the status quo. The application of ABB, for instance, aligns the budgeting process with the specific activities that drive costs, providing a more tr</w:t>
      </w:r>
      <w:r>
        <w:t>ansparent and equitable mechanism for resource distribution. This approach is particularly effective in resolving organizational inefficiencies as it explicitly links resource allocation to strategic priorities, aggressively eliminating non-value-added act</w:t>
      </w:r>
      <w:r>
        <w:t>ivities. ZBB further demands that every dollar allocated be justified by its projected return on investment, instilling a culture of fiscal discipline throughout the organizational hierarchy.</w:t>
      </w:r>
    </w:p>
    <w:p w14:paraId="735123AE" w14:textId="77777777" w:rsidR="00495BDB" w:rsidRDefault="004D7F69" w:rsidP="000776E7">
      <w:pPr>
        <w:pStyle w:val="BodyText"/>
        <w:jc w:val="both"/>
      </w:pPr>
      <w:r>
        <w:t>Furthermore, the synthesis of these findings reveals that effect</w:t>
      </w:r>
      <w:r>
        <w:t>ive managerial control is contingent upon the timeliness and relevance of cost data. In an era characterized by rapid technological advancement and market volatility, static budgets and delayed variance reporting are increasingly obsolete. Contemporary cos</w:t>
      </w:r>
      <w:r>
        <w:t>t accounting systems must be integrated with advanced enterprise resource planning (ERP) technologies to facilitate continuous monitoring and rolling forecasts. This integration empowers managers to make agile, informed decisions, adjusting operational tac</w:t>
      </w:r>
      <w:r>
        <w:t>tics in response to real-time market feedback. By helping flexible budgeting, management can adjust performance benchmarks based on actual output levels, providing a more accurate and fair basis for performance evaluation. The critical analysis thus indica</w:t>
      </w:r>
      <w:r>
        <w:t>tes that budgeting and variance analysis are not merely administrative exercises; they are strategic imperatives that, when applied with analytical rigor and behavioral sensitivity, dismantle systemic inefficiencies and drive organizational excellence.</w:t>
      </w:r>
    </w:p>
    <w:p w14:paraId="0AD2C4B9" w14:textId="77777777" w:rsidR="00495BDB" w:rsidRDefault="004D7F69" w:rsidP="000776E7">
      <w:pPr>
        <w:pStyle w:val="Heading1"/>
        <w:jc w:val="both"/>
      </w:pPr>
      <w:bookmarkStart w:id="13" w:name="conclusion"/>
      <w:bookmarkEnd w:id="12"/>
      <w:r>
        <w:lastRenderedPageBreak/>
        <w:t>Con</w:t>
      </w:r>
      <w:r>
        <w:t>clusion</w:t>
      </w:r>
    </w:p>
    <w:p w14:paraId="52D1A015" w14:textId="77777777" w:rsidR="00495BDB" w:rsidRDefault="004D7F69" w:rsidP="000776E7">
      <w:pPr>
        <w:pStyle w:val="FirstParagraph"/>
        <w:jc w:val="both"/>
      </w:pPr>
      <w:r>
        <w:t>In conclusion, the strategic importance of cost accounting in managerial planning and control cannot be overstated. This analysis has systematically demonstrated that cost accounting transcends basic bookkeeping, functioning as a key instrument for</w:t>
      </w:r>
      <w:r>
        <w:t xml:space="preserve"> strategic alignment, operational efficiency, and informed decision-making. Through the rigorous application of tools such as variance analysis and advanced budgeting methodologies, organizations are equipped to systematically identify, analyze, and resolv</w:t>
      </w:r>
      <w:r>
        <w:t>e intrinsic inefficiencies. Variance analysis acts as a critical feedback loop, transforming raw financial data into actionable managerial insights, while innovative budgeting frameworks ensure that resource allocation is continuously aligned with overarch</w:t>
      </w:r>
      <w:r>
        <w:t>ing strategic objectives.</w:t>
      </w:r>
    </w:p>
    <w:p w14:paraId="4EF72C48" w14:textId="77777777" w:rsidR="00495BDB" w:rsidRDefault="004D7F69" w:rsidP="000776E7">
      <w:pPr>
        <w:pStyle w:val="BodyText"/>
        <w:jc w:val="both"/>
      </w:pPr>
      <w:r>
        <w:t>The synthesis of the literature and operational applications underscores that effective cost control requires a holistic approach that integrates quantitative data with a profound understanding of organizational behavior. The true</w:t>
      </w:r>
      <w:r>
        <w:t xml:space="preserve"> value of cost accounting systems is realized only when they are embedded within a culture of continuous improvement, where financial variances are utilized as catalysts for operational enhancement rather than punitive measures. As business environments be</w:t>
      </w:r>
      <w:r>
        <w:t>come increasingly complex and hyper-competitive, the reliance on robust, forward-looking cost accounting frameworks will only intensify. Cost accounting empowers management to navigate uncertainty, optimize resource utilization, and foster a culture of acc</w:t>
      </w:r>
      <w:r>
        <w:t>ountability. Ultimately, organizations that leverage cost accounting not merely as a compliance requirement, but as a core component of their strategic management repertoire, will secure a sustainable competitive advantage, ensuring long-term viability, pr</w:t>
      </w:r>
      <w:r>
        <w:t>ofitability, and success in the global marketplace.</w:t>
      </w:r>
    </w:p>
    <w:p w14:paraId="7B6A9A26" w14:textId="77777777" w:rsidR="00495BDB" w:rsidRDefault="004D7F69" w:rsidP="000776E7">
      <w:pPr>
        <w:pStyle w:val="Heading1"/>
        <w:jc w:val="both"/>
      </w:pPr>
      <w:bookmarkStart w:id="14" w:name="references"/>
      <w:bookmarkEnd w:id="13"/>
      <w:r>
        <w:lastRenderedPageBreak/>
        <w:t>References</w:t>
      </w:r>
    </w:p>
    <w:p w14:paraId="43A89565" w14:textId="77777777" w:rsidR="00495BDB" w:rsidRDefault="004D7F69" w:rsidP="000776E7">
      <w:pPr>
        <w:pStyle w:val="FirstParagraph"/>
        <w:jc w:val="both"/>
      </w:pPr>
      <w:r>
        <w:t xml:space="preserve">Bhimani, A., Horngren, C. T., Datar, S. M., &amp; Rajan, M. V. (2015). </w:t>
      </w:r>
      <w:r>
        <w:rPr>
          <w:i/>
          <w:iCs/>
        </w:rPr>
        <w:t>Management and cost accounting</w:t>
      </w:r>
      <w:r>
        <w:t xml:space="preserve"> (6th ed.). Pearson.</w:t>
      </w:r>
    </w:p>
    <w:p w14:paraId="35782B9E" w14:textId="77777777" w:rsidR="00495BDB" w:rsidRDefault="004D7F69" w:rsidP="000776E7">
      <w:pPr>
        <w:pStyle w:val="BodyText"/>
        <w:jc w:val="both"/>
      </w:pPr>
      <w:r>
        <w:t xml:space="preserve">Blocher, E. J., Stout, D. E., Juras, P. E., &amp; Smith, S. (2018). </w:t>
      </w:r>
      <w:r>
        <w:rPr>
          <w:i/>
          <w:iCs/>
        </w:rPr>
        <w:t>Cost manage</w:t>
      </w:r>
      <w:r>
        <w:rPr>
          <w:i/>
          <w:iCs/>
        </w:rPr>
        <w:t>ment: A strategic emphasis</w:t>
      </w:r>
      <w:r>
        <w:t xml:space="preserve"> (8th ed.). McGraw-Hill Education.</w:t>
      </w:r>
    </w:p>
    <w:p w14:paraId="5E2E23C3" w14:textId="77777777" w:rsidR="00495BDB" w:rsidRDefault="004D7F69" w:rsidP="000776E7">
      <w:pPr>
        <w:pStyle w:val="BodyText"/>
        <w:jc w:val="both"/>
      </w:pPr>
      <w:r>
        <w:t xml:space="preserve">Cooper, R., &amp; Kaplan, R. S. (1988). Measure costs right: Make the right decisions. </w:t>
      </w:r>
      <w:r>
        <w:rPr>
          <w:i/>
          <w:iCs/>
        </w:rPr>
        <w:t>Harvard Business Review</w:t>
      </w:r>
      <w:r>
        <w:t>, 66(5), 96-103.</w:t>
      </w:r>
    </w:p>
    <w:p w14:paraId="2B1EE81A" w14:textId="77777777" w:rsidR="00495BDB" w:rsidRDefault="004D7F69" w:rsidP="000776E7">
      <w:pPr>
        <w:pStyle w:val="BodyText"/>
        <w:jc w:val="both"/>
      </w:pPr>
      <w:r>
        <w:t xml:space="preserve">Datar, S. M., &amp; Rajan, M. V. (2020). </w:t>
      </w:r>
      <w:r>
        <w:rPr>
          <w:i/>
          <w:iCs/>
        </w:rPr>
        <w:t>Horngren’s cost accounting: A manag</w:t>
      </w:r>
      <w:r>
        <w:rPr>
          <w:i/>
          <w:iCs/>
        </w:rPr>
        <w:t>erial emphasis</w:t>
      </w:r>
      <w:r>
        <w:t xml:space="preserve"> (17th ed.). Pearson.</w:t>
      </w:r>
    </w:p>
    <w:p w14:paraId="5BBAF560" w14:textId="77777777" w:rsidR="00495BDB" w:rsidRDefault="004D7F69" w:rsidP="000776E7">
      <w:pPr>
        <w:pStyle w:val="BodyText"/>
        <w:jc w:val="both"/>
      </w:pPr>
      <w:r>
        <w:t xml:space="preserve">Drury, C. (2018). </w:t>
      </w:r>
      <w:r>
        <w:rPr>
          <w:i/>
          <w:iCs/>
        </w:rPr>
        <w:t>Management and cost accounting</w:t>
      </w:r>
      <w:r>
        <w:t xml:space="preserve"> (10th ed.). Cengage Learning.</w:t>
      </w:r>
    </w:p>
    <w:p w14:paraId="2E644C1A" w14:textId="77777777" w:rsidR="00495BDB" w:rsidRDefault="004D7F69" w:rsidP="000776E7">
      <w:pPr>
        <w:pStyle w:val="BodyText"/>
        <w:jc w:val="both"/>
      </w:pPr>
      <w:r>
        <w:t xml:space="preserve">Garrison, R. H., Noreen, E. W., &amp; Brewer, P. C. (2021). </w:t>
      </w:r>
      <w:r>
        <w:rPr>
          <w:i/>
          <w:iCs/>
        </w:rPr>
        <w:t>Managerial accounting</w:t>
      </w:r>
      <w:r>
        <w:t xml:space="preserve"> (17th ed.). McGraw-Hill Education.</w:t>
      </w:r>
    </w:p>
    <w:p w14:paraId="58C84E52" w14:textId="77777777" w:rsidR="00495BDB" w:rsidRDefault="004D7F69" w:rsidP="000776E7">
      <w:pPr>
        <w:pStyle w:val="BodyText"/>
        <w:jc w:val="both"/>
      </w:pPr>
      <w:r>
        <w:t>Hansen, D. R., &amp; Mowen, M. M</w:t>
      </w:r>
      <w:r>
        <w:t xml:space="preserve">. (2015). </w:t>
      </w:r>
      <w:r>
        <w:rPr>
          <w:i/>
          <w:iCs/>
        </w:rPr>
        <w:t>Cornerstones of cost management</w:t>
      </w:r>
      <w:r>
        <w:t xml:space="preserve"> (4th ed.). Cengage Learning.</w:t>
      </w:r>
    </w:p>
    <w:p w14:paraId="17718791" w14:textId="77777777" w:rsidR="00495BDB" w:rsidRDefault="004D7F69" w:rsidP="000776E7">
      <w:pPr>
        <w:pStyle w:val="BodyText"/>
        <w:jc w:val="both"/>
      </w:pPr>
      <w:r>
        <w:t xml:space="preserve">Hilton, R. W., &amp; Platt, D. E. (2020). </w:t>
      </w:r>
      <w:r>
        <w:rPr>
          <w:i/>
          <w:iCs/>
        </w:rPr>
        <w:t>Managerial accounting: Creating value in a dynamic business environment</w:t>
      </w:r>
      <w:r>
        <w:t xml:space="preserve"> (12th ed.). McGraw-Hill Education.</w:t>
      </w:r>
    </w:p>
    <w:p w14:paraId="796A8F1A" w14:textId="77777777" w:rsidR="00495BDB" w:rsidRDefault="004D7F69" w:rsidP="000776E7">
      <w:pPr>
        <w:pStyle w:val="BodyText"/>
        <w:jc w:val="both"/>
      </w:pPr>
      <w:r>
        <w:t>Kaplan, R. S., &amp; Anderson, S. R. (2004).</w:t>
      </w:r>
      <w:r>
        <w:t xml:space="preserve"> Time-driven activity-based costing. </w:t>
      </w:r>
      <w:r>
        <w:rPr>
          <w:i/>
          <w:iCs/>
        </w:rPr>
        <w:t>Harvard Business Review</w:t>
      </w:r>
      <w:r>
        <w:t>, 82(11), 131-138.</w:t>
      </w:r>
    </w:p>
    <w:p w14:paraId="0800D8F3" w14:textId="77777777" w:rsidR="00495BDB" w:rsidRDefault="004D7F69" w:rsidP="000776E7">
      <w:pPr>
        <w:pStyle w:val="BodyText"/>
        <w:jc w:val="both"/>
      </w:pPr>
      <w:r>
        <w:lastRenderedPageBreak/>
        <w:t xml:space="preserve">Kaplan, R. S., &amp; Norton, D. P. (1992). The balanced scorecard—measures that drive performance. </w:t>
      </w:r>
      <w:r>
        <w:rPr>
          <w:i/>
          <w:iCs/>
        </w:rPr>
        <w:t>Harvard Business Review</w:t>
      </w:r>
      <w:r>
        <w:t>, 70(1), 71-79.</w:t>
      </w:r>
    </w:p>
    <w:p w14:paraId="238FA989" w14:textId="77777777" w:rsidR="00495BDB" w:rsidRDefault="004D7F69" w:rsidP="000776E7">
      <w:pPr>
        <w:pStyle w:val="BodyText"/>
        <w:jc w:val="both"/>
      </w:pPr>
      <w:r>
        <w:t xml:space="preserve">Liker, J. K. (2004). </w:t>
      </w:r>
      <w:r>
        <w:rPr>
          <w:i/>
          <w:iCs/>
        </w:rPr>
        <w:t>The Toyota way: 14 management principles from the world’s greatest manufacturer</w:t>
      </w:r>
      <w:r>
        <w:t>. McGraw-Hill.</w:t>
      </w:r>
    </w:p>
    <w:p w14:paraId="5967BCA4" w14:textId="77777777" w:rsidR="00495BDB" w:rsidRDefault="004D7F69" w:rsidP="000776E7">
      <w:pPr>
        <w:pStyle w:val="BodyText"/>
        <w:jc w:val="both"/>
      </w:pPr>
      <w:r>
        <w:t xml:space="preserve">Monden, Y. (2011). </w:t>
      </w:r>
      <w:r>
        <w:rPr>
          <w:i/>
          <w:iCs/>
        </w:rPr>
        <w:t>Toyota production system: An integrated approach to just-in-time</w:t>
      </w:r>
      <w:r>
        <w:t xml:space="preserve"> (4th ed.). CRC Press.</w:t>
      </w:r>
    </w:p>
    <w:p w14:paraId="7BBCD18A" w14:textId="77777777" w:rsidR="00495BDB" w:rsidRDefault="004D7F69" w:rsidP="000776E7">
      <w:pPr>
        <w:pStyle w:val="BodyText"/>
        <w:jc w:val="both"/>
      </w:pPr>
      <w:r>
        <w:t xml:space="preserve">Ohno, T. (1988). </w:t>
      </w:r>
      <w:r>
        <w:rPr>
          <w:i/>
          <w:iCs/>
        </w:rPr>
        <w:t>Toyota production system: Beyond large-scale production</w:t>
      </w:r>
      <w:r>
        <w:t>. Productivity Press.</w:t>
      </w:r>
    </w:p>
    <w:p w14:paraId="15BFA5E7" w14:textId="77777777" w:rsidR="00495BDB" w:rsidRDefault="004D7F69" w:rsidP="000776E7">
      <w:pPr>
        <w:pStyle w:val="BodyText"/>
        <w:jc w:val="both"/>
      </w:pPr>
      <w:r>
        <w:t xml:space="preserve">Porter, M. E. (1985). </w:t>
      </w:r>
      <w:r>
        <w:rPr>
          <w:i/>
          <w:iCs/>
        </w:rPr>
        <w:t>Competitive advantage: Creating and sustaining superior performance</w:t>
      </w:r>
      <w:r>
        <w:t>. Free Press.</w:t>
      </w:r>
    </w:p>
    <w:p w14:paraId="744C51AD" w14:textId="77777777" w:rsidR="00495BDB" w:rsidRDefault="004D7F69" w:rsidP="000776E7">
      <w:pPr>
        <w:pStyle w:val="BodyText"/>
        <w:jc w:val="both"/>
      </w:pPr>
      <w:r>
        <w:t xml:space="preserve">Shank, J. K., &amp; Govindarajan, V. (1993). </w:t>
      </w:r>
      <w:r>
        <w:rPr>
          <w:i/>
          <w:iCs/>
        </w:rPr>
        <w:t xml:space="preserve">Strategic cost management: The new </w:t>
      </w:r>
      <w:r>
        <w:rPr>
          <w:i/>
          <w:iCs/>
        </w:rPr>
        <w:t>tool for competitive advantage</w:t>
      </w:r>
      <w:r>
        <w:t>. Free Press.</w:t>
      </w:r>
    </w:p>
    <w:p w14:paraId="2EE653FB" w14:textId="77777777" w:rsidR="00495BDB" w:rsidRDefault="004D7F69" w:rsidP="000776E7">
      <w:pPr>
        <w:pStyle w:val="Heading1"/>
        <w:jc w:val="both"/>
      </w:pPr>
      <w:bookmarkStart w:id="15" w:name="appendices"/>
      <w:bookmarkEnd w:id="14"/>
      <w:r>
        <w:t>Appendices</w:t>
      </w:r>
    </w:p>
    <w:p w14:paraId="5530A105" w14:textId="77777777" w:rsidR="00495BDB" w:rsidRDefault="004D7F69" w:rsidP="000776E7">
      <w:pPr>
        <w:pStyle w:val="Heading3"/>
        <w:jc w:val="both"/>
      </w:pPr>
      <w:bookmarkStart w:id="16" w:name="X9431f7e97dd5c358cadb3cd3a8edc0aa444f93a"/>
      <w:r>
        <w:t>Appendix A: Cost Classification and Behavior Table</w:t>
      </w:r>
    </w:p>
    <w:p w14:paraId="459E18AE" w14:textId="77777777" w:rsidR="00495BDB" w:rsidRDefault="004D7F69" w:rsidP="000776E7">
      <w:pPr>
        <w:pStyle w:val="FirstParagraph"/>
        <w:jc w:val="both"/>
      </w:pPr>
      <w:r>
        <w:t xml:space="preserve">The following table categorizes the fundamental cost classifications utilized in managerial planning, detailing their behavior relative to production </w:t>
      </w:r>
      <w:r>
        <w:t>volume changes.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394"/>
        <w:gridCol w:w="2394"/>
        <w:gridCol w:w="2394"/>
        <w:gridCol w:w="2394"/>
      </w:tblGrid>
      <w:tr w:rsidR="00495BDB" w14:paraId="1A535D03" w14:textId="77777777" w:rsidTr="000776E7">
        <w:trPr>
          <w:cnfStyle w:val="100000000000" w:firstRow="1" w:lastRow="0" w:firstColumn="0" w:lastColumn="0" w:oddVBand="0" w:evenVBand="0" w:oddHBand="0" w:evenHBand="0" w:firstRowFirstColumn="0" w:firstRowLastColumn="0" w:lastRowFirstColumn="0" w:lastRowLastColumn="0"/>
          <w:tblHeader/>
        </w:trPr>
        <w:tc>
          <w:tcPr>
            <w:tcW w:w="1980" w:type="dxa"/>
            <w:tcBorders>
              <w:bottom w:val="none" w:sz="0" w:space="0" w:color="auto"/>
            </w:tcBorders>
          </w:tcPr>
          <w:p w14:paraId="5D259936" w14:textId="77777777" w:rsidR="00495BDB" w:rsidRDefault="004D7F69" w:rsidP="000776E7">
            <w:pPr>
              <w:pStyle w:val="Compact"/>
              <w:jc w:val="both"/>
            </w:pPr>
            <w:r>
              <w:t>Cost Classification</w:t>
            </w:r>
          </w:p>
        </w:tc>
        <w:tc>
          <w:tcPr>
            <w:tcW w:w="1980" w:type="dxa"/>
            <w:tcBorders>
              <w:bottom w:val="none" w:sz="0" w:space="0" w:color="auto"/>
            </w:tcBorders>
          </w:tcPr>
          <w:p w14:paraId="067389D5" w14:textId="77777777" w:rsidR="00495BDB" w:rsidRDefault="004D7F69" w:rsidP="000776E7">
            <w:pPr>
              <w:pStyle w:val="Compact"/>
              <w:jc w:val="both"/>
            </w:pPr>
            <w:r>
              <w:t>Definition</w:t>
            </w:r>
          </w:p>
        </w:tc>
        <w:tc>
          <w:tcPr>
            <w:tcW w:w="1980" w:type="dxa"/>
            <w:tcBorders>
              <w:bottom w:val="none" w:sz="0" w:space="0" w:color="auto"/>
            </w:tcBorders>
          </w:tcPr>
          <w:p w14:paraId="197B625C" w14:textId="77777777" w:rsidR="00495BDB" w:rsidRDefault="004D7F69" w:rsidP="000776E7">
            <w:pPr>
              <w:pStyle w:val="Compact"/>
              <w:jc w:val="both"/>
            </w:pPr>
            <w:r>
              <w:t>Behavior Characteristics</w:t>
            </w:r>
          </w:p>
        </w:tc>
        <w:tc>
          <w:tcPr>
            <w:tcW w:w="1980" w:type="dxa"/>
            <w:tcBorders>
              <w:bottom w:val="none" w:sz="0" w:space="0" w:color="auto"/>
            </w:tcBorders>
          </w:tcPr>
          <w:p w14:paraId="2D791CD2" w14:textId="77777777" w:rsidR="00495BDB" w:rsidRDefault="004D7F69" w:rsidP="000776E7">
            <w:pPr>
              <w:pStyle w:val="Compact"/>
              <w:jc w:val="both"/>
            </w:pPr>
            <w:r>
              <w:t>Manufacturing Examples</w:t>
            </w:r>
          </w:p>
        </w:tc>
      </w:tr>
      <w:tr w:rsidR="00495BDB" w14:paraId="282C30A7" w14:textId="77777777" w:rsidTr="000776E7">
        <w:tc>
          <w:tcPr>
            <w:tcW w:w="1980" w:type="dxa"/>
          </w:tcPr>
          <w:p w14:paraId="0B2402D3" w14:textId="77777777" w:rsidR="00495BDB" w:rsidRDefault="004D7F69" w:rsidP="000776E7">
            <w:pPr>
              <w:pStyle w:val="Compact"/>
              <w:jc w:val="both"/>
            </w:pPr>
            <w:r>
              <w:rPr>
                <w:b/>
                <w:bCs/>
              </w:rPr>
              <w:t>Fixed Costs</w:t>
            </w:r>
          </w:p>
        </w:tc>
        <w:tc>
          <w:tcPr>
            <w:tcW w:w="1980" w:type="dxa"/>
          </w:tcPr>
          <w:p w14:paraId="7F8D1E1B" w14:textId="77777777" w:rsidR="00495BDB" w:rsidRDefault="004D7F69" w:rsidP="000776E7">
            <w:pPr>
              <w:pStyle w:val="Compact"/>
              <w:jc w:val="both"/>
            </w:pPr>
            <w:r>
              <w:t xml:space="preserve">Costs that remain constant in total </w:t>
            </w:r>
            <w:r>
              <w:lastRenderedPageBreak/>
              <w:t>regardless of changes in activity levels within a relevant range.</w:t>
            </w:r>
          </w:p>
        </w:tc>
        <w:tc>
          <w:tcPr>
            <w:tcW w:w="1980" w:type="dxa"/>
          </w:tcPr>
          <w:p w14:paraId="63C9009F" w14:textId="77777777" w:rsidR="00495BDB" w:rsidRDefault="004D7F69" w:rsidP="000776E7">
            <w:pPr>
              <w:pStyle w:val="Compact"/>
              <w:jc w:val="both"/>
            </w:pPr>
            <w:r>
              <w:lastRenderedPageBreak/>
              <w:t xml:space="preserve">Per-unit fixed cost decreases as </w:t>
            </w:r>
            <w:r>
              <w:lastRenderedPageBreak/>
              <w:t>production vo</w:t>
            </w:r>
            <w:r>
              <w:t>lume increases.</w:t>
            </w:r>
          </w:p>
        </w:tc>
        <w:tc>
          <w:tcPr>
            <w:tcW w:w="1980" w:type="dxa"/>
          </w:tcPr>
          <w:p w14:paraId="3129B5B2" w14:textId="77777777" w:rsidR="00495BDB" w:rsidRDefault="004D7F69" w:rsidP="000776E7">
            <w:pPr>
              <w:pStyle w:val="Compact"/>
              <w:jc w:val="both"/>
            </w:pPr>
            <w:r>
              <w:lastRenderedPageBreak/>
              <w:t xml:space="preserve">Factory rent, equipment </w:t>
            </w:r>
            <w:r>
              <w:lastRenderedPageBreak/>
              <w:t>depreciation, executive salaries.</w:t>
            </w:r>
          </w:p>
        </w:tc>
      </w:tr>
      <w:tr w:rsidR="00495BDB" w14:paraId="2BB52CF8" w14:textId="77777777" w:rsidTr="000776E7">
        <w:tc>
          <w:tcPr>
            <w:tcW w:w="1980" w:type="dxa"/>
          </w:tcPr>
          <w:p w14:paraId="425338FB" w14:textId="77777777" w:rsidR="00495BDB" w:rsidRDefault="004D7F69" w:rsidP="000776E7">
            <w:pPr>
              <w:pStyle w:val="Compact"/>
              <w:jc w:val="both"/>
            </w:pPr>
            <w:r>
              <w:rPr>
                <w:b/>
                <w:bCs/>
              </w:rPr>
              <w:lastRenderedPageBreak/>
              <w:t>Variable Costs</w:t>
            </w:r>
          </w:p>
        </w:tc>
        <w:tc>
          <w:tcPr>
            <w:tcW w:w="1980" w:type="dxa"/>
          </w:tcPr>
          <w:p w14:paraId="0DBDC583" w14:textId="77777777" w:rsidR="00495BDB" w:rsidRDefault="004D7F69" w:rsidP="000776E7">
            <w:pPr>
              <w:pStyle w:val="Compact"/>
              <w:jc w:val="both"/>
            </w:pPr>
            <w:r>
              <w:t>Costs that vary in direct proportion to changes in the level of production or activity.</w:t>
            </w:r>
          </w:p>
        </w:tc>
        <w:tc>
          <w:tcPr>
            <w:tcW w:w="1980" w:type="dxa"/>
          </w:tcPr>
          <w:p w14:paraId="444EDB47" w14:textId="77777777" w:rsidR="00495BDB" w:rsidRDefault="004D7F69" w:rsidP="000776E7">
            <w:pPr>
              <w:pStyle w:val="Compact"/>
              <w:jc w:val="both"/>
            </w:pPr>
            <w:r>
              <w:t>Per-unit variable cost remains constant across the relevant range.</w:t>
            </w:r>
          </w:p>
        </w:tc>
        <w:tc>
          <w:tcPr>
            <w:tcW w:w="1980" w:type="dxa"/>
          </w:tcPr>
          <w:p w14:paraId="203EFE79" w14:textId="77777777" w:rsidR="00495BDB" w:rsidRDefault="004D7F69" w:rsidP="000776E7">
            <w:pPr>
              <w:pStyle w:val="Compact"/>
              <w:jc w:val="both"/>
            </w:pPr>
            <w:r>
              <w:t>Direct mate</w:t>
            </w:r>
            <w:r>
              <w:t>rials, direct manufacturing labor, production supplies.</w:t>
            </w:r>
          </w:p>
        </w:tc>
      </w:tr>
      <w:tr w:rsidR="00495BDB" w14:paraId="561706E0" w14:textId="77777777" w:rsidTr="000776E7">
        <w:tc>
          <w:tcPr>
            <w:tcW w:w="1980" w:type="dxa"/>
          </w:tcPr>
          <w:p w14:paraId="608AE4BB" w14:textId="77777777" w:rsidR="00495BDB" w:rsidRDefault="004D7F69" w:rsidP="000776E7">
            <w:pPr>
              <w:pStyle w:val="Compact"/>
              <w:jc w:val="both"/>
            </w:pPr>
            <w:r>
              <w:rPr>
                <w:b/>
                <w:bCs/>
              </w:rPr>
              <w:t>Mixed Costs</w:t>
            </w:r>
          </w:p>
        </w:tc>
        <w:tc>
          <w:tcPr>
            <w:tcW w:w="1980" w:type="dxa"/>
          </w:tcPr>
          <w:p w14:paraId="4B75D471" w14:textId="77777777" w:rsidR="00495BDB" w:rsidRDefault="004D7F69" w:rsidP="000776E7">
            <w:pPr>
              <w:pStyle w:val="Compact"/>
              <w:jc w:val="both"/>
            </w:pPr>
            <w:r>
              <w:t>Costs containing both fixed and variable components.</w:t>
            </w:r>
          </w:p>
        </w:tc>
        <w:tc>
          <w:tcPr>
            <w:tcW w:w="1980" w:type="dxa"/>
          </w:tcPr>
          <w:p w14:paraId="0263CC38" w14:textId="77777777" w:rsidR="00495BDB" w:rsidRDefault="004D7F69" w:rsidP="000776E7">
            <w:pPr>
              <w:pStyle w:val="Compact"/>
              <w:jc w:val="both"/>
            </w:pPr>
            <w:r>
              <w:t>Total cost increases with volume, but not directly proportionally.</w:t>
            </w:r>
          </w:p>
        </w:tc>
        <w:tc>
          <w:tcPr>
            <w:tcW w:w="1980" w:type="dxa"/>
          </w:tcPr>
          <w:p w14:paraId="499E39AA" w14:textId="77777777" w:rsidR="00495BDB" w:rsidRDefault="004D7F69" w:rsidP="000776E7">
            <w:pPr>
              <w:pStyle w:val="Compact"/>
              <w:jc w:val="both"/>
            </w:pPr>
            <w:r>
              <w:t>Factory utilities, machine maintenance, sales compensation (base plus commission).</w:t>
            </w:r>
          </w:p>
        </w:tc>
      </w:tr>
      <w:tr w:rsidR="00495BDB" w14:paraId="1DAF8A16" w14:textId="77777777" w:rsidTr="000776E7">
        <w:tc>
          <w:tcPr>
            <w:tcW w:w="1980" w:type="dxa"/>
          </w:tcPr>
          <w:p w14:paraId="4C6FA13B" w14:textId="77777777" w:rsidR="00495BDB" w:rsidRDefault="004D7F69" w:rsidP="000776E7">
            <w:pPr>
              <w:pStyle w:val="Compact"/>
              <w:jc w:val="both"/>
            </w:pPr>
            <w:r>
              <w:rPr>
                <w:b/>
                <w:bCs/>
              </w:rPr>
              <w:t>Step-Fixed Costs</w:t>
            </w:r>
          </w:p>
        </w:tc>
        <w:tc>
          <w:tcPr>
            <w:tcW w:w="1980" w:type="dxa"/>
          </w:tcPr>
          <w:p w14:paraId="718936D0" w14:textId="77777777" w:rsidR="00495BDB" w:rsidRDefault="004D7F69" w:rsidP="000776E7">
            <w:pPr>
              <w:pStyle w:val="Compact"/>
              <w:jc w:val="both"/>
            </w:pPr>
            <w:r>
              <w:t>Costs fixed over a narrow range of activity but jump to a higher level once capacity is exceeded.</w:t>
            </w:r>
          </w:p>
        </w:tc>
        <w:tc>
          <w:tcPr>
            <w:tcW w:w="1980" w:type="dxa"/>
          </w:tcPr>
          <w:p w14:paraId="3808B65C" w14:textId="77777777" w:rsidR="00495BDB" w:rsidRDefault="004D7F69" w:rsidP="000776E7">
            <w:pPr>
              <w:pStyle w:val="Compact"/>
              <w:jc w:val="both"/>
            </w:pPr>
            <w:r>
              <w:t xml:space="preserve">Remains constant over ranges, shifts upwards in discrete </w:t>
            </w:r>
            <w:r>
              <w:t>steps.</w:t>
            </w:r>
          </w:p>
        </w:tc>
        <w:tc>
          <w:tcPr>
            <w:tcW w:w="1980" w:type="dxa"/>
          </w:tcPr>
          <w:p w14:paraId="4148B75F" w14:textId="77777777" w:rsidR="00495BDB" w:rsidRDefault="004D7F69" w:rsidP="000776E7">
            <w:pPr>
              <w:pStyle w:val="Compact"/>
              <w:jc w:val="both"/>
            </w:pPr>
            <w:r>
              <w:t>Quality inspectors salaries, production supervisor wages.</w:t>
            </w:r>
          </w:p>
        </w:tc>
      </w:tr>
    </w:tbl>
    <w:p w14:paraId="725127E9" w14:textId="77777777" w:rsidR="00495BDB" w:rsidRDefault="004D7F69" w:rsidP="000776E7">
      <w:pPr>
        <w:pStyle w:val="Heading3"/>
        <w:jc w:val="both"/>
      </w:pPr>
      <w:bookmarkStart w:id="17" w:name="X615ebe9492b19850e0ffd62a4b9ea1dff781076"/>
      <w:bookmarkEnd w:id="16"/>
      <w:r>
        <w:lastRenderedPageBreak/>
        <w:t>Appendix B: Standard Costing and Variance Analysis Example</w:t>
      </w:r>
    </w:p>
    <w:p w14:paraId="2E74FF25" w14:textId="77777777" w:rsidR="00495BDB" w:rsidRDefault="004D7F69" w:rsidP="000776E7">
      <w:pPr>
        <w:pStyle w:val="FirstParagraph"/>
        <w:jc w:val="both"/>
      </w:pPr>
      <w:r>
        <w:t>The table below illustrates a standard variance analysis framework for direct materials and direct labor, demonstrating how managem</w:t>
      </w:r>
      <w:r>
        <w:t>ent identifies deviations from planned performance to enact operational control.</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596"/>
        <w:gridCol w:w="1596"/>
        <w:gridCol w:w="1596"/>
        <w:gridCol w:w="1596"/>
        <w:gridCol w:w="1596"/>
        <w:gridCol w:w="1596"/>
      </w:tblGrid>
      <w:tr w:rsidR="00495BDB" w14:paraId="213B4382" w14:textId="77777777" w:rsidTr="000776E7">
        <w:trPr>
          <w:cnfStyle w:val="100000000000" w:firstRow="1" w:lastRow="0" w:firstColumn="0" w:lastColumn="0" w:oddVBand="0" w:evenVBand="0" w:oddHBand="0" w:evenHBand="0" w:firstRowFirstColumn="0" w:firstRowLastColumn="0" w:lastRowFirstColumn="0" w:lastRowLastColumn="0"/>
          <w:tblHeader/>
        </w:trPr>
        <w:tc>
          <w:tcPr>
            <w:tcW w:w="1320" w:type="dxa"/>
            <w:tcBorders>
              <w:bottom w:val="none" w:sz="0" w:space="0" w:color="auto"/>
            </w:tcBorders>
          </w:tcPr>
          <w:p w14:paraId="596CFEB0" w14:textId="77777777" w:rsidR="00495BDB" w:rsidRDefault="004D7F69" w:rsidP="000776E7">
            <w:pPr>
              <w:pStyle w:val="Compact"/>
              <w:jc w:val="both"/>
            </w:pPr>
            <w:r>
              <w:t>Variance Type</w:t>
            </w:r>
          </w:p>
        </w:tc>
        <w:tc>
          <w:tcPr>
            <w:tcW w:w="1320" w:type="dxa"/>
            <w:tcBorders>
              <w:bottom w:val="none" w:sz="0" w:space="0" w:color="auto"/>
            </w:tcBorders>
          </w:tcPr>
          <w:p w14:paraId="45739462" w14:textId="77777777" w:rsidR="00495BDB" w:rsidRDefault="004D7F69" w:rsidP="000776E7">
            <w:pPr>
              <w:pStyle w:val="Compact"/>
              <w:jc w:val="both"/>
            </w:pPr>
            <w:r>
              <w:t>Formula</w:t>
            </w:r>
          </w:p>
        </w:tc>
        <w:tc>
          <w:tcPr>
            <w:tcW w:w="1320" w:type="dxa"/>
            <w:tcBorders>
              <w:bottom w:val="none" w:sz="0" w:space="0" w:color="auto"/>
            </w:tcBorders>
          </w:tcPr>
          <w:p w14:paraId="7E104366" w14:textId="77777777" w:rsidR="00495BDB" w:rsidRDefault="004D7F69" w:rsidP="000776E7">
            <w:pPr>
              <w:pStyle w:val="Compact"/>
              <w:jc w:val="both"/>
            </w:pPr>
            <w:r>
              <w:t>Standard Data</w:t>
            </w:r>
          </w:p>
        </w:tc>
        <w:tc>
          <w:tcPr>
            <w:tcW w:w="1320" w:type="dxa"/>
            <w:tcBorders>
              <w:bottom w:val="none" w:sz="0" w:space="0" w:color="auto"/>
            </w:tcBorders>
          </w:tcPr>
          <w:p w14:paraId="50F68B0D" w14:textId="77777777" w:rsidR="00495BDB" w:rsidRDefault="004D7F69" w:rsidP="000776E7">
            <w:pPr>
              <w:pStyle w:val="Compact"/>
              <w:jc w:val="both"/>
            </w:pPr>
            <w:r>
              <w:t>Actual Data</w:t>
            </w:r>
          </w:p>
        </w:tc>
        <w:tc>
          <w:tcPr>
            <w:tcW w:w="1320" w:type="dxa"/>
            <w:tcBorders>
              <w:bottom w:val="none" w:sz="0" w:space="0" w:color="auto"/>
            </w:tcBorders>
          </w:tcPr>
          <w:p w14:paraId="1D415A40" w14:textId="77777777" w:rsidR="00495BDB" w:rsidRDefault="004D7F69" w:rsidP="000776E7">
            <w:pPr>
              <w:pStyle w:val="Compact"/>
              <w:jc w:val="both"/>
            </w:pPr>
            <w:r>
              <w:t>Calculation</w:t>
            </w:r>
          </w:p>
        </w:tc>
        <w:tc>
          <w:tcPr>
            <w:tcW w:w="1320" w:type="dxa"/>
            <w:tcBorders>
              <w:bottom w:val="none" w:sz="0" w:space="0" w:color="auto"/>
            </w:tcBorders>
          </w:tcPr>
          <w:p w14:paraId="6F300BA2" w14:textId="77777777" w:rsidR="00495BDB" w:rsidRDefault="004D7F69" w:rsidP="000776E7">
            <w:pPr>
              <w:pStyle w:val="Compact"/>
              <w:jc w:val="both"/>
            </w:pPr>
            <w:r>
              <w:t>Result</w:t>
            </w:r>
          </w:p>
        </w:tc>
      </w:tr>
      <w:tr w:rsidR="00495BDB" w14:paraId="266B0753" w14:textId="77777777" w:rsidTr="000776E7">
        <w:tc>
          <w:tcPr>
            <w:tcW w:w="1320" w:type="dxa"/>
          </w:tcPr>
          <w:p w14:paraId="79999D3A" w14:textId="77777777" w:rsidR="00495BDB" w:rsidRDefault="004D7F69" w:rsidP="000776E7">
            <w:pPr>
              <w:pStyle w:val="Compact"/>
              <w:jc w:val="both"/>
            </w:pPr>
            <w:r>
              <w:rPr>
                <w:b/>
                <w:bCs/>
              </w:rPr>
              <w:t>Direct Material Price Variance</w:t>
            </w:r>
          </w:p>
        </w:tc>
        <w:tc>
          <w:tcPr>
            <w:tcW w:w="1320" w:type="dxa"/>
          </w:tcPr>
          <w:p w14:paraId="1531B375"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SP</m:t>
                </m:r>
                <m:r>
                  <m:rPr>
                    <m:sty m:val="p"/>
                  </m:rPr>
                  <w:rPr>
                    <w:rFonts w:ascii="Cambria Math" w:hAnsi="Cambria Math"/>
                  </w:rPr>
                  <m:t>-</m:t>
                </m:r>
                <m:r>
                  <w:rPr>
                    <w:rFonts w:ascii="Cambria Math" w:hAnsi="Cambria Math"/>
                  </w:rPr>
                  <m:t>AP</m:t>
                </m:r>
                <m:r>
                  <m:rPr>
                    <m:sty m:val="p"/>
                  </m:rPr>
                  <w:rPr>
                    <w:rFonts w:ascii="Cambria Math" w:hAnsi="Cambria Math"/>
                  </w:rPr>
                  <m:t>)×</m:t>
                </m:r>
                <m:r>
                  <w:rPr>
                    <w:rFonts w:ascii="Cambria Math" w:hAnsi="Cambria Math"/>
                  </w:rPr>
                  <m:t>AQ</m:t>
                </m:r>
              </m:oMath>
            </m:oMathPara>
          </w:p>
        </w:tc>
        <w:tc>
          <w:tcPr>
            <w:tcW w:w="1320" w:type="dxa"/>
          </w:tcPr>
          <w:p w14:paraId="2EBE4CDF" w14:textId="77777777" w:rsidR="00495BDB" w:rsidRDefault="004D7F69" w:rsidP="000776E7">
            <w:pPr>
              <w:pStyle w:val="Compact"/>
              <w:jc w:val="both"/>
            </w:pPr>
            <w:r>
              <w:t xml:space="preserve">Standard Price (SP): </w:t>
            </w:r>
            <m:oMath>
              <m:r>
                <m:rPr>
                  <m:sty m:val="p"/>
                </m:rPr>
                <w:rPr>
                  <w:rFonts w:ascii="Cambria Math" w:hAnsi="Cambria Math"/>
                </w:rPr>
                <m:t>$</m:t>
              </m:r>
              <m:r>
                <w:rPr>
                  <w:rFonts w:ascii="Cambria Math" w:hAnsi="Cambria Math"/>
                </w:rPr>
                <m:t>10.00</m:t>
              </m:r>
            </m:oMath>
            <w:r>
              <w:t>/kg</w:t>
            </w:r>
          </w:p>
        </w:tc>
        <w:tc>
          <w:tcPr>
            <w:tcW w:w="1320" w:type="dxa"/>
          </w:tcPr>
          <w:p w14:paraId="5597D7C9" w14:textId="77777777" w:rsidR="00495BDB" w:rsidRDefault="004D7F69" w:rsidP="000776E7">
            <w:pPr>
              <w:pStyle w:val="Compact"/>
              <w:jc w:val="both"/>
            </w:pPr>
            <w:r>
              <w:t xml:space="preserve">Actual Price (AP): </w:t>
            </w:r>
            <m:oMath>
              <m:r>
                <m:rPr>
                  <m:sty m:val="p"/>
                </m:rPr>
                <w:rPr>
                  <w:rFonts w:ascii="Cambria Math" w:hAnsi="Cambria Math"/>
                </w:rPr>
                <m:t>$</m:t>
              </m:r>
              <m:r>
                <w:rPr>
                  <w:rFonts w:ascii="Cambria Math" w:hAnsi="Cambria Math"/>
                </w:rPr>
                <m:t>11.00</m:t>
              </m:r>
            </m:oMath>
            <w:r>
              <w:t xml:space="preserve">/kg; Actual Qty (AQ): </w:t>
            </w:r>
            <m:oMath>
              <m:r>
                <w:rPr>
                  <w:rFonts w:ascii="Cambria Math" w:hAnsi="Cambria Math"/>
                </w:rPr>
                <m:t>500</m:t>
              </m:r>
            </m:oMath>
            <w:r>
              <w:t xml:space="preserve"> kg</w:t>
            </w:r>
          </w:p>
        </w:tc>
        <w:tc>
          <w:tcPr>
            <w:tcW w:w="1320" w:type="dxa"/>
          </w:tcPr>
          <w:p w14:paraId="3D3E0C84"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10.00</m:t>
                </m:r>
                <m:r>
                  <m:rPr>
                    <m:sty m:val="p"/>
                  </m:rPr>
                  <w:rPr>
                    <w:rFonts w:ascii="Cambria Math" w:hAnsi="Cambria Math"/>
                  </w:rPr>
                  <m:t>-$</m:t>
                </m:r>
                <m:r>
                  <w:rPr>
                    <w:rFonts w:ascii="Cambria Math" w:hAnsi="Cambria Math"/>
                  </w:rPr>
                  <m:t>11.00</m:t>
                </m:r>
                <m:r>
                  <m:rPr>
                    <m:sty m:val="p"/>
                  </m:rPr>
                  <w:rPr>
                    <w:rFonts w:ascii="Cambria Math" w:hAnsi="Cambria Math"/>
                  </w:rPr>
                  <m:t>)×</m:t>
                </m:r>
                <m:r>
                  <w:rPr>
                    <w:rFonts w:ascii="Cambria Math" w:hAnsi="Cambria Math"/>
                  </w:rPr>
                  <m:t>500</m:t>
                </m:r>
              </m:oMath>
            </m:oMathPara>
          </w:p>
        </w:tc>
        <w:tc>
          <w:tcPr>
            <w:tcW w:w="1320" w:type="dxa"/>
          </w:tcPr>
          <w:p w14:paraId="1072FD45" w14:textId="77777777" w:rsidR="00495BDB" w:rsidRDefault="004D7F69" w:rsidP="000776E7">
            <w:pPr>
              <w:pStyle w:val="Compact"/>
              <w:jc w:val="both"/>
            </w:pPr>
            <m:oMath>
              <m:r>
                <m:rPr>
                  <m:sty m:val="p"/>
                </m:rPr>
                <w:rPr>
                  <w:rFonts w:ascii="Cambria Math" w:hAnsi="Cambria Math"/>
                </w:rPr>
                <m:t>-$</m:t>
              </m:r>
              <m:r>
                <w:rPr>
                  <w:rFonts w:ascii="Cambria Math" w:hAnsi="Cambria Math"/>
                </w:rPr>
                <m:t>500</m:t>
              </m:r>
            </m:oMath>
            <w:r>
              <w:t xml:space="preserve"> (Unfavorable)</w:t>
            </w:r>
          </w:p>
        </w:tc>
      </w:tr>
      <w:tr w:rsidR="00495BDB" w14:paraId="792937E0" w14:textId="77777777" w:rsidTr="000776E7">
        <w:tc>
          <w:tcPr>
            <w:tcW w:w="1320" w:type="dxa"/>
          </w:tcPr>
          <w:p w14:paraId="7304CB06" w14:textId="77777777" w:rsidR="00495BDB" w:rsidRDefault="004D7F69" w:rsidP="000776E7">
            <w:pPr>
              <w:pStyle w:val="Compact"/>
              <w:jc w:val="both"/>
            </w:pPr>
            <w:r>
              <w:rPr>
                <w:b/>
                <w:bCs/>
              </w:rPr>
              <w:t>Direct Material Quantity Variance</w:t>
            </w:r>
          </w:p>
        </w:tc>
        <w:tc>
          <w:tcPr>
            <w:tcW w:w="1320" w:type="dxa"/>
          </w:tcPr>
          <w:p w14:paraId="19ED9726"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SQ</m:t>
                </m:r>
                <m:r>
                  <m:rPr>
                    <m:sty m:val="p"/>
                  </m:rPr>
                  <w:rPr>
                    <w:rFonts w:ascii="Cambria Math" w:hAnsi="Cambria Math"/>
                  </w:rPr>
                  <m:t>-</m:t>
                </m:r>
                <m:r>
                  <w:rPr>
                    <w:rFonts w:ascii="Cambria Math" w:hAnsi="Cambria Math"/>
                  </w:rPr>
                  <m:t>AQ</m:t>
                </m:r>
                <m:r>
                  <m:rPr>
                    <m:sty m:val="p"/>
                  </m:rPr>
                  <w:rPr>
                    <w:rFonts w:ascii="Cambria Math" w:hAnsi="Cambria Math"/>
                  </w:rPr>
                  <m:t>)×</m:t>
                </m:r>
                <m:r>
                  <w:rPr>
                    <w:rFonts w:ascii="Cambria Math" w:hAnsi="Cambria Math"/>
                  </w:rPr>
                  <m:t>SP</m:t>
                </m:r>
              </m:oMath>
            </m:oMathPara>
          </w:p>
        </w:tc>
        <w:tc>
          <w:tcPr>
            <w:tcW w:w="1320" w:type="dxa"/>
          </w:tcPr>
          <w:p w14:paraId="4ACC4AEB" w14:textId="77777777" w:rsidR="00495BDB" w:rsidRDefault="004D7F69" w:rsidP="000776E7">
            <w:pPr>
              <w:pStyle w:val="Compact"/>
              <w:jc w:val="both"/>
            </w:pPr>
            <w:r>
              <w:t xml:space="preserve">Standard Qty (SQ): </w:t>
            </w:r>
            <m:oMath>
              <m:r>
                <w:rPr>
                  <w:rFonts w:ascii="Cambria Math" w:hAnsi="Cambria Math"/>
                </w:rPr>
                <m:t>480</m:t>
              </m:r>
            </m:oMath>
            <w:r>
              <w:t xml:space="preserve"> kg</w:t>
            </w:r>
          </w:p>
        </w:tc>
        <w:tc>
          <w:tcPr>
            <w:tcW w:w="1320" w:type="dxa"/>
          </w:tcPr>
          <w:p w14:paraId="1A630977" w14:textId="77777777" w:rsidR="00495BDB" w:rsidRDefault="004D7F69" w:rsidP="000776E7">
            <w:pPr>
              <w:pStyle w:val="Compact"/>
              <w:jc w:val="both"/>
            </w:pPr>
            <w:r>
              <w:t xml:space="preserve">Actual Qty (AQ): </w:t>
            </w:r>
            <m:oMath>
              <m:r>
                <w:rPr>
                  <w:rFonts w:ascii="Cambria Math" w:hAnsi="Cambria Math"/>
                </w:rPr>
                <m:t>500</m:t>
              </m:r>
            </m:oMath>
            <w:r>
              <w:t xml:space="preserve"> kg; Standard Price (SP): </w:t>
            </w:r>
            <m:oMath>
              <m:r>
                <m:rPr>
                  <m:sty m:val="p"/>
                </m:rPr>
                <w:rPr>
                  <w:rFonts w:ascii="Cambria Math" w:hAnsi="Cambria Math"/>
                </w:rPr>
                <m:t>$</m:t>
              </m:r>
              <m:r>
                <w:rPr>
                  <w:rFonts w:ascii="Cambria Math" w:hAnsi="Cambria Math"/>
                </w:rPr>
                <m:t>10.00</m:t>
              </m:r>
            </m:oMath>
            <w:r>
              <w:t>/kg</w:t>
            </w:r>
          </w:p>
        </w:tc>
        <w:tc>
          <w:tcPr>
            <w:tcW w:w="1320" w:type="dxa"/>
          </w:tcPr>
          <w:p w14:paraId="646EE9E1"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480</m:t>
                </m:r>
                <m:r>
                  <m:rPr>
                    <m:sty m:val="p"/>
                  </m:rPr>
                  <w:rPr>
                    <w:rFonts w:ascii="Cambria Math" w:hAnsi="Cambria Math"/>
                  </w:rPr>
                  <m:t>-</m:t>
                </m:r>
                <m:r>
                  <w:rPr>
                    <w:rFonts w:ascii="Cambria Math" w:hAnsi="Cambria Math"/>
                  </w:rPr>
                  <m:t>500</m:t>
                </m:r>
                <m:r>
                  <m:rPr>
                    <m:sty m:val="p"/>
                  </m:rPr>
                  <w:rPr>
                    <w:rFonts w:ascii="Cambria Math" w:hAnsi="Cambria Math"/>
                  </w:rPr>
                  <m:t>)×$</m:t>
                </m:r>
                <m:r>
                  <w:rPr>
                    <w:rFonts w:ascii="Cambria Math" w:hAnsi="Cambria Math"/>
                  </w:rPr>
                  <m:t>10.00</m:t>
                </m:r>
              </m:oMath>
            </m:oMathPara>
          </w:p>
        </w:tc>
        <w:tc>
          <w:tcPr>
            <w:tcW w:w="1320" w:type="dxa"/>
          </w:tcPr>
          <w:p w14:paraId="0E0F39CD" w14:textId="77777777" w:rsidR="00495BDB" w:rsidRDefault="004D7F69" w:rsidP="000776E7">
            <w:pPr>
              <w:pStyle w:val="Compact"/>
              <w:jc w:val="both"/>
            </w:pPr>
            <m:oMath>
              <m:r>
                <m:rPr>
                  <m:sty m:val="p"/>
                </m:rPr>
                <w:rPr>
                  <w:rFonts w:ascii="Cambria Math" w:hAnsi="Cambria Math"/>
                </w:rPr>
                <m:t>-$</m:t>
              </m:r>
              <m:r>
                <w:rPr>
                  <w:rFonts w:ascii="Cambria Math" w:hAnsi="Cambria Math"/>
                </w:rPr>
                <m:t>200</m:t>
              </m:r>
            </m:oMath>
            <w:r>
              <w:t xml:space="preserve"> (Unfa</w:t>
            </w:r>
            <w:r>
              <w:t>vorable)</w:t>
            </w:r>
          </w:p>
        </w:tc>
      </w:tr>
      <w:tr w:rsidR="00495BDB" w14:paraId="1F503138" w14:textId="77777777" w:rsidTr="000776E7">
        <w:tc>
          <w:tcPr>
            <w:tcW w:w="1320" w:type="dxa"/>
          </w:tcPr>
          <w:p w14:paraId="3D517460" w14:textId="77777777" w:rsidR="00495BDB" w:rsidRDefault="004D7F69" w:rsidP="000776E7">
            <w:pPr>
              <w:pStyle w:val="Compact"/>
              <w:jc w:val="both"/>
            </w:pPr>
            <w:r>
              <w:rPr>
                <w:b/>
                <w:bCs/>
              </w:rPr>
              <w:t>Direct Labor Rate Variance</w:t>
            </w:r>
          </w:p>
        </w:tc>
        <w:tc>
          <w:tcPr>
            <w:tcW w:w="1320" w:type="dxa"/>
          </w:tcPr>
          <w:p w14:paraId="78EA6535"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SR</m:t>
                </m:r>
                <m:r>
                  <m:rPr>
                    <m:sty m:val="p"/>
                  </m:rPr>
                  <w:rPr>
                    <w:rFonts w:ascii="Cambria Math" w:hAnsi="Cambria Math"/>
                  </w:rPr>
                  <m:t>-</m:t>
                </m:r>
                <m:r>
                  <w:rPr>
                    <w:rFonts w:ascii="Cambria Math" w:hAnsi="Cambria Math"/>
                  </w:rPr>
                  <m:t>AR</m:t>
                </m:r>
                <m:r>
                  <m:rPr>
                    <m:sty m:val="p"/>
                  </m:rPr>
                  <w:rPr>
                    <w:rFonts w:ascii="Cambria Math" w:hAnsi="Cambria Math"/>
                  </w:rPr>
                  <m:t>)×</m:t>
                </m:r>
                <m:r>
                  <w:rPr>
                    <w:rFonts w:ascii="Cambria Math" w:hAnsi="Cambria Math"/>
                  </w:rPr>
                  <m:t>AH</m:t>
                </m:r>
              </m:oMath>
            </m:oMathPara>
          </w:p>
        </w:tc>
        <w:tc>
          <w:tcPr>
            <w:tcW w:w="1320" w:type="dxa"/>
          </w:tcPr>
          <w:p w14:paraId="53399664" w14:textId="77777777" w:rsidR="00495BDB" w:rsidRDefault="004D7F69" w:rsidP="000776E7">
            <w:pPr>
              <w:pStyle w:val="Compact"/>
              <w:jc w:val="both"/>
            </w:pPr>
            <w:r>
              <w:t xml:space="preserve">Standard Rate (SR): </w:t>
            </w:r>
            <m:oMath>
              <m:r>
                <m:rPr>
                  <m:sty m:val="p"/>
                </m:rPr>
                <w:rPr>
                  <w:rFonts w:ascii="Cambria Math" w:hAnsi="Cambria Math"/>
                </w:rPr>
                <m:t>$</m:t>
              </m:r>
              <m:r>
                <w:rPr>
                  <w:rFonts w:ascii="Cambria Math" w:hAnsi="Cambria Math"/>
                </w:rPr>
                <m:t>20.00</m:t>
              </m:r>
            </m:oMath>
            <w:r>
              <w:t>/hr</w:t>
            </w:r>
          </w:p>
        </w:tc>
        <w:tc>
          <w:tcPr>
            <w:tcW w:w="1320" w:type="dxa"/>
          </w:tcPr>
          <w:p w14:paraId="634B6925" w14:textId="77777777" w:rsidR="00495BDB" w:rsidRDefault="004D7F69" w:rsidP="000776E7">
            <w:pPr>
              <w:pStyle w:val="Compact"/>
              <w:jc w:val="both"/>
            </w:pPr>
            <w:r>
              <w:t xml:space="preserve">Actual Rate (AR): </w:t>
            </w:r>
            <m:oMath>
              <m:r>
                <m:rPr>
                  <m:sty m:val="p"/>
                </m:rPr>
                <w:rPr>
                  <w:rFonts w:ascii="Cambria Math" w:hAnsi="Cambria Math"/>
                </w:rPr>
                <m:t>$</m:t>
              </m:r>
              <m:r>
                <w:rPr>
                  <w:rFonts w:ascii="Cambria Math" w:hAnsi="Cambria Math"/>
                </w:rPr>
                <m:t>19.00</m:t>
              </m:r>
            </m:oMath>
            <w:r>
              <w:t xml:space="preserve">/hr; Actual Hrs (AH): </w:t>
            </w:r>
            <m:oMath>
              <m:r>
                <w:rPr>
                  <w:rFonts w:ascii="Cambria Math" w:hAnsi="Cambria Math"/>
                </w:rPr>
                <m:t>300</m:t>
              </m:r>
            </m:oMath>
            <w:r>
              <w:t xml:space="preserve"> hr</w:t>
            </w:r>
          </w:p>
        </w:tc>
        <w:tc>
          <w:tcPr>
            <w:tcW w:w="1320" w:type="dxa"/>
          </w:tcPr>
          <w:p w14:paraId="5F0DA315"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20.00</m:t>
                </m:r>
                <m:r>
                  <m:rPr>
                    <m:sty m:val="p"/>
                  </m:rPr>
                  <w:rPr>
                    <w:rFonts w:ascii="Cambria Math" w:hAnsi="Cambria Math"/>
                  </w:rPr>
                  <m:t>-$</m:t>
                </m:r>
                <m:r>
                  <w:rPr>
                    <w:rFonts w:ascii="Cambria Math" w:hAnsi="Cambria Math"/>
                  </w:rPr>
                  <m:t>19.00</m:t>
                </m:r>
                <m:r>
                  <m:rPr>
                    <m:sty m:val="p"/>
                  </m:rPr>
                  <w:rPr>
                    <w:rFonts w:ascii="Cambria Math" w:hAnsi="Cambria Math"/>
                  </w:rPr>
                  <m:t>)×</m:t>
                </m:r>
                <m:r>
                  <w:rPr>
                    <w:rFonts w:ascii="Cambria Math" w:hAnsi="Cambria Math"/>
                  </w:rPr>
                  <m:t>300</m:t>
                </m:r>
              </m:oMath>
            </m:oMathPara>
          </w:p>
        </w:tc>
        <w:tc>
          <w:tcPr>
            <w:tcW w:w="1320" w:type="dxa"/>
          </w:tcPr>
          <w:p w14:paraId="29363306" w14:textId="77777777" w:rsidR="00495BDB" w:rsidRDefault="004D7F69" w:rsidP="000776E7">
            <w:pPr>
              <w:pStyle w:val="Compact"/>
              <w:jc w:val="both"/>
            </w:pPr>
            <m:oMath>
              <m:r>
                <m:rPr>
                  <m:sty m:val="p"/>
                </m:rPr>
                <w:rPr>
                  <w:rFonts w:ascii="Cambria Math" w:hAnsi="Cambria Math"/>
                </w:rPr>
                <m:t>+$</m:t>
              </m:r>
              <m:r>
                <w:rPr>
                  <w:rFonts w:ascii="Cambria Math" w:hAnsi="Cambria Math"/>
                </w:rPr>
                <m:t>300</m:t>
              </m:r>
            </m:oMath>
            <w:r>
              <w:t xml:space="preserve"> (Favorable)</w:t>
            </w:r>
          </w:p>
        </w:tc>
      </w:tr>
      <w:tr w:rsidR="00495BDB" w14:paraId="316B4B66" w14:textId="77777777" w:rsidTr="000776E7">
        <w:tc>
          <w:tcPr>
            <w:tcW w:w="1320" w:type="dxa"/>
          </w:tcPr>
          <w:p w14:paraId="627CE21F" w14:textId="77777777" w:rsidR="00495BDB" w:rsidRDefault="004D7F69" w:rsidP="000776E7">
            <w:pPr>
              <w:pStyle w:val="Compact"/>
              <w:jc w:val="both"/>
            </w:pPr>
            <w:r>
              <w:rPr>
                <w:b/>
                <w:bCs/>
              </w:rPr>
              <w:lastRenderedPageBreak/>
              <w:t>Direct Labor Efficiency Variance</w:t>
            </w:r>
          </w:p>
        </w:tc>
        <w:tc>
          <w:tcPr>
            <w:tcW w:w="1320" w:type="dxa"/>
          </w:tcPr>
          <w:p w14:paraId="6BFBA29D"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SH</m:t>
                </m:r>
                <m:r>
                  <m:rPr>
                    <m:sty m:val="p"/>
                  </m:rPr>
                  <w:rPr>
                    <w:rFonts w:ascii="Cambria Math" w:hAnsi="Cambria Math"/>
                  </w:rPr>
                  <m:t>-</m:t>
                </m:r>
                <m:r>
                  <w:rPr>
                    <w:rFonts w:ascii="Cambria Math" w:hAnsi="Cambria Math"/>
                  </w:rPr>
                  <m:t>AH</m:t>
                </m:r>
                <m:r>
                  <m:rPr>
                    <m:sty m:val="p"/>
                  </m:rPr>
                  <w:rPr>
                    <w:rFonts w:ascii="Cambria Math" w:hAnsi="Cambria Math"/>
                  </w:rPr>
                  <m:t>)×</m:t>
                </m:r>
                <m:r>
                  <w:rPr>
                    <w:rFonts w:ascii="Cambria Math" w:hAnsi="Cambria Math"/>
                  </w:rPr>
                  <m:t>SR</m:t>
                </m:r>
              </m:oMath>
            </m:oMathPara>
          </w:p>
        </w:tc>
        <w:tc>
          <w:tcPr>
            <w:tcW w:w="1320" w:type="dxa"/>
          </w:tcPr>
          <w:p w14:paraId="2F9A5BB2" w14:textId="77777777" w:rsidR="00495BDB" w:rsidRDefault="004D7F69" w:rsidP="000776E7">
            <w:pPr>
              <w:pStyle w:val="Compact"/>
              <w:jc w:val="both"/>
            </w:pPr>
            <w:r>
              <w:t xml:space="preserve">Standard Hrs (SH): </w:t>
            </w:r>
            <m:oMath>
              <m:r>
                <w:rPr>
                  <w:rFonts w:ascii="Cambria Math" w:hAnsi="Cambria Math"/>
                </w:rPr>
                <m:t>310</m:t>
              </m:r>
            </m:oMath>
            <w:r>
              <w:t xml:space="preserve"> hr</w:t>
            </w:r>
          </w:p>
        </w:tc>
        <w:tc>
          <w:tcPr>
            <w:tcW w:w="1320" w:type="dxa"/>
          </w:tcPr>
          <w:p w14:paraId="4FBC7C7A" w14:textId="77777777" w:rsidR="00495BDB" w:rsidRDefault="004D7F69" w:rsidP="000776E7">
            <w:pPr>
              <w:pStyle w:val="Compact"/>
              <w:jc w:val="both"/>
            </w:pPr>
            <w:r>
              <w:t xml:space="preserve">Actual Hrs (AH): </w:t>
            </w:r>
            <m:oMath>
              <m:r>
                <w:rPr>
                  <w:rFonts w:ascii="Cambria Math" w:hAnsi="Cambria Math"/>
                </w:rPr>
                <m:t>300</m:t>
              </m:r>
            </m:oMath>
            <w:r>
              <w:t xml:space="preserve"> hr; Standard Rate (SR): </w:t>
            </w:r>
            <m:oMath>
              <m:r>
                <m:rPr>
                  <m:sty m:val="p"/>
                </m:rPr>
                <w:rPr>
                  <w:rFonts w:ascii="Cambria Math" w:hAnsi="Cambria Math"/>
                </w:rPr>
                <m:t>$</m:t>
              </m:r>
              <m:r>
                <w:rPr>
                  <w:rFonts w:ascii="Cambria Math" w:hAnsi="Cambria Math"/>
                </w:rPr>
                <m:t>20.00</m:t>
              </m:r>
            </m:oMath>
            <w:r>
              <w:t>/hr</w:t>
            </w:r>
          </w:p>
        </w:tc>
        <w:tc>
          <w:tcPr>
            <w:tcW w:w="1320" w:type="dxa"/>
          </w:tcPr>
          <w:p w14:paraId="0D0032BC" w14:textId="77777777" w:rsidR="00495BDB" w:rsidRDefault="004D7F69" w:rsidP="000776E7">
            <w:pPr>
              <w:pStyle w:val="Compact"/>
              <w:jc w:val="both"/>
            </w:pPr>
            <m:oMathPara>
              <m:oMath>
                <m:r>
                  <m:rPr>
                    <m:sty m:val="p"/>
                  </m:rPr>
                  <w:rPr>
                    <w:rFonts w:ascii="Cambria Math" w:hAnsi="Cambria Math"/>
                  </w:rPr>
                  <m:t>(</m:t>
                </m:r>
                <m:r>
                  <w:rPr>
                    <w:rFonts w:ascii="Cambria Math" w:hAnsi="Cambria Math"/>
                  </w:rPr>
                  <m:t>310</m:t>
                </m:r>
                <m:r>
                  <m:rPr>
                    <m:sty m:val="p"/>
                  </m:rPr>
                  <w:rPr>
                    <w:rFonts w:ascii="Cambria Math" w:hAnsi="Cambria Math"/>
                  </w:rPr>
                  <m:t>-</m:t>
                </m:r>
                <m:r>
                  <w:rPr>
                    <w:rFonts w:ascii="Cambria Math" w:hAnsi="Cambria Math"/>
                  </w:rPr>
                  <m:t>300</m:t>
                </m:r>
                <m:r>
                  <m:rPr>
                    <m:sty m:val="p"/>
                  </m:rPr>
                  <w:rPr>
                    <w:rFonts w:ascii="Cambria Math" w:hAnsi="Cambria Math"/>
                  </w:rPr>
                  <m:t>)×$</m:t>
                </m:r>
                <m:r>
                  <w:rPr>
                    <w:rFonts w:ascii="Cambria Math" w:hAnsi="Cambria Math"/>
                  </w:rPr>
                  <m:t>20.00</m:t>
                </m:r>
              </m:oMath>
            </m:oMathPara>
          </w:p>
        </w:tc>
        <w:tc>
          <w:tcPr>
            <w:tcW w:w="1320" w:type="dxa"/>
          </w:tcPr>
          <w:p w14:paraId="5BA704AD" w14:textId="77777777" w:rsidR="00495BDB" w:rsidRDefault="004D7F69" w:rsidP="000776E7">
            <w:pPr>
              <w:pStyle w:val="Compact"/>
              <w:jc w:val="both"/>
            </w:pPr>
            <m:oMath>
              <m:r>
                <m:rPr>
                  <m:sty m:val="p"/>
                </m:rPr>
                <w:rPr>
                  <w:rFonts w:ascii="Cambria Math" w:hAnsi="Cambria Math"/>
                </w:rPr>
                <m:t>+$</m:t>
              </m:r>
              <m:r>
                <w:rPr>
                  <w:rFonts w:ascii="Cambria Math" w:hAnsi="Cambria Math"/>
                </w:rPr>
                <m:t>200</m:t>
              </m:r>
            </m:oMath>
            <w:r>
              <w:t xml:space="preserve"> (Favorable)</w:t>
            </w:r>
          </w:p>
        </w:tc>
      </w:tr>
      <w:bookmarkEnd w:id="15"/>
      <w:bookmarkEnd w:id="17"/>
    </w:tbl>
    <w:p w14:paraId="7C3846C4" w14:textId="77777777" w:rsidR="004D7F69" w:rsidRDefault="004D7F69" w:rsidP="000776E7">
      <w:pPr>
        <w:jc w:val="both"/>
      </w:pPr>
    </w:p>
    <w:sectPr w:rsidR="004D7F69">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6B90D6D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495BDB"/>
    <w:rsid w:val="000776E7"/>
    <w:rsid w:val="00495BDB"/>
    <w:rsid w:val="004D7F6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7A3AD"/>
  <w15:docId w15:val="{DB90DC73-2797-465D-95AC-C4F7E12A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480" w:lineRule="auto"/>
    </w:pPr>
    <w:rPr>
      <w:rFonts w:ascii="Times New Roman" w:eastAsia="Times New Roman" w:hAnsi="Times New Roman"/>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24</Pages>
  <Words>5785</Words>
  <Characters>32979</Characters>
  <Application>Microsoft Office Word</Application>
  <DocSecurity>0</DocSecurity>
  <Lines>274</Lines>
  <Paragraphs>77</Paragraphs>
  <ScaleCrop>false</ScaleCrop>
  <Company/>
  <LinksUpToDate>false</LinksUpToDate>
  <CharactersWithSpaces>38687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2</cp:revision>
  <dcterms:created xsi:type="dcterms:W3CDTF">2026-05-24T18:10:00Z</dcterms:created>
  <dcterms:modified xsi:type="dcterms:W3CDTF">2026-05-24T18:13:00Z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