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Pr="00D77309" w:rsidRDefault="00D26592" w:rsidP="00D77309">
      <w:pPr>
        <w:jc w:val="center"/>
        <w:rPr>
          <w:b/>
          <w:bCs/>
          <w:sz w:val="48"/>
          <w:szCs w:val="48"/>
        </w:rPr>
      </w:pPr>
      <w:r>
        <w:rPr>
          <w:b/>
          <w:bCs/>
          <w:sz w:val="48"/>
          <w:szCs w:val="48"/>
        </w:rPr>
        <w:t xml:space="preserve">Title: </w:t>
      </w:r>
      <w:r w:rsidR="00D77309" w:rsidRPr="00D77309">
        <w:rPr>
          <w:b/>
          <w:bCs/>
          <w:sz w:val="48"/>
          <w:szCs w:val="48"/>
        </w:rPr>
        <w:t>Strategic Workforce Recovery Plan for Thailand’s Tourism Sector Post-COVID and Over-Tourism Collapse</w:t>
      </w:r>
    </w:p>
    <w:p w:rsidR="00D26592" w:rsidRDefault="00D26592" w:rsidP="00D26592">
      <w:pPr>
        <w:jc w:val="center"/>
        <w:rPr>
          <w:sz w:val="44"/>
          <w:szCs w:val="44"/>
        </w:rPr>
      </w:pPr>
      <w:r>
        <w:rPr>
          <w:b/>
          <w:sz w:val="40"/>
          <w:szCs w:val="40"/>
        </w:rPr>
        <w:br/>
      </w:r>
      <w:r w:rsidR="00CC58EE">
        <w:rPr>
          <w:sz w:val="40"/>
          <w:szCs w:val="40"/>
        </w:rPr>
        <w:br/>
      </w:r>
      <w:r w:rsidR="00CC58EE">
        <w:rPr>
          <w:sz w:val="44"/>
          <w:szCs w:val="44"/>
        </w:rPr>
        <w:t xml:space="preserve">Student Name: </w:t>
      </w:r>
      <w:proofErr w:type="spellStart"/>
      <w:r w:rsidR="00CC58EE">
        <w:rPr>
          <w:sz w:val="44"/>
          <w:szCs w:val="44"/>
        </w:rPr>
        <w:t>Vikram</w:t>
      </w:r>
      <w:proofErr w:type="spellEnd"/>
      <w:r w:rsidR="00CC58EE">
        <w:rPr>
          <w:sz w:val="44"/>
          <w:szCs w:val="44"/>
        </w:rPr>
        <w:t xml:space="preserve"> Kumar</w:t>
      </w:r>
      <w:r w:rsidR="00CC58EE">
        <w:rPr>
          <w:sz w:val="44"/>
          <w:szCs w:val="44"/>
        </w:rPr>
        <w:br/>
        <w:t>Student ID: DE240041</w:t>
      </w:r>
    </w:p>
    <w:p w:rsidR="009346EB" w:rsidRDefault="009346EB" w:rsidP="00D26592">
      <w:pPr>
        <w:jc w:val="center"/>
        <w:rPr>
          <w:sz w:val="44"/>
          <w:szCs w:val="44"/>
        </w:rPr>
      </w:pPr>
    </w:p>
    <w:p w:rsidR="00D26592" w:rsidRDefault="00D26592" w:rsidP="00D26592">
      <w:pPr>
        <w:jc w:val="center"/>
        <w:rPr>
          <w:sz w:val="44"/>
          <w:szCs w:val="44"/>
        </w:rPr>
      </w:pPr>
      <w:r>
        <w:rPr>
          <w:sz w:val="44"/>
          <w:szCs w:val="44"/>
        </w:rPr>
        <w:t>Submission date: 25.06.2025</w:t>
      </w:r>
    </w:p>
    <w:p w:rsidR="00672EA7" w:rsidRDefault="00672EA7" w:rsidP="00D26592"/>
    <w:p w:rsidR="008D4A0A" w:rsidRDefault="008D4A0A" w:rsidP="00D26592"/>
    <w:p w:rsidR="008D4A0A" w:rsidRDefault="008D4A0A" w:rsidP="00D26592"/>
    <w:p w:rsidR="008D4A0A" w:rsidRDefault="008D4A0A" w:rsidP="00D26592"/>
    <w:p w:rsidR="008D4A0A" w:rsidRDefault="008D4A0A" w:rsidP="00D26592"/>
    <w:p w:rsidR="008D4A0A" w:rsidRDefault="008D4A0A" w:rsidP="00D26592"/>
    <w:p w:rsidR="008D4A0A" w:rsidRDefault="008D4A0A" w:rsidP="00D26592"/>
    <w:p w:rsidR="008D4A0A" w:rsidRPr="008D4A0A" w:rsidRDefault="008D4A0A" w:rsidP="008D4A0A">
      <w:pPr>
        <w:spacing w:before="100" w:beforeAutospacing="1" w:after="100" w:afterAutospacing="1" w:line="240" w:lineRule="auto"/>
        <w:outlineLvl w:val="2"/>
        <w:rPr>
          <w:rFonts w:ascii="Times New Roman" w:eastAsia="Times New Roman" w:hAnsi="Times New Roman" w:cs="Times New Roman"/>
          <w:b/>
          <w:bCs/>
          <w:sz w:val="27"/>
          <w:szCs w:val="27"/>
        </w:rPr>
      </w:pPr>
      <w:r w:rsidRPr="008D4A0A">
        <w:rPr>
          <w:rFonts w:ascii="Times New Roman" w:eastAsia="Times New Roman" w:hAnsi="Times New Roman" w:cs="Times New Roman"/>
          <w:b/>
          <w:bCs/>
          <w:sz w:val="27"/>
          <w:szCs w:val="27"/>
        </w:rPr>
        <w:lastRenderedPageBreak/>
        <w:t>Table of Contents</w:t>
      </w:r>
    </w:p>
    <w:p w:rsidR="008D4A0A" w:rsidRPr="008D4A0A" w:rsidRDefault="008D4A0A" w:rsidP="008D4A0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Abstract</w:t>
      </w:r>
    </w:p>
    <w:p w:rsidR="008D4A0A" w:rsidRPr="008D4A0A" w:rsidRDefault="008D4A0A" w:rsidP="008D4A0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Introduction</w:t>
      </w:r>
    </w:p>
    <w:p w:rsidR="008D4A0A" w:rsidRPr="008D4A0A" w:rsidRDefault="008D4A0A" w:rsidP="008D4A0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Literature Review</w:t>
      </w:r>
    </w:p>
    <w:p w:rsidR="008D4A0A" w:rsidRPr="008D4A0A" w:rsidRDefault="008D4A0A" w:rsidP="008D4A0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Methodology</w:t>
      </w:r>
    </w:p>
    <w:p w:rsidR="008D4A0A" w:rsidRPr="008D4A0A" w:rsidRDefault="008D4A0A" w:rsidP="008D4A0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Findings</w:t>
      </w:r>
    </w:p>
    <w:p w:rsidR="008D4A0A" w:rsidRPr="008D4A0A" w:rsidRDefault="008D4A0A" w:rsidP="008D4A0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Discussion</w:t>
      </w:r>
    </w:p>
    <w:p w:rsidR="008D4A0A" w:rsidRPr="008D4A0A" w:rsidRDefault="008D4A0A" w:rsidP="008D4A0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Conclusion</w:t>
      </w:r>
    </w:p>
    <w:p w:rsidR="008D4A0A" w:rsidRPr="008D4A0A" w:rsidRDefault="008D4A0A" w:rsidP="008D4A0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References</w:t>
      </w:r>
    </w:p>
    <w:p w:rsidR="00BF510B" w:rsidRDefault="00BF510B" w:rsidP="00BF510B">
      <w:pPr>
        <w:spacing w:before="100" w:beforeAutospacing="1" w:after="100" w:afterAutospacing="1" w:line="240" w:lineRule="auto"/>
        <w:outlineLvl w:val="2"/>
        <w:rPr>
          <w:rFonts w:ascii="Times New Roman" w:eastAsia="Times New Roman" w:hAnsi="Times New Roman" w:cs="Times New Roman"/>
          <w:sz w:val="24"/>
          <w:szCs w:val="24"/>
        </w:rPr>
      </w:pPr>
    </w:p>
    <w:p w:rsidR="00BF510B" w:rsidRPr="00BF510B" w:rsidRDefault="00BF510B" w:rsidP="00BF510B">
      <w:pPr>
        <w:spacing w:before="100" w:beforeAutospacing="1" w:after="100" w:afterAutospacing="1" w:line="240" w:lineRule="auto"/>
        <w:outlineLvl w:val="2"/>
        <w:rPr>
          <w:rFonts w:ascii="Times New Roman" w:eastAsia="Times New Roman" w:hAnsi="Times New Roman" w:cs="Times New Roman"/>
          <w:b/>
          <w:bCs/>
          <w:sz w:val="27"/>
          <w:szCs w:val="27"/>
        </w:rPr>
      </w:pPr>
      <w:r w:rsidRPr="00BF510B">
        <w:rPr>
          <w:rFonts w:ascii="Times New Roman" w:eastAsia="Times New Roman" w:hAnsi="Times New Roman" w:cs="Times New Roman"/>
          <w:b/>
          <w:bCs/>
          <w:sz w:val="27"/>
          <w:szCs w:val="27"/>
        </w:rPr>
        <w:t>Abstract</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Thailand’s globally admired tourism industry has long been a cornerstone of its economic development, celebrated for its cultural richness, tropical landscapes, and hospitality. However, in recent years, the industry has faced two major shocks. First was the long-standing pressure of over-tourism that strained local infrastructure and degraded natural and cultural assets. Second </w:t>
      </w:r>
      <w:proofErr w:type="gramStart"/>
      <w:r w:rsidRPr="00BF510B">
        <w:rPr>
          <w:rFonts w:ascii="Times New Roman" w:eastAsia="Times New Roman" w:hAnsi="Times New Roman" w:cs="Times New Roman"/>
          <w:sz w:val="24"/>
          <w:szCs w:val="24"/>
        </w:rPr>
        <w:t>came</w:t>
      </w:r>
      <w:proofErr w:type="gramEnd"/>
      <w:r w:rsidRPr="00BF510B">
        <w:rPr>
          <w:rFonts w:ascii="Times New Roman" w:eastAsia="Times New Roman" w:hAnsi="Times New Roman" w:cs="Times New Roman"/>
          <w:sz w:val="24"/>
          <w:szCs w:val="24"/>
        </w:rPr>
        <w:t xml:space="preserve"> the COVID-19 pandemic, which triggered international travel restrictions, decimated hospitality revenues, and led to a dramatic collapse in employment across the sector (WTTC, 2020; UNWTO, 2021).</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Before the pandemic, Thailand’s tourism sector contributed more than 20% to GDP and supported over 6 million jobs, both directly and indirectly (WTTC, 2019). Unfortunately, many of these jobs were informal, low-paid, and lacked essential protections. The economic shutdowns during the pandemic exposed the fragility of this employment model, especially in regions heavily dependent on foreign arrivals like </w:t>
      </w:r>
      <w:proofErr w:type="spellStart"/>
      <w:r w:rsidRPr="00BF510B">
        <w:rPr>
          <w:rFonts w:ascii="Times New Roman" w:eastAsia="Times New Roman" w:hAnsi="Times New Roman" w:cs="Times New Roman"/>
          <w:sz w:val="24"/>
          <w:szCs w:val="24"/>
        </w:rPr>
        <w:t>Phuket</w:t>
      </w:r>
      <w:proofErr w:type="spellEnd"/>
      <w:r w:rsidRPr="00BF510B">
        <w:rPr>
          <w:rFonts w:ascii="Times New Roman" w:eastAsia="Times New Roman" w:hAnsi="Times New Roman" w:cs="Times New Roman"/>
          <w:sz w:val="24"/>
          <w:szCs w:val="24"/>
        </w:rPr>
        <w:t xml:space="preserve"> and Chiang Mai. Vulnerable groups such as women, migrant workers, and the elderly were disproportionately impacted (ILO, 2020; ADB, 2021).</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In response, this report proposes a strategic tourism workforce recovery plan grounded in four key pillars: decentralization, sustainability, digitalization, and social protection. Each pillar addresses pre-existing weaknesses in the tourism </w:t>
      </w:r>
      <w:proofErr w:type="spellStart"/>
      <w:r w:rsidRPr="00BF510B">
        <w:rPr>
          <w:rFonts w:ascii="Times New Roman" w:eastAsia="Times New Roman" w:hAnsi="Times New Roman" w:cs="Times New Roman"/>
          <w:sz w:val="24"/>
          <w:szCs w:val="24"/>
        </w:rPr>
        <w:t>labour</w:t>
      </w:r>
      <w:proofErr w:type="spellEnd"/>
      <w:r w:rsidRPr="00BF510B">
        <w:rPr>
          <w:rFonts w:ascii="Times New Roman" w:eastAsia="Times New Roman" w:hAnsi="Times New Roman" w:cs="Times New Roman"/>
          <w:sz w:val="24"/>
          <w:szCs w:val="24"/>
        </w:rPr>
        <w:t xml:space="preserve"> system and aligns with global recovery principles recommended by multilateral organizations like the UNWTO and ILO (UNEP, 2018; UNWTO, 2021). The goal is to shift away from high-volume tourism toward a high-quality, resilient tourism ecosystem.</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The plan recommends integrating green jobs and circular economy concepts into tourism development. For instance, </w:t>
      </w:r>
      <w:proofErr w:type="spellStart"/>
      <w:r w:rsidRPr="00BF510B">
        <w:rPr>
          <w:rFonts w:ascii="Times New Roman" w:eastAsia="Times New Roman" w:hAnsi="Times New Roman" w:cs="Times New Roman"/>
          <w:sz w:val="24"/>
          <w:szCs w:val="24"/>
        </w:rPr>
        <w:t>upskilling</w:t>
      </w:r>
      <w:proofErr w:type="spellEnd"/>
      <w:r w:rsidRPr="00BF510B">
        <w:rPr>
          <w:rFonts w:ascii="Times New Roman" w:eastAsia="Times New Roman" w:hAnsi="Times New Roman" w:cs="Times New Roman"/>
          <w:sz w:val="24"/>
          <w:szCs w:val="24"/>
        </w:rPr>
        <w:t xml:space="preserve"> workers in eco-tourism, digital marketing, and sustainable hospitality can diversify income sources while preserving local environments. These strategies draw inspiration from successful models in Bhutan, Portugal, and Singapore, which emphasized dignity in tourism employment alongside ecological responsibility (UNWTO, 2021; OECD, 2020).</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lastRenderedPageBreak/>
        <w:t xml:space="preserve">Moreover, the recovery strategy includes structural reforms in </w:t>
      </w:r>
      <w:proofErr w:type="spellStart"/>
      <w:r w:rsidRPr="00BF510B">
        <w:rPr>
          <w:rFonts w:ascii="Times New Roman" w:eastAsia="Times New Roman" w:hAnsi="Times New Roman" w:cs="Times New Roman"/>
          <w:sz w:val="24"/>
          <w:szCs w:val="24"/>
        </w:rPr>
        <w:t>labour</w:t>
      </w:r>
      <w:proofErr w:type="spellEnd"/>
      <w:r w:rsidRPr="00BF510B">
        <w:rPr>
          <w:rFonts w:ascii="Times New Roman" w:eastAsia="Times New Roman" w:hAnsi="Times New Roman" w:cs="Times New Roman"/>
          <w:sz w:val="24"/>
          <w:szCs w:val="24"/>
        </w:rPr>
        <w:t xml:space="preserve"> rights and registration systems to reduce informality and improve access to health, insurance, and job transition services. Ensuring that marginalized workers can participate in future tourism growth will be critical to achieving equitable development (ILO, 2021; ADB, 2020). This includes targeting women-led businesses and local community-based tourism ventures for special support packages.</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Overall, this recovery framework offers Thailand an opportunity not just to rebuild, but to transform its tourism workforce into a more equitable, future-ready system. By investing in human capital, reforming </w:t>
      </w:r>
      <w:proofErr w:type="spellStart"/>
      <w:r w:rsidRPr="00BF510B">
        <w:rPr>
          <w:rFonts w:ascii="Times New Roman" w:eastAsia="Times New Roman" w:hAnsi="Times New Roman" w:cs="Times New Roman"/>
          <w:sz w:val="24"/>
          <w:szCs w:val="24"/>
        </w:rPr>
        <w:t>labour</w:t>
      </w:r>
      <w:proofErr w:type="spellEnd"/>
      <w:r w:rsidRPr="00BF510B">
        <w:rPr>
          <w:rFonts w:ascii="Times New Roman" w:eastAsia="Times New Roman" w:hAnsi="Times New Roman" w:cs="Times New Roman"/>
          <w:sz w:val="24"/>
          <w:szCs w:val="24"/>
        </w:rPr>
        <w:t xml:space="preserve"> policy, and embedding sustainability into employment models, Thailand can set a new global standard for post-crisis tourism recovery that centers worker dignity and resilience.</w:t>
      </w:r>
    </w:p>
    <w:p w:rsidR="00BF510B" w:rsidRPr="00BF510B" w:rsidRDefault="00BF510B" w:rsidP="00BF510B">
      <w:pPr>
        <w:spacing w:after="0" w:line="240" w:lineRule="auto"/>
        <w:rPr>
          <w:rFonts w:ascii="Times New Roman" w:eastAsia="Times New Roman" w:hAnsi="Times New Roman" w:cs="Times New Roman"/>
          <w:sz w:val="24"/>
          <w:szCs w:val="24"/>
        </w:rPr>
      </w:pPr>
    </w:p>
    <w:p w:rsidR="00BF510B" w:rsidRPr="00BF510B" w:rsidRDefault="00BF510B" w:rsidP="00BF510B">
      <w:pPr>
        <w:spacing w:before="100" w:beforeAutospacing="1" w:after="100" w:afterAutospacing="1" w:line="240" w:lineRule="auto"/>
        <w:outlineLvl w:val="2"/>
        <w:rPr>
          <w:rFonts w:ascii="Times New Roman" w:eastAsia="Times New Roman" w:hAnsi="Times New Roman" w:cs="Times New Roman"/>
          <w:b/>
          <w:bCs/>
          <w:sz w:val="27"/>
          <w:szCs w:val="27"/>
        </w:rPr>
      </w:pPr>
      <w:r w:rsidRPr="00BF510B">
        <w:rPr>
          <w:rFonts w:ascii="Times New Roman" w:eastAsia="Times New Roman" w:hAnsi="Times New Roman" w:cs="Times New Roman"/>
          <w:b/>
          <w:bCs/>
          <w:sz w:val="27"/>
          <w:szCs w:val="27"/>
        </w:rPr>
        <w:t>Introduction</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Thailand’s tourism industry has historically been a dominant pillar of national economic growth. In 2019 alone, the sector contributed approximately 22% of GDP and was responsible for employing around 6.1 million individuals in both formal and informal roles (WTTC, 2019). The industry’s structure ranges from high-end luxury resorts to grassroots community-run </w:t>
      </w:r>
      <w:proofErr w:type="spellStart"/>
      <w:r w:rsidRPr="00BF510B">
        <w:rPr>
          <w:rFonts w:ascii="Times New Roman" w:eastAsia="Times New Roman" w:hAnsi="Times New Roman" w:cs="Times New Roman"/>
          <w:sz w:val="24"/>
          <w:szCs w:val="24"/>
        </w:rPr>
        <w:t>homestays</w:t>
      </w:r>
      <w:proofErr w:type="spellEnd"/>
      <w:r w:rsidRPr="00BF510B">
        <w:rPr>
          <w:rFonts w:ascii="Times New Roman" w:eastAsia="Times New Roman" w:hAnsi="Times New Roman" w:cs="Times New Roman"/>
          <w:sz w:val="24"/>
          <w:szCs w:val="24"/>
        </w:rPr>
        <w:t xml:space="preserve"> and street food vendors, reflecting its socio-economic inclusivity and cultural diversity. However, this growth trajectory came at a cost, particularly in the form of over-tourism that increasingly stressed ecological systems and workforce well-being.</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The phenomenon of over-tourism, especially in areas like Bangkok, </w:t>
      </w:r>
      <w:proofErr w:type="spellStart"/>
      <w:r w:rsidRPr="00BF510B">
        <w:rPr>
          <w:rFonts w:ascii="Times New Roman" w:eastAsia="Times New Roman" w:hAnsi="Times New Roman" w:cs="Times New Roman"/>
          <w:sz w:val="24"/>
          <w:szCs w:val="24"/>
        </w:rPr>
        <w:t>Phuket</w:t>
      </w:r>
      <w:proofErr w:type="spellEnd"/>
      <w:r w:rsidRPr="00BF510B">
        <w:rPr>
          <w:rFonts w:ascii="Times New Roman" w:eastAsia="Times New Roman" w:hAnsi="Times New Roman" w:cs="Times New Roman"/>
          <w:sz w:val="24"/>
          <w:szCs w:val="24"/>
        </w:rPr>
        <w:t xml:space="preserve">, and Chiang Mai, has led to an unsustainable burden on both the environment and human capital. Workers often faced long hours, low wages, and limited upward mobility. Moreover, popular tourist hotspots suffered from overcrowding, resource depletion, and cultural dilution, diminishing the quality of both the tourist experience and the working environment (UNEP, 2018; </w:t>
      </w:r>
      <w:proofErr w:type="spellStart"/>
      <w:r w:rsidRPr="00BF510B">
        <w:rPr>
          <w:rFonts w:ascii="Times New Roman" w:eastAsia="Times New Roman" w:hAnsi="Times New Roman" w:cs="Times New Roman"/>
          <w:sz w:val="24"/>
          <w:szCs w:val="24"/>
        </w:rPr>
        <w:t>Gossling</w:t>
      </w:r>
      <w:proofErr w:type="spellEnd"/>
      <w:r w:rsidRPr="00BF510B">
        <w:rPr>
          <w:rFonts w:ascii="Times New Roman" w:eastAsia="Times New Roman" w:hAnsi="Times New Roman" w:cs="Times New Roman"/>
          <w:sz w:val="24"/>
          <w:szCs w:val="24"/>
        </w:rPr>
        <w:t xml:space="preserve"> &amp; Hall, 2020). These issues were compounded by a lack of coordinated </w:t>
      </w:r>
      <w:proofErr w:type="spellStart"/>
      <w:r w:rsidRPr="00BF510B">
        <w:rPr>
          <w:rFonts w:ascii="Times New Roman" w:eastAsia="Times New Roman" w:hAnsi="Times New Roman" w:cs="Times New Roman"/>
          <w:sz w:val="24"/>
          <w:szCs w:val="24"/>
        </w:rPr>
        <w:t>labour</w:t>
      </w:r>
      <w:proofErr w:type="spellEnd"/>
      <w:r w:rsidRPr="00BF510B">
        <w:rPr>
          <w:rFonts w:ascii="Times New Roman" w:eastAsia="Times New Roman" w:hAnsi="Times New Roman" w:cs="Times New Roman"/>
          <w:sz w:val="24"/>
          <w:szCs w:val="24"/>
        </w:rPr>
        <w:t xml:space="preserve"> policy and regulatory oversight.</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The arrival of COVID-19 in early 2020 exacerbated these existing tensions. The pandemic led to an abrupt halt in international travel, closing borders and grounding flights, resulting in the shuttering of nearly all tourism-related businesses. Estimates suggest that over 2.5 million tourism jobs were lost by the middle of 2020, with informal workers bearing the brunt of these losses due to their exclusion from formal welfare programs (ILO, 2021; ADB, 2021). The absence of a contingency plan made recovery efforts slow and uneven.</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While some urban tourism sectors managed to rebound through domestic travel incentives, rural and island economies remained vulnerable. Migrant workers and informal </w:t>
      </w:r>
      <w:proofErr w:type="spellStart"/>
      <w:r w:rsidRPr="00BF510B">
        <w:rPr>
          <w:rFonts w:ascii="Times New Roman" w:eastAsia="Times New Roman" w:hAnsi="Times New Roman" w:cs="Times New Roman"/>
          <w:sz w:val="24"/>
          <w:szCs w:val="24"/>
        </w:rPr>
        <w:t>labourers</w:t>
      </w:r>
      <w:proofErr w:type="spellEnd"/>
      <w:r w:rsidRPr="00BF510B">
        <w:rPr>
          <w:rFonts w:ascii="Times New Roman" w:eastAsia="Times New Roman" w:hAnsi="Times New Roman" w:cs="Times New Roman"/>
          <w:sz w:val="24"/>
          <w:szCs w:val="24"/>
        </w:rPr>
        <w:t xml:space="preserve"> were either repatriated or shifted back to agricultural work, creating imbalances in </w:t>
      </w:r>
      <w:proofErr w:type="spellStart"/>
      <w:r w:rsidRPr="00BF510B">
        <w:rPr>
          <w:rFonts w:ascii="Times New Roman" w:eastAsia="Times New Roman" w:hAnsi="Times New Roman" w:cs="Times New Roman"/>
          <w:sz w:val="24"/>
          <w:szCs w:val="24"/>
        </w:rPr>
        <w:t>labour</w:t>
      </w:r>
      <w:proofErr w:type="spellEnd"/>
      <w:r w:rsidRPr="00BF510B">
        <w:rPr>
          <w:rFonts w:ascii="Times New Roman" w:eastAsia="Times New Roman" w:hAnsi="Times New Roman" w:cs="Times New Roman"/>
          <w:sz w:val="24"/>
          <w:szCs w:val="24"/>
        </w:rPr>
        <w:t xml:space="preserve"> distribution and capacity (ILO, 2020). These dynamics underscored the need for a tourism employment strategy that promotes decentralization and inclusive development, ensuring that rural and indigenous communities also benefit from tourism revenues.</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lastRenderedPageBreak/>
        <w:t xml:space="preserve">Thailand’s recovery must now be viewed not just as an economic imperative, but as an opportunity for structural transformation. This includes embedding environmental sustainability, </w:t>
      </w:r>
      <w:proofErr w:type="spellStart"/>
      <w:r w:rsidRPr="00BF510B">
        <w:rPr>
          <w:rFonts w:ascii="Times New Roman" w:eastAsia="Times New Roman" w:hAnsi="Times New Roman" w:cs="Times New Roman"/>
          <w:sz w:val="24"/>
          <w:szCs w:val="24"/>
        </w:rPr>
        <w:t>labour</w:t>
      </w:r>
      <w:proofErr w:type="spellEnd"/>
      <w:r w:rsidRPr="00BF510B">
        <w:rPr>
          <w:rFonts w:ascii="Times New Roman" w:eastAsia="Times New Roman" w:hAnsi="Times New Roman" w:cs="Times New Roman"/>
          <w:sz w:val="24"/>
          <w:szCs w:val="24"/>
        </w:rPr>
        <w:t xml:space="preserve"> dignity, and technological innovation at the heart of tourism workforce planning. By learning from global best practices and addressing domestic vulnerabilities, Thailand can position itself as a model of post-crisis tourism reform (UNWTO, 2022; OECD, 2021).</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The following sections of this paper elaborate on the pre-crisis conditions of the tourism </w:t>
      </w:r>
      <w:proofErr w:type="spellStart"/>
      <w:r w:rsidRPr="00BF510B">
        <w:rPr>
          <w:rFonts w:ascii="Times New Roman" w:eastAsia="Times New Roman" w:hAnsi="Times New Roman" w:cs="Times New Roman"/>
          <w:sz w:val="24"/>
          <w:szCs w:val="24"/>
        </w:rPr>
        <w:t>labour</w:t>
      </w:r>
      <w:proofErr w:type="spellEnd"/>
      <w:r w:rsidRPr="00BF510B">
        <w:rPr>
          <w:rFonts w:ascii="Times New Roman" w:eastAsia="Times New Roman" w:hAnsi="Times New Roman" w:cs="Times New Roman"/>
          <w:sz w:val="24"/>
          <w:szCs w:val="24"/>
        </w:rPr>
        <w:t xml:space="preserve"> force, assess the multi-layered impact of the pandemic, and draw on international case studies to propose a holistic workforce recovery plan for Thailand. The methodology combines field-level data with policy review and expert insights to offer a grounded, evidence-based response.</w:t>
      </w:r>
    </w:p>
    <w:p w:rsidR="00BF510B" w:rsidRPr="00BF510B" w:rsidRDefault="00BF510B" w:rsidP="00BF510B">
      <w:pPr>
        <w:spacing w:after="0" w:line="240" w:lineRule="auto"/>
        <w:rPr>
          <w:rFonts w:ascii="Times New Roman" w:eastAsia="Times New Roman" w:hAnsi="Times New Roman" w:cs="Times New Roman"/>
          <w:sz w:val="24"/>
          <w:szCs w:val="24"/>
        </w:rPr>
      </w:pPr>
    </w:p>
    <w:p w:rsidR="00BF510B" w:rsidRPr="00BF510B" w:rsidRDefault="00BF510B" w:rsidP="00BF510B">
      <w:pPr>
        <w:spacing w:before="100" w:beforeAutospacing="1" w:after="100" w:afterAutospacing="1" w:line="240" w:lineRule="auto"/>
        <w:outlineLvl w:val="2"/>
        <w:rPr>
          <w:rFonts w:ascii="Times New Roman" w:eastAsia="Times New Roman" w:hAnsi="Times New Roman" w:cs="Times New Roman"/>
          <w:b/>
          <w:bCs/>
          <w:sz w:val="27"/>
          <w:szCs w:val="27"/>
        </w:rPr>
      </w:pPr>
      <w:r w:rsidRPr="00BF510B">
        <w:rPr>
          <w:rFonts w:ascii="Times New Roman" w:eastAsia="Times New Roman" w:hAnsi="Times New Roman" w:cs="Times New Roman"/>
          <w:b/>
          <w:bCs/>
          <w:sz w:val="27"/>
          <w:szCs w:val="27"/>
        </w:rPr>
        <w:t>Literature Review</w:t>
      </w:r>
    </w:p>
    <w:p w:rsidR="00BF510B" w:rsidRPr="00BF510B" w:rsidRDefault="00BF510B" w:rsidP="00BF510B">
      <w:pPr>
        <w:spacing w:before="100" w:beforeAutospacing="1" w:after="100" w:afterAutospacing="1" w:line="240" w:lineRule="auto"/>
        <w:outlineLvl w:val="3"/>
        <w:rPr>
          <w:rFonts w:ascii="Times New Roman" w:eastAsia="Times New Roman" w:hAnsi="Times New Roman" w:cs="Times New Roman"/>
          <w:b/>
          <w:bCs/>
          <w:sz w:val="24"/>
          <w:szCs w:val="24"/>
        </w:rPr>
      </w:pPr>
      <w:r w:rsidRPr="00BF510B">
        <w:rPr>
          <w:rFonts w:ascii="Times New Roman" w:eastAsia="Times New Roman" w:hAnsi="Times New Roman" w:cs="Times New Roman"/>
          <w:b/>
          <w:bCs/>
          <w:sz w:val="24"/>
          <w:szCs w:val="24"/>
        </w:rPr>
        <w:t>1. Pre-COVID and Over-Tourism Workforce Conditions</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Prior to the pandemic, Thailand’s tourism workforce was a mosaic of formal hotel staff, informal transport providers, food vendors, and massage therapists, many of whom were concentrated in tourism-heavy zones. A significant proportion of these workers operated without contracts, minimum wage guarantees, or health insurance (ADB, 2020; ILO, 2019). The absence of regulatory enforcement in highly trafficked regions like </w:t>
      </w:r>
      <w:proofErr w:type="spellStart"/>
      <w:r w:rsidRPr="00BF510B">
        <w:rPr>
          <w:rFonts w:ascii="Times New Roman" w:eastAsia="Times New Roman" w:hAnsi="Times New Roman" w:cs="Times New Roman"/>
          <w:sz w:val="24"/>
          <w:szCs w:val="24"/>
        </w:rPr>
        <w:t>Pattaya</w:t>
      </w:r>
      <w:proofErr w:type="spellEnd"/>
      <w:r w:rsidRPr="00BF510B">
        <w:rPr>
          <w:rFonts w:ascii="Times New Roman" w:eastAsia="Times New Roman" w:hAnsi="Times New Roman" w:cs="Times New Roman"/>
          <w:sz w:val="24"/>
          <w:szCs w:val="24"/>
        </w:rPr>
        <w:t xml:space="preserve"> and </w:t>
      </w:r>
      <w:proofErr w:type="spellStart"/>
      <w:r w:rsidRPr="00BF510B">
        <w:rPr>
          <w:rFonts w:ascii="Times New Roman" w:eastAsia="Times New Roman" w:hAnsi="Times New Roman" w:cs="Times New Roman"/>
          <w:sz w:val="24"/>
          <w:szCs w:val="24"/>
        </w:rPr>
        <w:t>Ao</w:t>
      </w:r>
      <w:proofErr w:type="spellEnd"/>
      <w:r w:rsidRPr="00BF510B">
        <w:rPr>
          <w:rFonts w:ascii="Times New Roman" w:eastAsia="Times New Roman" w:hAnsi="Times New Roman" w:cs="Times New Roman"/>
          <w:sz w:val="24"/>
          <w:szCs w:val="24"/>
        </w:rPr>
        <w:t xml:space="preserve"> Nang created </w:t>
      </w:r>
      <w:proofErr w:type="spellStart"/>
      <w:r w:rsidRPr="00BF510B">
        <w:rPr>
          <w:rFonts w:ascii="Times New Roman" w:eastAsia="Times New Roman" w:hAnsi="Times New Roman" w:cs="Times New Roman"/>
          <w:sz w:val="24"/>
          <w:szCs w:val="24"/>
        </w:rPr>
        <w:t>labour</w:t>
      </w:r>
      <w:proofErr w:type="spellEnd"/>
      <w:r w:rsidRPr="00BF510B">
        <w:rPr>
          <w:rFonts w:ascii="Times New Roman" w:eastAsia="Times New Roman" w:hAnsi="Times New Roman" w:cs="Times New Roman"/>
          <w:sz w:val="24"/>
          <w:szCs w:val="24"/>
        </w:rPr>
        <w:t xml:space="preserve"> environments characterized by job insecurity and exploitative conditions.</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In destinations such as </w:t>
      </w:r>
      <w:proofErr w:type="spellStart"/>
      <w:r w:rsidRPr="00BF510B">
        <w:rPr>
          <w:rFonts w:ascii="Times New Roman" w:eastAsia="Times New Roman" w:hAnsi="Times New Roman" w:cs="Times New Roman"/>
          <w:sz w:val="24"/>
          <w:szCs w:val="24"/>
        </w:rPr>
        <w:t>Phuket</w:t>
      </w:r>
      <w:proofErr w:type="spellEnd"/>
      <w:r w:rsidRPr="00BF510B">
        <w:rPr>
          <w:rFonts w:ascii="Times New Roman" w:eastAsia="Times New Roman" w:hAnsi="Times New Roman" w:cs="Times New Roman"/>
          <w:sz w:val="24"/>
          <w:szCs w:val="24"/>
        </w:rPr>
        <w:t xml:space="preserve"> and Chiang Mai, over-tourism led to inflated costs of living, environmental degradation, and competition for limited public services. The carrying capacity of these regions was frequently breached, resulting in workforce burnout and community resentment toward the industry. These issues were further amplified by the </w:t>
      </w:r>
      <w:proofErr w:type="spellStart"/>
      <w:r w:rsidRPr="00BF510B">
        <w:rPr>
          <w:rFonts w:ascii="Times New Roman" w:eastAsia="Times New Roman" w:hAnsi="Times New Roman" w:cs="Times New Roman"/>
          <w:sz w:val="24"/>
          <w:szCs w:val="24"/>
        </w:rPr>
        <w:t>commodification</w:t>
      </w:r>
      <w:proofErr w:type="spellEnd"/>
      <w:r w:rsidRPr="00BF510B">
        <w:rPr>
          <w:rFonts w:ascii="Times New Roman" w:eastAsia="Times New Roman" w:hAnsi="Times New Roman" w:cs="Times New Roman"/>
          <w:sz w:val="24"/>
          <w:szCs w:val="24"/>
        </w:rPr>
        <w:t xml:space="preserve"> of culture, where traditional rituals and crafts were re-packaged to meet tourist expectations, undermining their authenticity (UNEP, 2018; Cohen, 2019). Such trends revealed a tourism model focused on profit over people.</w:t>
      </w:r>
    </w:p>
    <w:p w:rsidR="00BF510B" w:rsidRPr="00BF510B" w:rsidRDefault="00BF510B" w:rsidP="00BF510B">
      <w:pPr>
        <w:spacing w:before="100" w:beforeAutospacing="1" w:after="100" w:afterAutospacing="1" w:line="240" w:lineRule="auto"/>
        <w:outlineLvl w:val="3"/>
        <w:rPr>
          <w:rFonts w:ascii="Times New Roman" w:eastAsia="Times New Roman" w:hAnsi="Times New Roman" w:cs="Times New Roman"/>
          <w:b/>
          <w:bCs/>
          <w:sz w:val="24"/>
          <w:szCs w:val="24"/>
        </w:rPr>
      </w:pPr>
      <w:r w:rsidRPr="00BF510B">
        <w:rPr>
          <w:rFonts w:ascii="Times New Roman" w:eastAsia="Times New Roman" w:hAnsi="Times New Roman" w:cs="Times New Roman"/>
          <w:b/>
          <w:bCs/>
          <w:sz w:val="24"/>
          <w:szCs w:val="24"/>
        </w:rPr>
        <w:t>2. Impact of the COVID-19 Pandemic</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The onset of COVID-19 abruptly halted international tourism and triggered a humanitarian and economic crisis across Thailand’s tourism workforce. By June 2020, the sector had shed more than 2.5 million jobs, many of which were held by unregistered and informal workers (ILO, 2021). These individuals were excluded from state-sponsored relief, forcing many to return to their home provinces and switch to subsistence agriculture or informal gig work.</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Women and elderly workers faced particularly harsh outcomes during the crisis. As hotels, spas, and entertainment venues closed, female workers experienced disproportionate layoffs due to their concentration in customer-facing, non-essential roles. Meanwhile, many older workers lacked digital skills and were unable to transition into online tourism jobs such as virtual guides or remote bookings (ADB, 2021; UN Women, 2020). The loss of income had cascading effects on family welfare, education, and health.</w:t>
      </w:r>
    </w:p>
    <w:p w:rsidR="00BF510B" w:rsidRPr="00BF510B" w:rsidRDefault="00BF510B" w:rsidP="00BF510B">
      <w:pPr>
        <w:spacing w:before="100" w:beforeAutospacing="1" w:after="100" w:afterAutospacing="1" w:line="240" w:lineRule="auto"/>
        <w:outlineLvl w:val="3"/>
        <w:rPr>
          <w:rFonts w:ascii="Times New Roman" w:eastAsia="Times New Roman" w:hAnsi="Times New Roman" w:cs="Times New Roman"/>
          <w:b/>
          <w:bCs/>
          <w:sz w:val="24"/>
          <w:szCs w:val="24"/>
        </w:rPr>
      </w:pPr>
      <w:r w:rsidRPr="00BF510B">
        <w:rPr>
          <w:rFonts w:ascii="Times New Roman" w:eastAsia="Times New Roman" w:hAnsi="Times New Roman" w:cs="Times New Roman"/>
          <w:b/>
          <w:bCs/>
          <w:sz w:val="24"/>
          <w:szCs w:val="24"/>
        </w:rPr>
        <w:lastRenderedPageBreak/>
        <w:t>3. Workforce Vulnerabilities</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Thailand’s tourism sector has historically been vulnerable due to its dependence on a few primary source markets—mainly China and Europe. When flights were canceled or restrictions imposed in these regions, the entire tourism economy stalled, exposing the dangers of a narrow customer base (TAT, 2020). Diversification in both tourist origin and workforce capacity had been neglected in pre-crisis planning.</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Informality remained a chronic issue, with estimates suggesting that up to 60% of tourism workers operated without contracts, insurance, or pension benefits (ADB, 2020). Such informality undermines data-driven policymaking and weakens emergency response frameworks. Additionally, workplace discrimination based on gender, age, and migrant status was prevalent, often going unaddressed due to weak enforcement of </w:t>
      </w:r>
      <w:proofErr w:type="spellStart"/>
      <w:r w:rsidRPr="00BF510B">
        <w:rPr>
          <w:rFonts w:ascii="Times New Roman" w:eastAsia="Times New Roman" w:hAnsi="Times New Roman" w:cs="Times New Roman"/>
          <w:sz w:val="24"/>
          <w:szCs w:val="24"/>
        </w:rPr>
        <w:t>labour</w:t>
      </w:r>
      <w:proofErr w:type="spellEnd"/>
      <w:r w:rsidRPr="00BF510B">
        <w:rPr>
          <w:rFonts w:ascii="Times New Roman" w:eastAsia="Times New Roman" w:hAnsi="Times New Roman" w:cs="Times New Roman"/>
          <w:sz w:val="24"/>
          <w:szCs w:val="24"/>
        </w:rPr>
        <w:t xml:space="preserve"> laws (ILO, 2019; UNDP, 2021).</w:t>
      </w:r>
    </w:p>
    <w:p w:rsidR="00BF510B" w:rsidRPr="00BF510B" w:rsidRDefault="00BF510B" w:rsidP="00BF510B">
      <w:pPr>
        <w:spacing w:before="100" w:beforeAutospacing="1" w:after="100" w:afterAutospacing="1" w:line="240" w:lineRule="auto"/>
        <w:outlineLvl w:val="3"/>
        <w:rPr>
          <w:rFonts w:ascii="Times New Roman" w:eastAsia="Times New Roman" w:hAnsi="Times New Roman" w:cs="Times New Roman"/>
          <w:b/>
          <w:bCs/>
          <w:sz w:val="24"/>
          <w:szCs w:val="24"/>
        </w:rPr>
      </w:pPr>
      <w:r w:rsidRPr="00BF510B">
        <w:rPr>
          <w:rFonts w:ascii="Times New Roman" w:eastAsia="Times New Roman" w:hAnsi="Times New Roman" w:cs="Times New Roman"/>
          <w:b/>
          <w:bCs/>
          <w:sz w:val="24"/>
          <w:szCs w:val="24"/>
        </w:rPr>
        <w:t>4. Global Recovery and Transition Models</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Internationally, countries like Singapore and Bhutan have embraced sustainability-oriented recovery plans that focus on quality over quantity. Singapore, for instance, implemented a Smart Tourism Talent Program that emphasizes digital literacy, while Bhutan’s low-volume tourism strategy prioritizes environmental harmony and cultural integrity (UNWTO, 2021; OECD, 2021). These examples show that reducing tourist numbers does not necessarily mean sacrificing revenue if worker conditions and service quality improve.</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Portugal offers another instructive case, having launched a “Clean &amp; Safe” label that helped build tourist trust post-pandemic while investing in workforce health and training. These recovery frameworks highlight the importance of integrating green jobs, welfare reform, and innovation in tourism planning. They provide valuable lessons for Thailand in restructuring its workforce and transitioning to a more inclusive and future-proof tourism economy (ILO, 2021; WTTC, 2021).</w:t>
      </w:r>
    </w:p>
    <w:p w:rsidR="00BF510B" w:rsidRPr="00BF510B" w:rsidRDefault="00BF510B" w:rsidP="00BF510B">
      <w:pPr>
        <w:spacing w:after="0" w:line="240" w:lineRule="auto"/>
        <w:rPr>
          <w:rFonts w:ascii="Times New Roman" w:eastAsia="Times New Roman" w:hAnsi="Times New Roman" w:cs="Times New Roman"/>
          <w:sz w:val="24"/>
          <w:szCs w:val="24"/>
        </w:rPr>
      </w:pPr>
    </w:p>
    <w:p w:rsidR="00BF510B" w:rsidRPr="00BF510B" w:rsidRDefault="00BF510B" w:rsidP="00BF510B">
      <w:pPr>
        <w:spacing w:before="100" w:beforeAutospacing="1" w:after="100" w:afterAutospacing="1" w:line="240" w:lineRule="auto"/>
        <w:outlineLvl w:val="2"/>
        <w:rPr>
          <w:rFonts w:ascii="Times New Roman" w:eastAsia="Times New Roman" w:hAnsi="Times New Roman" w:cs="Times New Roman"/>
          <w:b/>
          <w:bCs/>
          <w:sz w:val="27"/>
          <w:szCs w:val="27"/>
        </w:rPr>
      </w:pPr>
      <w:r w:rsidRPr="00BF510B">
        <w:rPr>
          <w:rFonts w:ascii="Times New Roman" w:eastAsia="Times New Roman" w:hAnsi="Times New Roman" w:cs="Times New Roman"/>
          <w:b/>
          <w:bCs/>
          <w:sz w:val="27"/>
          <w:szCs w:val="27"/>
        </w:rPr>
        <w:t>Methodology</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The research methodology utilized in this report follows a mixed-methods approach that integrates both qualitative and quantitative data sources. Key data was gathered from government publications, academic databases, and firsthand interviews with stakeholders in the tourism sector. This approach ensures that the proposed recovery framework is grounded in empirical evidence and real-world insights.</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Primary data was obtained from the Ministry of </w:t>
      </w:r>
      <w:proofErr w:type="spellStart"/>
      <w:r w:rsidRPr="00BF510B">
        <w:rPr>
          <w:rFonts w:ascii="Times New Roman" w:eastAsia="Times New Roman" w:hAnsi="Times New Roman" w:cs="Times New Roman"/>
          <w:sz w:val="24"/>
          <w:szCs w:val="24"/>
        </w:rPr>
        <w:t>Labour</w:t>
      </w:r>
      <w:proofErr w:type="spellEnd"/>
      <w:r w:rsidRPr="00BF510B">
        <w:rPr>
          <w:rFonts w:ascii="Times New Roman" w:eastAsia="Times New Roman" w:hAnsi="Times New Roman" w:cs="Times New Roman"/>
          <w:sz w:val="24"/>
          <w:szCs w:val="24"/>
        </w:rPr>
        <w:t xml:space="preserve"> and the Tourism Authority of Thailand (TAT), which provided statistical overviews of employment trends, job losses, and regional </w:t>
      </w:r>
      <w:proofErr w:type="spellStart"/>
      <w:r w:rsidRPr="00BF510B">
        <w:rPr>
          <w:rFonts w:ascii="Times New Roman" w:eastAsia="Times New Roman" w:hAnsi="Times New Roman" w:cs="Times New Roman"/>
          <w:sz w:val="24"/>
          <w:szCs w:val="24"/>
        </w:rPr>
        <w:t>labour</w:t>
      </w:r>
      <w:proofErr w:type="spellEnd"/>
      <w:r w:rsidRPr="00BF510B">
        <w:rPr>
          <w:rFonts w:ascii="Times New Roman" w:eastAsia="Times New Roman" w:hAnsi="Times New Roman" w:cs="Times New Roman"/>
          <w:sz w:val="24"/>
          <w:szCs w:val="24"/>
        </w:rPr>
        <w:t xml:space="preserve"> distribution during the COVID-19 period. Their reports also helped identify the sectors and provinces most affected by the pandemic. These datasets were cross-referenced with ILO and ADB </w:t>
      </w:r>
      <w:proofErr w:type="spellStart"/>
      <w:r w:rsidRPr="00BF510B">
        <w:rPr>
          <w:rFonts w:ascii="Times New Roman" w:eastAsia="Times New Roman" w:hAnsi="Times New Roman" w:cs="Times New Roman"/>
          <w:sz w:val="24"/>
          <w:szCs w:val="24"/>
        </w:rPr>
        <w:t>labour</w:t>
      </w:r>
      <w:proofErr w:type="spellEnd"/>
      <w:r w:rsidRPr="00BF510B">
        <w:rPr>
          <w:rFonts w:ascii="Times New Roman" w:eastAsia="Times New Roman" w:hAnsi="Times New Roman" w:cs="Times New Roman"/>
          <w:sz w:val="24"/>
          <w:szCs w:val="24"/>
        </w:rPr>
        <w:t xml:space="preserve"> market assessments to ensure validity and accuracy (ILO, 2020; ADB, 2021).</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lastRenderedPageBreak/>
        <w:t>In addition to official statistics, field interviews were conducted with local tourism workers, NGO representatives, and union leaders. These interviews shed light on the lived experiences of informal workers, gender disparities, and the practical challenges of accessing government aid during the pandemic. This qualitative component was crucial in revealing gaps in the formal relief systems and highlighting opportunities for community-based recovery (UNDP, 2021).</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Academic literature played a significant role in framing the structural issues around over-tourism and post-crisis recovery. Journals focused on tourism management, sustainability, and </w:t>
      </w:r>
      <w:proofErr w:type="spellStart"/>
      <w:r w:rsidRPr="00BF510B">
        <w:rPr>
          <w:rFonts w:ascii="Times New Roman" w:eastAsia="Times New Roman" w:hAnsi="Times New Roman" w:cs="Times New Roman"/>
          <w:sz w:val="24"/>
          <w:szCs w:val="24"/>
        </w:rPr>
        <w:t>labour</w:t>
      </w:r>
      <w:proofErr w:type="spellEnd"/>
      <w:r w:rsidRPr="00BF510B">
        <w:rPr>
          <w:rFonts w:ascii="Times New Roman" w:eastAsia="Times New Roman" w:hAnsi="Times New Roman" w:cs="Times New Roman"/>
          <w:sz w:val="24"/>
          <w:szCs w:val="24"/>
        </w:rPr>
        <w:t xml:space="preserve"> economics provided theoretical foundations and international case comparisons. These sources informed the analysis of Thailand’s vulnerabilities and the evaluation of alternative tourism models (</w:t>
      </w:r>
      <w:proofErr w:type="spellStart"/>
      <w:r w:rsidRPr="00BF510B">
        <w:rPr>
          <w:rFonts w:ascii="Times New Roman" w:eastAsia="Times New Roman" w:hAnsi="Times New Roman" w:cs="Times New Roman"/>
          <w:sz w:val="24"/>
          <w:szCs w:val="24"/>
        </w:rPr>
        <w:t>Gossling</w:t>
      </w:r>
      <w:proofErr w:type="spellEnd"/>
      <w:r w:rsidRPr="00BF510B">
        <w:rPr>
          <w:rFonts w:ascii="Times New Roman" w:eastAsia="Times New Roman" w:hAnsi="Times New Roman" w:cs="Times New Roman"/>
          <w:sz w:val="24"/>
          <w:szCs w:val="24"/>
        </w:rPr>
        <w:t xml:space="preserve"> et al., 2021; Cohen, 2019).</w:t>
      </w:r>
    </w:p>
    <w:p w:rsidR="00BF510B" w:rsidRPr="00BF510B" w:rsidRDefault="00BF510B" w:rsidP="00BF510B">
      <w:p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Lastly, the framework of this recovery strategy draws on the ILO’s “Recovery with Equity” principles and the UNWTO’s “Restart Tourism” agenda. These global frameworks offer benchmarks for inclusive </w:t>
      </w:r>
      <w:proofErr w:type="spellStart"/>
      <w:r w:rsidRPr="00BF510B">
        <w:rPr>
          <w:rFonts w:ascii="Times New Roman" w:eastAsia="Times New Roman" w:hAnsi="Times New Roman" w:cs="Times New Roman"/>
          <w:sz w:val="24"/>
          <w:szCs w:val="24"/>
        </w:rPr>
        <w:t>labour</w:t>
      </w:r>
      <w:proofErr w:type="spellEnd"/>
      <w:r w:rsidRPr="00BF510B">
        <w:rPr>
          <w:rFonts w:ascii="Times New Roman" w:eastAsia="Times New Roman" w:hAnsi="Times New Roman" w:cs="Times New Roman"/>
          <w:sz w:val="24"/>
          <w:szCs w:val="24"/>
        </w:rPr>
        <w:t xml:space="preserve"> market transitions and stress the importance of stakeholder collaboration. The use of these frameworks helps align the national strategy with global standards in ethical and sustainable tourism recovery (UNWTO, 2022; ILO, 2021).</w:t>
      </w:r>
    </w:p>
    <w:p w:rsidR="00A02123" w:rsidRDefault="00A02123" w:rsidP="008D4A0A">
      <w:pPr>
        <w:spacing w:before="100" w:beforeAutospacing="1" w:after="100" w:afterAutospacing="1" w:line="240" w:lineRule="auto"/>
        <w:outlineLvl w:val="2"/>
        <w:rPr>
          <w:rFonts w:ascii="Times New Roman" w:eastAsia="Times New Roman" w:hAnsi="Times New Roman" w:cs="Times New Roman"/>
          <w:sz w:val="24"/>
          <w:szCs w:val="24"/>
        </w:rPr>
      </w:pPr>
    </w:p>
    <w:p w:rsidR="008D4A0A" w:rsidRPr="008D4A0A" w:rsidRDefault="008D4A0A" w:rsidP="008D4A0A">
      <w:pPr>
        <w:spacing w:before="100" w:beforeAutospacing="1" w:after="100" w:afterAutospacing="1" w:line="240" w:lineRule="auto"/>
        <w:outlineLvl w:val="2"/>
        <w:rPr>
          <w:rFonts w:ascii="Times New Roman" w:eastAsia="Times New Roman" w:hAnsi="Times New Roman" w:cs="Times New Roman"/>
          <w:b/>
          <w:bCs/>
          <w:sz w:val="27"/>
          <w:szCs w:val="27"/>
        </w:rPr>
      </w:pPr>
      <w:r w:rsidRPr="008D4A0A">
        <w:rPr>
          <w:rFonts w:ascii="Times New Roman" w:eastAsia="Times New Roman" w:hAnsi="Times New Roman" w:cs="Times New Roman"/>
          <w:b/>
          <w:bCs/>
          <w:sz w:val="27"/>
          <w:szCs w:val="27"/>
        </w:rPr>
        <w:t>Findings</w:t>
      </w:r>
    </w:p>
    <w:p w:rsidR="008D4A0A" w:rsidRPr="008D4A0A" w:rsidRDefault="008D4A0A" w:rsidP="008D4A0A">
      <w:pPr>
        <w:spacing w:before="100" w:beforeAutospacing="1" w:after="100" w:afterAutospacing="1" w:line="240" w:lineRule="auto"/>
        <w:outlineLvl w:val="3"/>
        <w:rPr>
          <w:rFonts w:ascii="Times New Roman" w:eastAsia="Times New Roman" w:hAnsi="Times New Roman" w:cs="Times New Roman"/>
          <w:b/>
          <w:bCs/>
          <w:sz w:val="24"/>
          <w:szCs w:val="24"/>
        </w:rPr>
      </w:pPr>
      <w:r w:rsidRPr="008D4A0A">
        <w:rPr>
          <w:rFonts w:ascii="Times New Roman" w:eastAsia="Times New Roman" w:hAnsi="Times New Roman" w:cs="Times New Roman"/>
          <w:b/>
          <w:bCs/>
          <w:sz w:val="24"/>
          <w:szCs w:val="24"/>
        </w:rPr>
        <w:t>1. Employment Disruption Overview</w:t>
      </w:r>
    </w:p>
    <w:tbl>
      <w:tblPr>
        <w:tblW w:w="0" w:type="auto"/>
        <w:tblCellSpacing w:w="15" w:type="dxa"/>
        <w:tblCellMar>
          <w:top w:w="15" w:type="dxa"/>
          <w:left w:w="15" w:type="dxa"/>
          <w:bottom w:w="15" w:type="dxa"/>
          <w:right w:w="15" w:type="dxa"/>
        </w:tblCellMar>
        <w:tblLook w:val="04A0"/>
      </w:tblPr>
      <w:tblGrid>
        <w:gridCol w:w="2295"/>
        <w:gridCol w:w="1260"/>
        <w:gridCol w:w="1927"/>
        <w:gridCol w:w="1282"/>
      </w:tblGrid>
      <w:tr w:rsidR="008D4A0A" w:rsidRPr="008D4A0A" w:rsidTr="008D4A0A">
        <w:trPr>
          <w:tblHeader/>
          <w:tblCellSpacing w:w="15" w:type="dxa"/>
        </w:trPr>
        <w:tc>
          <w:tcPr>
            <w:tcW w:w="0" w:type="auto"/>
            <w:vAlign w:val="center"/>
            <w:hideMark/>
          </w:tcPr>
          <w:p w:rsidR="008D4A0A" w:rsidRPr="008D4A0A" w:rsidRDefault="008D4A0A" w:rsidP="008D4A0A">
            <w:pPr>
              <w:spacing w:after="0" w:line="240" w:lineRule="auto"/>
              <w:jc w:val="center"/>
              <w:rPr>
                <w:rFonts w:ascii="Times New Roman" w:eastAsia="Times New Roman" w:hAnsi="Times New Roman" w:cs="Times New Roman"/>
                <w:b/>
                <w:bCs/>
                <w:sz w:val="24"/>
                <w:szCs w:val="24"/>
              </w:rPr>
            </w:pPr>
            <w:r w:rsidRPr="008D4A0A">
              <w:rPr>
                <w:rFonts w:ascii="Times New Roman" w:eastAsia="Times New Roman" w:hAnsi="Times New Roman" w:cs="Times New Roman"/>
                <w:b/>
                <w:bCs/>
                <w:sz w:val="24"/>
                <w:szCs w:val="24"/>
              </w:rPr>
              <w:t>Indicator</w:t>
            </w:r>
          </w:p>
        </w:tc>
        <w:tc>
          <w:tcPr>
            <w:tcW w:w="0" w:type="auto"/>
            <w:vAlign w:val="center"/>
            <w:hideMark/>
          </w:tcPr>
          <w:p w:rsidR="008D4A0A" w:rsidRPr="008D4A0A" w:rsidRDefault="008D4A0A" w:rsidP="008D4A0A">
            <w:pPr>
              <w:spacing w:after="0" w:line="240" w:lineRule="auto"/>
              <w:jc w:val="center"/>
              <w:rPr>
                <w:rFonts w:ascii="Times New Roman" w:eastAsia="Times New Roman" w:hAnsi="Times New Roman" w:cs="Times New Roman"/>
                <w:b/>
                <w:bCs/>
                <w:sz w:val="24"/>
                <w:szCs w:val="24"/>
              </w:rPr>
            </w:pPr>
            <w:r w:rsidRPr="008D4A0A">
              <w:rPr>
                <w:rFonts w:ascii="Times New Roman" w:eastAsia="Times New Roman" w:hAnsi="Times New Roman" w:cs="Times New Roman"/>
                <w:b/>
                <w:bCs/>
                <w:sz w:val="24"/>
                <w:szCs w:val="24"/>
              </w:rPr>
              <w:t>2019</w:t>
            </w:r>
          </w:p>
        </w:tc>
        <w:tc>
          <w:tcPr>
            <w:tcW w:w="0" w:type="auto"/>
            <w:vAlign w:val="center"/>
            <w:hideMark/>
          </w:tcPr>
          <w:p w:rsidR="008D4A0A" w:rsidRPr="008D4A0A" w:rsidRDefault="008D4A0A" w:rsidP="008D4A0A">
            <w:pPr>
              <w:spacing w:after="0" w:line="240" w:lineRule="auto"/>
              <w:jc w:val="center"/>
              <w:rPr>
                <w:rFonts w:ascii="Times New Roman" w:eastAsia="Times New Roman" w:hAnsi="Times New Roman" w:cs="Times New Roman"/>
                <w:b/>
                <w:bCs/>
                <w:sz w:val="24"/>
                <w:szCs w:val="24"/>
              </w:rPr>
            </w:pPr>
            <w:r w:rsidRPr="008D4A0A">
              <w:rPr>
                <w:rFonts w:ascii="Times New Roman" w:eastAsia="Times New Roman" w:hAnsi="Times New Roman" w:cs="Times New Roman"/>
                <w:b/>
                <w:bCs/>
                <w:sz w:val="24"/>
                <w:szCs w:val="24"/>
              </w:rPr>
              <w:t>2020 (Crisis Peak)</w:t>
            </w:r>
          </w:p>
        </w:tc>
        <w:tc>
          <w:tcPr>
            <w:tcW w:w="0" w:type="auto"/>
            <w:vAlign w:val="center"/>
            <w:hideMark/>
          </w:tcPr>
          <w:p w:rsidR="008D4A0A" w:rsidRPr="008D4A0A" w:rsidRDefault="008D4A0A" w:rsidP="008D4A0A">
            <w:pPr>
              <w:spacing w:after="0" w:line="240" w:lineRule="auto"/>
              <w:jc w:val="center"/>
              <w:rPr>
                <w:rFonts w:ascii="Times New Roman" w:eastAsia="Times New Roman" w:hAnsi="Times New Roman" w:cs="Times New Roman"/>
                <w:b/>
                <w:bCs/>
                <w:sz w:val="24"/>
                <w:szCs w:val="24"/>
              </w:rPr>
            </w:pPr>
            <w:r w:rsidRPr="008D4A0A">
              <w:rPr>
                <w:rFonts w:ascii="Times New Roman" w:eastAsia="Times New Roman" w:hAnsi="Times New Roman" w:cs="Times New Roman"/>
                <w:b/>
                <w:bCs/>
                <w:sz w:val="24"/>
                <w:szCs w:val="24"/>
              </w:rPr>
              <w:t>2023</w:t>
            </w:r>
          </w:p>
        </w:tc>
      </w:tr>
      <w:tr w:rsidR="008D4A0A" w:rsidRPr="008D4A0A" w:rsidTr="008D4A0A">
        <w:trPr>
          <w:tblCellSpacing w:w="15" w:type="dxa"/>
        </w:trPr>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Total Tourism Jobs</w:t>
            </w:r>
          </w:p>
        </w:tc>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~6 million</w:t>
            </w:r>
          </w:p>
        </w:tc>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~3.2 million</w:t>
            </w:r>
          </w:p>
        </w:tc>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~4.7 million</w:t>
            </w:r>
          </w:p>
        </w:tc>
      </w:tr>
      <w:tr w:rsidR="008D4A0A" w:rsidRPr="008D4A0A" w:rsidTr="008D4A0A">
        <w:trPr>
          <w:tblCellSpacing w:w="15" w:type="dxa"/>
        </w:trPr>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Informality Rate</w:t>
            </w:r>
          </w:p>
        </w:tc>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58%</w:t>
            </w:r>
          </w:p>
        </w:tc>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66%</w:t>
            </w:r>
          </w:p>
        </w:tc>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60%</w:t>
            </w:r>
          </w:p>
        </w:tc>
      </w:tr>
      <w:tr w:rsidR="008D4A0A" w:rsidRPr="008D4A0A" w:rsidTr="008D4A0A">
        <w:trPr>
          <w:tblCellSpacing w:w="15" w:type="dxa"/>
        </w:trPr>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Women’s Participation</w:t>
            </w:r>
          </w:p>
        </w:tc>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54%</w:t>
            </w:r>
          </w:p>
        </w:tc>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39%</w:t>
            </w:r>
          </w:p>
        </w:tc>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47%</w:t>
            </w:r>
          </w:p>
        </w:tc>
      </w:tr>
      <w:tr w:rsidR="008D4A0A" w:rsidRPr="008D4A0A" w:rsidTr="008D4A0A">
        <w:trPr>
          <w:tblCellSpacing w:w="15" w:type="dxa"/>
        </w:trPr>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SME Participation</w:t>
            </w:r>
          </w:p>
        </w:tc>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High</w:t>
            </w:r>
          </w:p>
        </w:tc>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Moderate</w:t>
            </w:r>
          </w:p>
        </w:tc>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Rising again</w:t>
            </w:r>
          </w:p>
        </w:tc>
      </w:tr>
      <w:tr w:rsidR="008D4A0A" w:rsidRPr="008D4A0A" w:rsidTr="008D4A0A">
        <w:trPr>
          <w:tblCellSpacing w:w="15" w:type="dxa"/>
        </w:trPr>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Monthly Income</w:t>
            </w:r>
          </w:p>
        </w:tc>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THB 14,000</w:t>
            </w:r>
          </w:p>
        </w:tc>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THB 6,500</w:t>
            </w:r>
          </w:p>
        </w:tc>
        <w:tc>
          <w:tcPr>
            <w:tcW w:w="0" w:type="auto"/>
            <w:vAlign w:val="center"/>
            <w:hideMark/>
          </w:tcPr>
          <w:p w:rsidR="008D4A0A" w:rsidRPr="008D4A0A" w:rsidRDefault="008D4A0A" w:rsidP="008D4A0A">
            <w:pPr>
              <w:spacing w:after="0"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THB 10,000</w:t>
            </w:r>
          </w:p>
        </w:tc>
      </w:tr>
    </w:tbl>
    <w:p w:rsidR="008D4A0A" w:rsidRPr="008D4A0A" w:rsidRDefault="008D4A0A" w:rsidP="008D4A0A">
      <w:pPr>
        <w:spacing w:before="100" w:beforeAutospacing="1" w:after="100" w:afterAutospacing="1" w:line="240" w:lineRule="auto"/>
        <w:outlineLvl w:val="3"/>
        <w:rPr>
          <w:rFonts w:ascii="Times New Roman" w:eastAsia="Times New Roman" w:hAnsi="Times New Roman" w:cs="Times New Roman"/>
          <w:b/>
          <w:bCs/>
          <w:sz w:val="24"/>
          <w:szCs w:val="24"/>
        </w:rPr>
      </w:pPr>
      <w:r w:rsidRPr="008D4A0A">
        <w:rPr>
          <w:rFonts w:ascii="Times New Roman" w:eastAsia="Times New Roman" w:hAnsi="Times New Roman" w:cs="Times New Roman"/>
          <w:b/>
          <w:bCs/>
          <w:sz w:val="24"/>
          <w:szCs w:val="24"/>
        </w:rPr>
        <w:t>2. Key Gaps Identified</w:t>
      </w:r>
    </w:p>
    <w:p w:rsidR="008D4A0A" w:rsidRPr="008D4A0A" w:rsidRDefault="008D4A0A" w:rsidP="008D4A0A">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Lack of long-term worker safety nets</w:t>
      </w:r>
    </w:p>
    <w:p w:rsidR="008D4A0A" w:rsidRPr="008D4A0A" w:rsidRDefault="008D4A0A" w:rsidP="008D4A0A">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Disconnection between tourism training and green/digital trends</w:t>
      </w:r>
    </w:p>
    <w:p w:rsidR="008D4A0A" w:rsidRPr="008D4A0A" w:rsidRDefault="008D4A0A" w:rsidP="008D4A0A">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Inequity in recovery: urban hubs bounced back, rural areas lagged</w:t>
      </w:r>
    </w:p>
    <w:p w:rsidR="008D4A0A" w:rsidRPr="008D4A0A" w:rsidRDefault="008D4A0A" w:rsidP="008D4A0A">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Underuse of digital tools in informal tourism economy</w:t>
      </w:r>
    </w:p>
    <w:p w:rsidR="00A02123" w:rsidRDefault="00A02123" w:rsidP="008D4A0A">
      <w:pPr>
        <w:spacing w:before="100" w:beforeAutospacing="1" w:after="100" w:afterAutospacing="1" w:line="240" w:lineRule="auto"/>
        <w:outlineLvl w:val="2"/>
        <w:rPr>
          <w:rFonts w:ascii="Times New Roman" w:eastAsia="Times New Roman" w:hAnsi="Times New Roman" w:cs="Times New Roman"/>
          <w:sz w:val="24"/>
          <w:szCs w:val="24"/>
        </w:rPr>
      </w:pPr>
    </w:p>
    <w:p w:rsidR="00D36F13" w:rsidRPr="00D36F13" w:rsidRDefault="00D36F13" w:rsidP="00D36F13">
      <w:pPr>
        <w:spacing w:before="100" w:beforeAutospacing="1" w:after="100" w:afterAutospacing="1" w:line="240" w:lineRule="auto"/>
        <w:outlineLvl w:val="2"/>
        <w:rPr>
          <w:rFonts w:ascii="Times New Roman" w:eastAsia="Times New Roman" w:hAnsi="Times New Roman" w:cs="Times New Roman"/>
          <w:b/>
          <w:bCs/>
          <w:sz w:val="27"/>
          <w:szCs w:val="27"/>
        </w:rPr>
      </w:pPr>
      <w:r w:rsidRPr="00D36F13">
        <w:rPr>
          <w:rFonts w:ascii="Times New Roman" w:eastAsia="Times New Roman" w:hAnsi="Times New Roman" w:cs="Times New Roman"/>
          <w:b/>
          <w:bCs/>
          <w:sz w:val="27"/>
          <w:szCs w:val="27"/>
        </w:rPr>
        <w:t>Discussion</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b/>
          <w:bCs/>
          <w:sz w:val="24"/>
          <w:szCs w:val="24"/>
        </w:rPr>
        <w:t>Emergency Income &amp; Training Grants</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lastRenderedPageBreak/>
        <w:t xml:space="preserve">To immediately address the collapse in tourism employment, the Thai government must introduce conditional emergency income grants that are tied to workforce training in sustainable tourism. These grants should target unemployed workers and incentivize participation in green-skills programs such as eco-guiding, renewable energy integration for small lodges, and </w:t>
      </w:r>
      <w:proofErr w:type="spellStart"/>
      <w:r w:rsidRPr="00D36F13">
        <w:rPr>
          <w:rFonts w:ascii="Times New Roman" w:eastAsia="Times New Roman" w:hAnsi="Times New Roman" w:cs="Times New Roman"/>
          <w:sz w:val="24"/>
          <w:szCs w:val="24"/>
        </w:rPr>
        <w:t>permaculture</w:t>
      </w:r>
      <w:proofErr w:type="spellEnd"/>
      <w:r w:rsidRPr="00D36F13">
        <w:rPr>
          <w:rFonts w:ascii="Times New Roman" w:eastAsia="Times New Roman" w:hAnsi="Times New Roman" w:cs="Times New Roman"/>
          <w:sz w:val="24"/>
          <w:szCs w:val="24"/>
        </w:rPr>
        <w:t xml:space="preserve"> practices in nature resorts. As demonstrated in the Maldives and Costa Rica, linking financial assistance with retraining accelerates both short-term relief and long-term sector transformation (ILO, 2021; UNEP, 2020). This approach not only cushions the immediate economic blow but helps transition workers toward higher-quality, environmentally conscious roles.</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Eligibility for these grants must be inclusive of informal workers, who comprise the majority of Thailand’s tourism </w:t>
      </w:r>
      <w:proofErr w:type="spellStart"/>
      <w:r w:rsidRPr="00D36F13">
        <w:rPr>
          <w:rFonts w:ascii="Times New Roman" w:eastAsia="Times New Roman" w:hAnsi="Times New Roman" w:cs="Times New Roman"/>
          <w:sz w:val="24"/>
          <w:szCs w:val="24"/>
        </w:rPr>
        <w:t>labour</w:t>
      </w:r>
      <w:proofErr w:type="spellEnd"/>
      <w:r w:rsidRPr="00D36F13">
        <w:rPr>
          <w:rFonts w:ascii="Times New Roman" w:eastAsia="Times New Roman" w:hAnsi="Times New Roman" w:cs="Times New Roman"/>
          <w:sz w:val="24"/>
          <w:szCs w:val="24"/>
        </w:rPr>
        <w:t xml:space="preserve"> force. Since these workers are often excluded from government relief due to lack of registration or contracts, the grants should include simplified documentation requirements and community-level verification mechanisms, as seen in Nepal’s COVID-19 informal sector relief efforts (ADB, 2021). Financial transfers can be disbursed through mobile banking platforms, which have gained significant traction even in remote Thai provinces, enhancing access and speed.</w:t>
      </w:r>
    </w:p>
    <w:p w:rsid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The grants program should be accompanied by partnerships with NGOs, vocational schools, and regional universities to provide certified training. Examples include short courses in solar panel installation, zero-waste tourism management, and responsible wildlife guiding—skills that are essential for the future of climate-resilient tourism. Evidence from South Africa’s Green Tourism Incentive </w:t>
      </w:r>
      <w:proofErr w:type="spellStart"/>
      <w:r w:rsidRPr="00D36F13">
        <w:rPr>
          <w:rFonts w:ascii="Times New Roman" w:eastAsia="Times New Roman" w:hAnsi="Times New Roman" w:cs="Times New Roman"/>
          <w:sz w:val="24"/>
          <w:szCs w:val="24"/>
        </w:rPr>
        <w:t>Programme</w:t>
      </w:r>
      <w:proofErr w:type="spellEnd"/>
      <w:r w:rsidRPr="00D36F13">
        <w:rPr>
          <w:rFonts w:ascii="Times New Roman" w:eastAsia="Times New Roman" w:hAnsi="Times New Roman" w:cs="Times New Roman"/>
          <w:sz w:val="24"/>
          <w:szCs w:val="24"/>
        </w:rPr>
        <w:t xml:space="preserve"> suggests that skill-building tied to green subsidies can result in long-term employment and entrepreneurship (WTTC, 2021; </w:t>
      </w:r>
      <w:proofErr w:type="spellStart"/>
      <w:r w:rsidRPr="00D36F13">
        <w:rPr>
          <w:rFonts w:ascii="Times New Roman" w:eastAsia="Times New Roman" w:hAnsi="Times New Roman" w:cs="Times New Roman"/>
          <w:sz w:val="24"/>
          <w:szCs w:val="24"/>
        </w:rPr>
        <w:t>Gossling</w:t>
      </w:r>
      <w:proofErr w:type="spellEnd"/>
      <w:r w:rsidRPr="00D36F13">
        <w:rPr>
          <w:rFonts w:ascii="Times New Roman" w:eastAsia="Times New Roman" w:hAnsi="Times New Roman" w:cs="Times New Roman"/>
          <w:sz w:val="24"/>
          <w:szCs w:val="24"/>
        </w:rPr>
        <w:t xml:space="preserve"> et al., 2021). These dual objectives of income support and skills development align with the ILO’s “Recovery with Equity” model.</w:t>
      </w:r>
    </w:p>
    <w:p w:rsidR="00E56633" w:rsidRPr="00D36F13" w:rsidRDefault="00E56633" w:rsidP="00D36F13">
      <w:pPr>
        <w:spacing w:before="100" w:beforeAutospacing="1" w:after="100" w:afterAutospacing="1" w:line="240" w:lineRule="auto"/>
        <w:rPr>
          <w:rFonts w:ascii="Times New Roman" w:eastAsia="Times New Roman" w:hAnsi="Times New Roman" w:cs="Times New Roman"/>
          <w:sz w:val="24"/>
          <w:szCs w:val="24"/>
        </w:rPr>
      </w:pP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b/>
          <w:bCs/>
          <w:sz w:val="24"/>
          <w:szCs w:val="24"/>
        </w:rPr>
        <w:t>Smart Rural Tourism Workforce Development</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Thailand’s rural provinces such as Nan, </w:t>
      </w:r>
      <w:proofErr w:type="spellStart"/>
      <w:r w:rsidRPr="00D36F13">
        <w:rPr>
          <w:rFonts w:ascii="Times New Roman" w:eastAsia="Times New Roman" w:hAnsi="Times New Roman" w:cs="Times New Roman"/>
          <w:sz w:val="24"/>
          <w:szCs w:val="24"/>
        </w:rPr>
        <w:t>Loei</w:t>
      </w:r>
      <w:proofErr w:type="spellEnd"/>
      <w:r w:rsidRPr="00D36F13">
        <w:rPr>
          <w:rFonts w:ascii="Times New Roman" w:eastAsia="Times New Roman" w:hAnsi="Times New Roman" w:cs="Times New Roman"/>
          <w:sz w:val="24"/>
          <w:szCs w:val="24"/>
        </w:rPr>
        <w:t xml:space="preserve">, and </w:t>
      </w:r>
      <w:proofErr w:type="spellStart"/>
      <w:r w:rsidRPr="00D36F13">
        <w:rPr>
          <w:rFonts w:ascii="Times New Roman" w:eastAsia="Times New Roman" w:hAnsi="Times New Roman" w:cs="Times New Roman"/>
          <w:sz w:val="24"/>
          <w:szCs w:val="24"/>
        </w:rPr>
        <w:t>Surin</w:t>
      </w:r>
      <w:proofErr w:type="spellEnd"/>
      <w:r w:rsidRPr="00D36F13">
        <w:rPr>
          <w:rFonts w:ascii="Times New Roman" w:eastAsia="Times New Roman" w:hAnsi="Times New Roman" w:cs="Times New Roman"/>
          <w:sz w:val="24"/>
          <w:szCs w:val="24"/>
        </w:rPr>
        <w:t xml:space="preserve"> possess rich cultural heritage and natural beauty but remain underutilized in the tourism economy. To decentralize employment and reduce the environmental load on </w:t>
      </w:r>
      <w:proofErr w:type="spellStart"/>
      <w:r w:rsidRPr="00D36F13">
        <w:rPr>
          <w:rFonts w:ascii="Times New Roman" w:eastAsia="Times New Roman" w:hAnsi="Times New Roman" w:cs="Times New Roman"/>
          <w:sz w:val="24"/>
          <w:szCs w:val="24"/>
        </w:rPr>
        <w:t>overtouristed</w:t>
      </w:r>
      <w:proofErr w:type="spellEnd"/>
      <w:r w:rsidRPr="00D36F13">
        <w:rPr>
          <w:rFonts w:ascii="Times New Roman" w:eastAsia="Times New Roman" w:hAnsi="Times New Roman" w:cs="Times New Roman"/>
          <w:sz w:val="24"/>
          <w:szCs w:val="24"/>
        </w:rPr>
        <w:t xml:space="preserve"> urban zones, the government should support job creation in rural areas by connecting workers to eco-tourism cooperatives. These cooperatives can serve as intermediaries between community members and national or international travel platforms, ensuring equitable distribution of tourism revenue (UNWTO, 2022; OECD, 2020).</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Investing in rural tourism also provides a solution to the reverse migration problem caused by the pandemic. Many youth who lost jobs in Bangkok and Chiang Mai have returned to their villages, bringing with them digital literacy and service skills that can be harnessed for local development. Programs that fund home-based lodgings, local food experiences, or indigenous knowledge tours will allow these workers to reintegrate into tourism without leaving their communities. Bhutan’s “High Value, Low Impact” strategy and India’s Incredible Rural Tourism model show how small-scale, sustainable initiatives can flourish when supported by government infrastructure (Cohen, 2019; UNDP, 2021).</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lastRenderedPageBreak/>
        <w:t xml:space="preserve">Furthermore, regional governments must receive funding and autonomy to implement these workforce development schemes. Transport connectivity, internet access, and cooperative training must be prioritized in partnership with private sector platforms like </w:t>
      </w:r>
      <w:proofErr w:type="spellStart"/>
      <w:r w:rsidRPr="00D36F13">
        <w:rPr>
          <w:rFonts w:ascii="Times New Roman" w:eastAsia="Times New Roman" w:hAnsi="Times New Roman" w:cs="Times New Roman"/>
          <w:sz w:val="24"/>
          <w:szCs w:val="24"/>
        </w:rPr>
        <w:t>Airbnb</w:t>
      </w:r>
      <w:proofErr w:type="spellEnd"/>
      <w:r w:rsidRPr="00D36F13">
        <w:rPr>
          <w:rFonts w:ascii="Times New Roman" w:eastAsia="Times New Roman" w:hAnsi="Times New Roman" w:cs="Times New Roman"/>
          <w:sz w:val="24"/>
          <w:szCs w:val="24"/>
        </w:rPr>
        <w:t xml:space="preserve"> or ecotourism operators. These decentralized models also increase resilience to future crises by diversifying geographical dependence, in line with the UN’s Sustainable Development Goal 8 on decent work and economic growth (UN, 2015; ILO, 2021).</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b/>
          <w:bCs/>
          <w:sz w:val="24"/>
          <w:szCs w:val="24"/>
        </w:rPr>
        <w:t xml:space="preserve">Wellness &amp; Hospitality </w:t>
      </w:r>
      <w:proofErr w:type="spellStart"/>
      <w:r w:rsidRPr="00D36F13">
        <w:rPr>
          <w:rFonts w:ascii="Times New Roman" w:eastAsia="Times New Roman" w:hAnsi="Times New Roman" w:cs="Times New Roman"/>
          <w:b/>
          <w:bCs/>
          <w:sz w:val="24"/>
          <w:szCs w:val="24"/>
        </w:rPr>
        <w:t>Upskilling</w:t>
      </w:r>
      <w:proofErr w:type="spellEnd"/>
      <w:r w:rsidRPr="00D36F13">
        <w:rPr>
          <w:rFonts w:ascii="Times New Roman" w:eastAsia="Times New Roman" w:hAnsi="Times New Roman" w:cs="Times New Roman"/>
          <w:b/>
          <w:bCs/>
          <w:sz w:val="24"/>
          <w:szCs w:val="24"/>
        </w:rPr>
        <w:t xml:space="preserve"> </w:t>
      </w:r>
      <w:proofErr w:type="spellStart"/>
      <w:r w:rsidRPr="00D36F13">
        <w:rPr>
          <w:rFonts w:ascii="Times New Roman" w:eastAsia="Times New Roman" w:hAnsi="Times New Roman" w:cs="Times New Roman"/>
          <w:b/>
          <w:bCs/>
          <w:sz w:val="24"/>
          <w:szCs w:val="24"/>
        </w:rPr>
        <w:t>Bootcamps</w:t>
      </w:r>
      <w:proofErr w:type="spellEnd"/>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The growing demand for wellness tourism, especially post-COVID, presents an opportunity to retrain displaced urban workers in high-value service areas. Free, intensive </w:t>
      </w:r>
      <w:proofErr w:type="spellStart"/>
      <w:r w:rsidRPr="00D36F13">
        <w:rPr>
          <w:rFonts w:ascii="Times New Roman" w:eastAsia="Times New Roman" w:hAnsi="Times New Roman" w:cs="Times New Roman"/>
          <w:sz w:val="24"/>
          <w:szCs w:val="24"/>
        </w:rPr>
        <w:t>bootcamps</w:t>
      </w:r>
      <w:proofErr w:type="spellEnd"/>
      <w:r w:rsidRPr="00D36F13">
        <w:rPr>
          <w:rFonts w:ascii="Times New Roman" w:eastAsia="Times New Roman" w:hAnsi="Times New Roman" w:cs="Times New Roman"/>
          <w:sz w:val="24"/>
          <w:szCs w:val="24"/>
        </w:rPr>
        <w:t xml:space="preserve"> focused on </w:t>
      </w:r>
      <w:proofErr w:type="spellStart"/>
      <w:r w:rsidRPr="00D36F13">
        <w:rPr>
          <w:rFonts w:ascii="Times New Roman" w:eastAsia="Times New Roman" w:hAnsi="Times New Roman" w:cs="Times New Roman"/>
          <w:sz w:val="24"/>
          <w:szCs w:val="24"/>
        </w:rPr>
        <w:t>Ayurvedic</w:t>
      </w:r>
      <w:proofErr w:type="spellEnd"/>
      <w:r w:rsidRPr="00D36F13">
        <w:rPr>
          <w:rFonts w:ascii="Times New Roman" w:eastAsia="Times New Roman" w:hAnsi="Times New Roman" w:cs="Times New Roman"/>
          <w:sz w:val="24"/>
          <w:szCs w:val="24"/>
        </w:rPr>
        <w:t xml:space="preserve"> hospitality, yoga-based tourism, and nature therapy should be established in collaboration with Thailand’s traditional medicine institutions and wellness resorts. The Global Wellness Institute has reported an 8% annual growth in wellness tourism, and Thailand is well-positioned to be a regional leader with its cultural assets and natural resources (GWI, 2021; WTTC, 2021).</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These training programs should be inclusive of massage therapists, spa attendants, and other workers from closed urban businesses. With structured </w:t>
      </w:r>
      <w:proofErr w:type="spellStart"/>
      <w:r w:rsidRPr="00D36F13">
        <w:rPr>
          <w:rFonts w:ascii="Times New Roman" w:eastAsia="Times New Roman" w:hAnsi="Times New Roman" w:cs="Times New Roman"/>
          <w:sz w:val="24"/>
          <w:szCs w:val="24"/>
        </w:rPr>
        <w:t>upskilling</w:t>
      </w:r>
      <w:proofErr w:type="spellEnd"/>
      <w:r w:rsidRPr="00D36F13">
        <w:rPr>
          <w:rFonts w:ascii="Times New Roman" w:eastAsia="Times New Roman" w:hAnsi="Times New Roman" w:cs="Times New Roman"/>
          <w:sz w:val="24"/>
          <w:szCs w:val="24"/>
        </w:rPr>
        <w:t xml:space="preserve">, these individuals can shift into more formalized, higher-paid roles that are increasingly demanded by international tourists seeking health-conscious travel. The </w:t>
      </w:r>
      <w:proofErr w:type="spellStart"/>
      <w:r w:rsidRPr="00D36F13">
        <w:rPr>
          <w:rFonts w:ascii="Times New Roman" w:eastAsia="Times New Roman" w:hAnsi="Times New Roman" w:cs="Times New Roman"/>
          <w:sz w:val="24"/>
          <w:szCs w:val="24"/>
        </w:rPr>
        <w:t>bootcamps</w:t>
      </w:r>
      <w:proofErr w:type="spellEnd"/>
      <w:r w:rsidRPr="00D36F13">
        <w:rPr>
          <w:rFonts w:ascii="Times New Roman" w:eastAsia="Times New Roman" w:hAnsi="Times New Roman" w:cs="Times New Roman"/>
          <w:sz w:val="24"/>
          <w:szCs w:val="24"/>
        </w:rPr>
        <w:t xml:space="preserve"> must incorporate modules on hygiene standards, emotional care, digital booking systems, and multi-lingual communication to ensure global employability (ILO, 2021; UN Women, 2020).</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To ensure accessibility, </w:t>
      </w:r>
      <w:proofErr w:type="spellStart"/>
      <w:r w:rsidRPr="00D36F13">
        <w:rPr>
          <w:rFonts w:ascii="Times New Roman" w:eastAsia="Times New Roman" w:hAnsi="Times New Roman" w:cs="Times New Roman"/>
          <w:sz w:val="24"/>
          <w:szCs w:val="24"/>
        </w:rPr>
        <w:t>bootcamps</w:t>
      </w:r>
      <w:proofErr w:type="spellEnd"/>
      <w:r w:rsidRPr="00D36F13">
        <w:rPr>
          <w:rFonts w:ascii="Times New Roman" w:eastAsia="Times New Roman" w:hAnsi="Times New Roman" w:cs="Times New Roman"/>
          <w:sz w:val="24"/>
          <w:szCs w:val="24"/>
        </w:rPr>
        <w:t xml:space="preserve"> should be located in </w:t>
      </w:r>
      <w:proofErr w:type="spellStart"/>
      <w:r w:rsidRPr="00D36F13">
        <w:rPr>
          <w:rFonts w:ascii="Times New Roman" w:eastAsia="Times New Roman" w:hAnsi="Times New Roman" w:cs="Times New Roman"/>
          <w:sz w:val="24"/>
          <w:szCs w:val="24"/>
        </w:rPr>
        <w:t>peri</w:t>
      </w:r>
      <w:proofErr w:type="spellEnd"/>
      <w:r w:rsidRPr="00D36F13">
        <w:rPr>
          <w:rFonts w:ascii="Times New Roman" w:eastAsia="Times New Roman" w:hAnsi="Times New Roman" w:cs="Times New Roman"/>
          <w:sz w:val="24"/>
          <w:szCs w:val="24"/>
        </w:rPr>
        <w:t xml:space="preserve">-urban centers and run in modular formats that allow caregivers and women with household responsibilities to participate. Stipends, childcare support, and job placement services will be essential. Data from Kerala’s Responsible Tourism Mission and Bali’s </w:t>
      </w:r>
      <w:proofErr w:type="spellStart"/>
      <w:r w:rsidRPr="00D36F13">
        <w:rPr>
          <w:rFonts w:ascii="Times New Roman" w:eastAsia="Times New Roman" w:hAnsi="Times New Roman" w:cs="Times New Roman"/>
          <w:sz w:val="24"/>
          <w:szCs w:val="24"/>
        </w:rPr>
        <w:t>Udayana</w:t>
      </w:r>
      <w:proofErr w:type="spellEnd"/>
      <w:r w:rsidRPr="00D36F13">
        <w:rPr>
          <w:rFonts w:ascii="Times New Roman" w:eastAsia="Times New Roman" w:hAnsi="Times New Roman" w:cs="Times New Roman"/>
          <w:sz w:val="24"/>
          <w:szCs w:val="24"/>
        </w:rPr>
        <w:t xml:space="preserve"> University spa training program indicate that such models significantly improve women’s employment and community development (OECD, 2020; UNDP, 2021). Thailand can scale this success by integrating health tourism into its national workforce strategy.</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b/>
          <w:bCs/>
          <w:sz w:val="24"/>
          <w:szCs w:val="24"/>
        </w:rPr>
        <w:t>Digital Inclusion for Informal Workers</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Thailand’s tourism workforce includes over 60% informal workers—street vendors, </w:t>
      </w:r>
      <w:proofErr w:type="spellStart"/>
      <w:r w:rsidRPr="00D36F13">
        <w:rPr>
          <w:rFonts w:ascii="Times New Roman" w:eastAsia="Times New Roman" w:hAnsi="Times New Roman" w:cs="Times New Roman"/>
          <w:sz w:val="24"/>
          <w:szCs w:val="24"/>
        </w:rPr>
        <w:t>tuk-tuk</w:t>
      </w:r>
      <w:proofErr w:type="spellEnd"/>
      <w:r w:rsidRPr="00D36F13">
        <w:rPr>
          <w:rFonts w:ascii="Times New Roman" w:eastAsia="Times New Roman" w:hAnsi="Times New Roman" w:cs="Times New Roman"/>
          <w:sz w:val="24"/>
          <w:szCs w:val="24"/>
        </w:rPr>
        <w:t xml:space="preserve"> drivers, small café owners—who often lack digital infrastructure to access new markets. Bridging this gap requires state-supported digital inclusion strategies, such as subsidized </w:t>
      </w:r>
      <w:proofErr w:type="spellStart"/>
      <w:r w:rsidRPr="00D36F13">
        <w:rPr>
          <w:rFonts w:ascii="Times New Roman" w:eastAsia="Times New Roman" w:hAnsi="Times New Roman" w:cs="Times New Roman"/>
          <w:sz w:val="24"/>
          <w:szCs w:val="24"/>
        </w:rPr>
        <w:t>smartphones</w:t>
      </w:r>
      <w:proofErr w:type="spellEnd"/>
      <w:r w:rsidRPr="00D36F13">
        <w:rPr>
          <w:rFonts w:ascii="Times New Roman" w:eastAsia="Times New Roman" w:hAnsi="Times New Roman" w:cs="Times New Roman"/>
          <w:sz w:val="24"/>
          <w:szCs w:val="24"/>
        </w:rPr>
        <w:t>, business apps, and access to QR payment systems. Programs should also include training on online listing platforms, social media engagement, and data privacy (ADB, 2020; ILO, 2021). Vietnam’s “Digital Village” initiatives provide a blueprint for how rural and informal tourism can be digitized with government coordination.</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Legal registration support is another critical component. Simplified registration systems for freelancers and micro-businesses can open doors to finance, insurance, and participation in official tourism programs. Case studies from Kenya’s e-citizen registration platform and Brazil’s Informal Worker ID Card show how formalization does not need to be bureaucratic or </w:t>
      </w:r>
      <w:r w:rsidRPr="00D36F13">
        <w:rPr>
          <w:rFonts w:ascii="Times New Roman" w:eastAsia="Times New Roman" w:hAnsi="Times New Roman" w:cs="Times New Roman"/>
          <w:sz w:val="24"/>
          <w:szCs w:val="24"/>
        </w:rPr>
        <w:lastRenderedPageBreak/>
        <w:t>intimidating (UNWTO, 2021; OECD, 2021). These tools empower workers while improving data collection for policymakers.</w:t>
      </w:r>
    </w:p>
    <w:p w:rsid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Digital access also fosters resilience. During the pandemic, online bookings and food delivery platforms enabled some small businesses to survive, particularly in Bangkok and Chiang Mai. Scaling this potential requires digital mentorship, cloud-based POS systems, and inclusion in national e-commerce ecosystems. These efforts align with ILO’s call for “future-proofing” informal </w:t>
      </w:r>
      <w:proofErr w:type="spellStart"/>
      <w:r w:rsidRPr="00D36F13">
        <w:rPr>
          <w:rFonts w:ascii="Times New Roman" w:eastAsia="Times New Roman" w:hAnsi="Times New Roman" w:cs="Times New Roman"/>
          <w:sz w:val="24"/>
          <w:szCs w:val="24"/>
        </w:rPr>
        <w:t>labour</w:t>
      </w:r>
      <w:proofErr w:type="spellEnd"/>
      <w:r w:rsidRPr="00D36F13">
        <w:rPr>
          <w:rFonts w:ascii="Times New Roman" w:eastAsia="Times New Roman" w:hAnsi="Times New Roman" w:cs="Times New Roman"/>
          <w:sz w:val="24"/>
          <w:szCs w:val="24"/>
        </w:rPr>
        <w:t xml:space="preserve"> by using digitalization as a lever for upward mobility (ILO, 2021; WTTC, 2020).</w:t>
      </w:r>
    </w:p>
    <w:p w:rsidR="00E56633" w:rsidRDefault="00E56633" w:rsidP="00D36F13">
      <w:pPr>
        <w:spacing w:before="100" w:beforeAutospacing="1" w:after="100" w:afterAutospacing="1" w:line="240" w:lineRule="auto"/>
        <w:rPr>
          <w:rFonts w:ascii="Times New Roman" w:eastAsia="Times New Roman" w:hAnsi="Times New Roman" w:cs="Times New Roman"/>
          <w:sz w:val="24"/>
          <w:szCs w:val="24"/>
        </w:rPr>
      </w:pPr>
    </w:p>
    <w:p w:rsidR="00E56633" w:rsidRPr="00E56633" w:rsidRDefault="00E56633" w:rsidP="00E56633">
      <w:pPr>
        <w:spacing w:before="100" w:beforeAutospacing="1" w:after="100" w:afterAutospacing="1" w:line="240" w:lineRule="auto"/>
        <w:outlineLvl w:val="2"/>
        <w:rPr>
          <w:rFonts w:ascii="Times New Roman" w:eastAsia="Times New Roman" w:hAnsi="Times New Roman" w:cs="Times New Roman"/>
          <w:b/>
          <w:bCs/>
          <w:sz w:val="27"/>
          <w:szCs w:val="27"/>
        </w:rPr>
      </w:pPr>
      <w:r w:rsidRPr="00E56633">
        <w:rPr>
          <w:rFonts w:ascii="Times New Roman" w:eastAsia="Times New Roman" w:hAnsi="Times New Roman" w:cs="Times New Roman"/>
          <w:b/>
          <w:bCs/>
          <w:sz w:val="27"/>
          <w:szCs w:val="27"/>
        </w:rPr>
        <w:t>Public-Private Skill Alliance for Youth Employment</w:t>
      </w:r>
    </w:p>
    <w:p w:rsidR="00E56633" w:rsidRPr="00E56633" w:rsidRDefault="00E56633" w:rsidP="00E56633">
      <w:pPr>
        <w:spacing w:before="100" w:beforeAutospacing="1" w:after="100" w:afterAutospacing="1" w:line="240" w:lineRule="auto"/>
        <w:rPr>
          <w:rFonts w:ascii="Times New Roman" w:eastAsia="Times New Roman" w:hAnsi="Times New Roman" w:cs="Times New Roman"/>
          <w:sz w:val="24"/>
          <w:szCs w:val="24"/>
        </w:rPr>
      </w:pPr>
      <w:r w:rsidRPr="00E56633">
        <w:rPr>
          <w:rFonts w:ascii="Times New Roman" w:eastAsia="Times New Roman" w:hAnsi="Times New Roman" w:cs="Times New Roman"/>
          <w:sz w:val="24"/>
          <w:szCs w:val="24"/>
        </w:rPr>
        <w:t xml:space="preserve">One of the most effective ways to rebuild Thailand’s tourism </w:t>
      </w:r>
      <w:proofErr w:type="spellStart"/>
      <w:r w:rsidRPr="00E56633">
        <w:rPr>
          <w:rFonts w:ascii="Times New Roman" w:eastAsia="Times New Roman" w:hAnsi="Times New Roman" w:cs="Times New Roman"/>
          <w:sz w:val="24"/>
          <w:szCs w:val="24"/>
        </w:rPr>
        <w:t>labour</w:t>
      </w:r>
      <w:proofErr w:type="spellEnd"/>
      <w:r w:rsidRPr="00E56633">
        <w:rPr>
          <w:rFonts w:ascii="Times New Roman" w:eastAsia="Times New Roman" w:hAnsi="Times New Roman" w:cs="Times New Roman"/>
          <w:sz w:val="24"/>
          <w:szCs w:val="24"/>
        </w:rPr>
        <w:t xml:space="preserve"> market is through public-private partnerships (PPPs) focused on youth employability. With over 1 million young people entering the Thai </w:t>
      </w:r>
      <w:proofErr w:type="spellStart"/>
      <w:r w:rsidRPr="00E56633">
        <w:rPr>
          <w:rFonts w:ascii="Times New Roman" w:eastAsia="Times New Roman" w:hAnsi="Times New Roman" w:cs="Times New Roman"/>
          <w:sz w:val="24"/>
          <w:szCs w:val="24"/>
        </w:rPr>
        <w:t>labour</w:t>
      </w:r>
      <w:proofErr w:type="spellEnd"/>
      <w:r w:rsidRPr="00E56633">
        <w:rPr>
          <w:rFonts w:ascii="Times New Roman" w:eastAsia="Times New Roman" w:hAnsi="Times New Roman" w:cs="Times New Roman"/>
          <w:sz w:val="24"/>
          <w:szCs w:val="24"/>
        </w:rPr>
        <w:t xml:space="preserve"> force annually (ILO, 2021)</w:t>
      </w:r>
      <w:proofErr w:type="gramStart"/>
      <w:r w:rsidRPr="00E56633">
        <w:rPr>
          <w:rFonts w:ascii="Times New Roman" w:eastAsia="Times New Roman" w:hAnsi="Times New Roman" w:cs="Times New Roman"/>
          <w:sz w:val="24"/>
          <w:szCs w:val="24"/>
        </w:rPr>
        <w:t>,</w:t>
      </w:r>
      <w:proofErr w:type="gramEnd"/>
      <w:r w:rsidRPr="00E56633">
        <w:rPr>
          <w:rFonts w:ascii="Times New Roman" w:eastAsia="Times New Roman" w:hAnsi="Times New Roman" w:cs="Times New Roman"/>
          <w:sz w:val="24"/>
          <w:szCs w:val="24"/>
        </w:rPr>
        <w:t xml:space="preserve"> there is an urgent need to integrate tourism-specific training with formal education. The government can collaborate with hospitality chains, airlines, wellness centers, and tour operators to co-design curricula for technical colleges and universities, emphasizing practical skills such as digital bookings, guest services, green logistics, and multicultural communication (ADB, 2021; WTTC, 2021).</w:t>
      </w:r>
    </w:p>
    <w:p w:rsidR="00E56633" w:rsidRPr="00E56633" w:rsidRDefault="00E56633" w:rsidP="00E56633">
      <w:pPr>
        <w:spacing w:before="100" w:beforeAutospacing="1" w:after="100" w:afterAutospacing="1" w:line="240" w:lineRule="auto"/>
        <w:rPr>
          <w:rFonts w:ascii="Times New Roman" w:eastAsia="Times New Roman" w:hAnsi="Times New Roman" w:cs="Times New Roman"/>
          <w:sz w:val="24"/>
          <w:szCs w:val="24"/>
        </w:rPr>
      </w:pPr>
      <w:r w:rsidRPr="00E56633">
        <w:rPr>
          <w:rFonts w:ascii="Times New Roman" w:eastAsia="Times New Roman" w:hAnsi="Times New Roman" w:cs="Times New Roman"/>
          <w:sz w:val="24"/>
          <w:szCs w:val="24"/>
        </w:rPr>
        <w:t xml:space="preserve">Such partnerships ensure alignment between market demand and workforce supply. Industry actors can offer apprenticeships, live case projects, and part-time roles to students, creating a pipeline of skilled talent ready for the evolving tourism landscape. Examples from Germany’s dual education system and Singapore’s </w:t>
      </w:r>
      <w:proofErr w:type="spellStart"/>
      <w:r w:rsidRPr="00E56633">
        <w:rPr>
          <w:rFonts w:ascii="Times New Roman" w:eastAsia="Times New Roman" w:hAnsi="Times New Roman" w:cs="Times New Roman"/>
          <w:sz w:val="24"/>
          <w:szCs w:val="24"/>
        </w:rPr>
        <w:t>SkillsFuture</w:t>
      </w:r>
      <w:proofErr w:type="spellEnd"/>
      <w:r w:rsidRPr="00E56633">
        <w:rPr>
          <w:rFonts w:ascii="Times New Roman" w:eastAsia="Times New Roman" w:hAnsi="Times New Roman" w:cs="Times New Roman"/>
          <w:sz w:val="24"/>
          <w:szCs w:val="24"/>
        </w:rPr>
        <w:t xml:space="preserve"> initiative demonstrate how this model reduces youth unemployment and enhances job-readiness (OECD, 2020). In Thailand, similar programs can be tested in major tourism hubs such as Bangkok, Chiang Mai, and </w:t>
      </w:r>
      <w:proofErr w:type="spellStart"/>
      <w:r w:rsidRPr="00E56633">
        <w:rPr>
          <w:rFonts w:ascii="Times New Roman" w:eastAsia="Times New Roman" w:hAnsi="Times New Roman" w:cs="Times New Roman"/>
          <w:sz w:val="24"/>
          <w:szCs w:val="24"/>
        </w:rPr>
        <w:t>Krabi</w:t>
      </w:r>
      <w:proofErr w:type="spellEnd"/>
      <w:r w:rsidRPr="00E56633">
        <w:rPr>
          <w:rFonts w:ascii="Times New Roman" w:eastAsia="Times New Roman" w:hAnsi="Times New Roman" w:cs="Times New Roman"/>
          <w:sz w:val="24"/>
          <w:szCs w:val="24"/>
        </w:rPr>
        <w:t>, and gradually scaled nationwide.</w:t>
      </w:r>
    </w:p>
    <w:p w:rsidR="00E56633" w:rsidRPr="00E56633" w:rsidRDefault="00E56633" w:rsidP="00E56633">
      <w:pPr>
        <w:spacing w:before="100" w:beforeAutospacing="1" w:after="100" w:afterAutospacing="1" w:line="240" w:lineRule="auto"/>
        <w:rPr>
          <w:rFonts w:ascii="Times New Roman" w:eastAsia="Times New Roman" w:hAnsi="Times New Roman" w:cs="Times New Roman"/>
          <w:sz w:val="24"/>
          <w:szCs w:val="24"/>
        </w:rPr>
      </w:pPr>
      <w:r w:rsidRPr="00E56633">
        <w:rPr>
          <w:rFonts w:ascii="Times New Roman" w:eastAsia="Times New Roman" w:hAnsi="Times New Roman" w:cs="Times New Roman"/>
          <w:sz w:val="24"/>
          <w:szCs w:val="24"/>
        </w:rPr>
        <w:t xml:space="preserve">In addition, these alliances can prioritize underserved youth—especially girls, rural school graduates, and LGBTQ+ individuals—who face barriers to entry in the formal job market. Offering </w:t>
      </w:r>
      <w:proofErr w:type="gramStart"/>
      <w:r w:rsidRPr="00E56633">
        <w:rPr>
          <w:rFonts w:ascii="Times New Roman" w:eastAsia="Times New Roman" w:hAnsi="Times New Roman" w:cs="Times New Roman"/>
          <w:sz w:val="24"/>
          <w:szCs w:val="24"/>
        </w:rPr>
        <w:t>them</w:t>
      </w:r>
      <w:proofErr w:type="gramEnd"/>
      <w:r w:rsidRPr="00E56633">
        <w:rPr>
          <w:rFonts w:ascii="Times New Roman" w:eastAsia="Times New Roman" w:hAnsi="Times New Roman" w:cs="Times New Roman"/>
          <w:sz w:val="24"/>
          <w:szCs w:val="24"/>
        </w:rPr>
        <w:t xml:space="preserve"> scholarships, safe housing, and placement guarantees not only fosters social equity but also broadens the talent base. This approach supports SDG 4 (quality education) and SDG 8 (decent work), creating a more diverse and resilient tourism workforce (UN, 2015; UNDP, 2021). The success of this strategy hinges on inclusive design and shared accountability between education, government, and industry.</w:t>
      </w:r>
    </w:p>
    <w:p w:rsidR="00E56633" w:rsidRPr="00E56633" w:rsidRDefault="00E56633" w:rsidP="00E56633">
      <w:pPr>
        <w:spacing w:after="0" w:line="240" w:lineRule="auto"/>
        <w:rPr>
          <w:rFonts w:ascii="Times New Roman" w:eastAsia="Times New Roman" w:hAnsi="Times New Roman" w:cs="Times New Roman"/>
          <w:sz w:val="24"/>
          <w:szCs w:val="24"/>
        </w:rPr>
      </w:pPr>
    </w:p>
    <w:p w:rsidR="00E56633" w:rsidRPr="00E56633" w:rsidRDefault="00E56633" w:rsidP="00E56633">
      <w:pPr>
        <w:spacing w:before="100" w:beforeAutospacing="1" w:after="100" w:afterAutospacing="1" w:line="240" w:lineRule="auto"/>
        <w:outlineLvl w:val="2"/>
        <w:rPr>
          <w:rFonts w:ascii="Times New Roman" w:eastAsia="Times New Roman" w:hAnsi="Times New Roman" w:cs="Times New Roman"/>
          <w:b/>
          <w:bCs/>
          <w:sz w:val="27"/>
          <w:szCs w:val="27"/>
        </w:rPr>
      </w:pPr>
      <w:r w:rsidRPr="00E56633">
        <w:rPr>
          <w:rFonts w:ascii="Times New Roman" w:eastAsia="Times New Roman" w:hAnsi="Times New Roman" w:cs="Times New Roman"/>
          <w:b/>
          <w:bCs/>
          <w:sz w:val="27"/>
          <w:szCs w:val="27"/>
        </w:rPr>
        <w:t>Mental Health &amp; Psychosocial Support for Tourism Workers</w:t>
      </w:r>
    </w:p>
    <w:p w:rsidR="00E56633" w:rsidRPr="00E56633" w:rsidRDefault="00E56633" w:rsidP="00E56633">
      <w:pPr>
        <w:spacing w:before="100" w:beforeAutospacing="1" w:after="100" w:afterAutospacing="1" w:line="240" w:lineRule="auto"/>
        <w:rPr>
          <w:rFonts w:ascii="Times New Roman" w:eastAsia="Times New Roman" w:hAnsi="Times New Roman" w:cs="Times New Roman"/>
          <w:sz w:val="24"/>
          <w:szCs w:val="24"/>
        </w:rPr>
      </w:pPr>
      <w:r w:rsidRPr="00E56633">
        <w:rPr>
          <w:rFonts w:ascii="Times New Roman" w:eastAsia="Times New Roman" w:hAnsi="Times New Roman" w:cs="Times New Roman"/>
          <w:sz w:val="24"/>
          <w:szCs w:val="24"/>
        </w:rPr>
        <w:t xml:space="preserve">The emotional toll of the pandemic and tourism collapse has left many workers traumatized, anxious, and uncertain about their futures. Yet mental health remains an overlooked dimension of workforce recovery. A national mental wellness initiative tailored for tourism workers—including counseling services, support groups, crisis hotlines, and stress-management workshops—can address this silent crisis. As seen in post-earthquake Nepal and post-lockdown </w:t>
      </w:r>
      <w:r w:rsidRPr="00E56633">
        <w:rPr>
          <w:rFonts w:ascii="Times New Roman" w:eastAsia="Times New Roman" w:hAnsi="Times New Roman" w:cs="Times New Roman"/>
          <w:sz w:val="24"/>
          <w:szCs w:val="24"/>
        </w:rPr>
        <w:lastRenderedPageBreak/>
        <w:t>Italy, mental health support improves worker confidence and productivity (ILO, 2020; UNWTO, 2021).</w:t>
      </w:r>
    </w:p>
    <w:p w:rsidR="00E56633" w:rsidRPr="00E56633" w:rsidRDefault="00E56633" w:rsidP="00E56633">
      <w:pPr>
        <w:spacing w:before="100" w:beforeAutospacing="1" w:after="100" w:afterAutospacing="1" w:line="240" w:lineRule="auto"/>
        <w:rPr>
          <w:rFonts w:ascii="Times New Roman" w:eastAsia="Times New Roman" w:hAnsi="Times New Roman" w:cs="Times New Roman"/>
          <w:sz w:val="24"/>
          <w:szCs w:val="24"/>
        </w:rPr>
      </w:pPr>
      <w:r w:rsidRPr="00E56633">
        <w:rPr>
          <w:rFonts w:ascii="Times New Roman" w:eastAsia="Times New Roman" w:hAnsi="Times New Roman" w:cs="Times New Roman"/>
          <w:sz w:val="24"/>
          <w:szCs w:val="24"/>
        </w:rPr>
        <w:t xml:space="preserve">These services should be culturally adapted and offered through local tourism offices, unions, NGOs, and even in-house HR departments of large hotels. Sessions can cover burnout recovery, coping with job loss, dealing with harassment, and managing work-life balance. Special attention must be given to female workers, LGBTQ+ staff, and </w:t>
      </w:r>
      <w:proofErr w:type="spellStart"/>
      <w:r w:rsidRPr="00E56633">
        <w:rPr>
          <w:rFonts w:ascii="Times New Roman" w:eastAsia="Times New Roman" w:hAnsi="Times New Roman" w:cs="Times New Roman"/>
          <w:sz w:val="24"/>
          <w:szCs w:val="24"/>
        </w:rPr>
        <w:t>frontliners</w:t>
      </w:r>
      <w:proofErr w:type="spellEnd"/>
      <w:r w:rsidRPr="00E56633">
        <w:rPr>
          <w:rFonts w:ascii="Times New Roman" w:eastAsia="Times New Roman" w:hAnsi="Times New Roman" w:cs="Times New Roman"/>
          <w:sz w:val="24"/>
          <w:szCs w:val="24"/>
        </w:rPr>
        <w:t xml:space="preserve"> such as cleaners and drivers, who often face discrimination and have limited support systems (UN Women, 2020; GWI, 2021). Creating safe emotional spaces also improves workplace morale, trust, and retention.</w:t>
      </w:r>
    </w:p>
    <w:p w:rsidR="00E56633" w:rsidRPr="00D36F13" w:rsidRDefault="00E56633" w:rsidP="00D36F13">
      <w:pPr>
        <w:spacing w:before="100" w:beforeAutospacing="1" w:after="100" w:afterAutospacing="1" w:line="240" w:lineRule="auto"/>
        <w:rPr>
          <w:rFonts w:ascii="Times New Roman" w:eastAsia="Times New Roman" w:hAnsi="Times New Roman" w:cs="Times New Roman"/>
          <w:sz w:val="24"/>
          <w:szCs w:val="24"/>
        </w:rPr>
      </w:pPr>
      <w:r w:rsidRPr="00E56633">
        <w:rPr>
          <w:rFonts w:ascii="Times New Roman" w:eastAsia="Times New Roman" w:hAnsi="Times New Roman" w:cs="Times New Roman"/>
          <w:sz w:val="24"/>
          <w:szCs w:val="24"/>
        </w:rPr>
        <w:t xml:space="preserve">Thailand can pilot this model through a Mental Wellness for Tourism Workers Program (MWTWP), partnering with mental health NGOs, psychology departments at universities, and regional clinics. Funding can come from tourism tax revenues or CSR budgets of large travel brands. A supportive, emotionally intelligent workforce is </w:t>
      </w:r>
      <w:proofErr w:type="gramStart"/>
      <w:r w:rsidRPr="00E56633">
        <w:rPr>
          <w:rFonts w:ascii="Times New Roman" w:eastAsia="Times New Roman" w:hAnsi="Times New Roman" w:cs="Times New Roman"/>
          <w:sz w:val="24"/>
          <w:szCs w:val="24"/>
        </w:rPr>
        <w:t>key</w:t>
      </w:r>
      <w:proofErr w:type="gramEnd"/>
      <w:r w:rsidRPr="00E56633">
        <w:rPr>
          <w:rFonts w:ascii="Times New Roman" w:eastAsia="Times New Roman" w:hAnsi="Times New Roman" w:cs="Times New Roman"/>
          <w:sz w:val="24"/>
          <w:szCs w:val="24"/>
        </w:rPr>
        <w:t xml:space="preserve"> to building meaningful tourism experiences. As the WHO emphasized in 2021, workforce resilience must go beyond economic security to include psychological well-being, especially in high-stress sectors like </w:t>
      </w:r>
      <w:r>
        <w:rPr>
          <w:rFonts w:ascii="Times New Roman" w:eastAsia="Times New Roman" w:hAnsi="Times New Roman" w:cs="Times New Roman"/>
          <w:sz w:val="24"/>
          <w:szCs w:val="24"/>
        </w:rPr>
        <w:t>tourism (WHO, 2021; UNEP, 2020)</w:t>
      </w:r>
    </w:p>
    <w:p w:rsidR="00D36F13" w:rsidRPr="00D36F13" w:rsidRDefault="00D36F13" w:rsidP="00D36F13">
      <w:pPr>
        <w:spacing w:after="0" w:line="240" w:lineRule="auto"/>
        <w:rPr>
          <w:rFonts w:ascii="Times New Roman" w:eastAsia="Times New Roman" w:hAnsi="Times New Roman" w:cs="Times New Roman"/>
          <w:sz w:val="24"/>
          <w:szCs w:val="24"/>
        </w:rPr>
      </w:pPr>
    </w:p>
    <w:p w:rsidR="00D36F13" w:rsidRPr="00D36F13" w:rsidRDefault="00D36F13" w:rsidP="00D36F13">
      <w:pPr>
        <w:spacing w:before="100" w:beforeAutospacing="1" w:after="100" w:afterAutospacing="1" w:line="240" w:lineRule="auto"/>
        <w:outlineLvl w:val="2"/>
        <w:rPr>
          <w:rFonts w:ascii="Times New Roman" w:eastAsia="Times New Roman" w:hAnsi="Times New Roman" w:cs="Times New Roman"/>
          <w:b/>
          <w:bCs/>
          <w:sz w:val="27"/>
          <w:szCs w:val="27"/>
        </w:rPr>
      </w:pPr>
      <w:r w:rsidRPr="00D36F13">
        <w:rPr>
          <w:rFonts w:ascii="Times New Roman" w:eastAsia="Times New Roman" w:hAnsi="Times New Roman" w:cs="Times New Roman"/>
          <w:b/>
          <w:bCs/>
          <w:sz w:val="27"/>
          <w:szCs w:val="27"/>
        </w:rPr>
        <w:t>Conclusion</w:t>
      </w:r>
      <w:r>
        <w:rPr>
          <w:rFonts w:ascii="Times New Roman" w:eastAsia="Times New Roman" w:hAnsi="Times New Roman" w:cs="Times New Roman"/>
          <w:b/>
          <w:bCs/>
          <w:sz w:val="27"/>
          <w:szCs w:val="27"/>
        </w:rPr>
        <w:t xml:space="preserve"> </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Thailand’s tourism </w:t>
      </w:r>
      <w:proofErr w:type="spellStart"/>
      <w:r w:rsidRPr="00D36F13">
        <w:rPr>
          <w:rFonts w:ascii="Times New Roman" w:eastAsia="Times New Roman" w:hAnsi="Times New Roman" w:cs="Times New Roman"/>
          <w:sz w:val="24"/>
          <w:szCs w:val="24"/>
        </w:rPr>
        <w:t>labour</w:t>
      </w:r>
      <w:proofErr w:type="spellEnd"/>
      <w:r w:rsidRPr="00D36F13">
        <w:rPr>
          <w:rFonts w:ascii="Times New Roman" w:eastAsia="Times New Roman" w:hAnsi="Times New Roman" w:cs="Times New Roman"/>
          <w:sz w:val="24"/>
          <w:szCs w:val="24"/>
        </w:rPr>
        <w:t xml:space="preserve"> system stands at a defining moment. The dual shocks of </w:t>
      </w:r>
      <w:proofErr w:type="spellStart"/>
      <w:r w:rsidRPr="00D36F13">
        <w:rPr>
          <w:rFonts w:ascii="Times New Roman" w:eastAsia="Times New Roman" w:hAnsi="Times New Roman" w:cs="Times New Roman"/>
          <w:sz w:val="24"/>
          <w:szCs w:val="24"/>
        </w:rPr>
        <w:t>overtourism</w:t>
      </w:r>
      <w:proofErr w:type="spellEnd"/>
      <w:r w:rsidRPr="00D36F13">
        <w:rPr>
          <w:rFonts w:ascii="Times New Roman" w:eastAsia="Times New Roman" w:hAnsi="Times New Roman" w:cs="Times New Roman"/>
          <w:sz w:val="24"/>
          <w:szCs w:val="24"/>
        </w:rPr>
        <w:t xml:space="preserve"> and the COVID-19 pandemic exposed deeply entrenched vulnerabilities—namely, the reliance on informal work, the lack of social protection, and the over-concentration in a few tourist hotspots. As such, the recovery should not aim to restore the old status quo but to transform the tourism workforce into one that is inclusive, resilient, and environmentally sustainable (UNWTO, 2022; ADB, 2021). The proposed recovery plan reflects a holistic strategy rooted in international best practices and localized innovations.</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Central to this transformation is the principle of decentralization. Thailand’s overdependence on </w:t>
      </w:r>
      <w:proofErr w:type="spellStart"/>
      <w:r w:rsidRPr="00D36F13">
        <w:rPr>
          <w:rFonts w:ascii="Times New Roman" w:eastAsia="Times New Roman" w:hAnsi="Times New Roman" w:cs="Times New Roman"/>
          <w:sz w:val="24"/>
          <w:szCs w:val="24"/>
        </w:rPr>
        <w:t>Phuket</w:t>
      </w:r>
      <w:proofErr w:type="spellEnd"/>
      <w:r w:rsidRPr="00D36F13">
        <w:rPr>
          <w:rFonts w:ascii="Times New Roman" w:eastAsia="Times New Roman" w:hAnsi="Times New Roman" w:cs="Times New Roman"/>
          <w:sz w:val="24"/>
          <w:szCs w:val="24"/>
        </w:rPr>
        <w:t xml:space="preserve">, </w:t>
      </w:r>
      <w:proofErr w:type="spellStart"/>
      <w:r w:rsidRPr="00D36F13">
        <w:rPr>
          <w:rFonts w:ascii="Times New Roman" w:eastAsia="Times New Roman" w:hAnsi="Times New Roman" w:cs="Times New Roman"/>
          <w:sz w:val="24"/>
          <w:szCs w:val="24"/>
        </w:rPr>
        <w:t>Pattaya</w:t>
      </w:r>
      <w:proofErr w:type="spellEnd"/>
      <w:r w:rsidRPr="00D36F13">
        <w:rPr>
          <w:rFonts w:ascii="Times New Roman" w:eastAsia="Times New Roman" w:hAnsi="Times New Roman" w:cs="Times New Roman"/>
          <w:sz w:val="24"/>
          <w:szCs w:val="24"/>
        </w:rPr>
        <w:t>, and Chiang Mai must be reduced by investing in workforce development across lesser-known provinces. Empowering regional tourism cooperatives and linking them with national infrastructure ensures that income and employment are equitably distributed. This approach also reduces the environmental footprint and supports cultural preservation, fulfilling goals aligned with the UN’s 2030 Agenda (UN, 2015; UNEP, 2020).</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Equally important is the commitment to sustainability and climate resilience. Training workers in coral reef restoration, waste management, and renewable energy for resorts will build a tourism sector that contributes to, rather than exploits, natural ecosystems. Green skills not only meet growing market demand but also align with Thailand’s national environmental goals. Global examples from Costa Rica and Portugal demonstrate that eco-tourism can be both profitable and regenerative when workers are trained and empowered (OECD, 2020; WTTC, 2021).</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The emphasis on social protection and formalization will ensure that tourism does not remain a site of exploitation. Introducing wage floors, health insurance access, maternity leave, and </w:t>
      </w:r>
      <w:r w:rsidRPr="00D36F13">
        <w:rPr>
          <w:rFonts w:ascii="Times New Roman" w:eastAsia="Times New Roman" w:hAnsi="Times New Roman" w:cs="Times New Roman"/>
          <w:sz w:val="24"/>
          <w:szCs w:val="24"/>
        </w:rPr>
        <w:lastRenderedPageBreak/>
        <w:t>contract enforcement transforms tourism jobs into dignified, secure employment. In doing so, Thailand not only protects workers during future crises but also boosts productivity and retention rates. The success of New Zealand’s Tourism Workforce Accord proves that robust social policy increases sector competitiveness (ILO, 2020; UNDP, 2021).</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Gender equity must be a cross-cutting theme in all reforms. With women constituting a large share of the tourism workforce yet facing disproportionate job losses, policies should prioritize their participation, leadership, and safety. Childcare support, harassment reporting systems, and promotion quotas will encourage gender-balanced workplaces. The examples of Iceland’s gender parity mandates and Bali’s women-led community tours show the tangible benefits of inclusive planning (UN Women, 2020; OECD, 2021).</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Digital transformation is another cornerstone of this recovery. Informal workers must be brought into Thailand’s growing digital economy through mobile payments, online visibility, and legal recognition. This shift requires both infrastructure and literacy, particularly in rural and low-income areas. As seen in Estonia and Rwanda, when the state invests in digital tools for small businesses, economic resilience improves across the board (ADB, 2021; ILO, 2021).</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Institutional innovation will be vital for long-term impact. The creation of a national Tourism Workforce Innovation Lab can serve as a testing ground for flexible job contracts, social enterprise models, and digital employment platforms. By piloting and scaling promising ideas, Thailand can stay adaptive and responsive to future trends and disruptions. Such labs already exist in Singapore and Finland, offering real-time feedback to policymakers (WTTC, 2020; UNWTO, 2021).</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The tourism sector must also be harmonized with climate adaptation plans. Job roles like mangrove restoration specialists, sustainable fishing guides, and carbon audit officers for hotels represent the next generation of tourism employment. These jobs blend conservation with commerce, ensuring that workers are not just part of the solution but are compensated for it. As Thailand is vulnerable to climate shocks, integrating adaptation into employment is not just strategic but necessary (UNEP, 2018; </w:t>
      </w:r>
      <w:proofErr w:type="spellStart"/>
      <w:r w:rsidRPr="00D36F13">
        <w:rPr>
          <w:rFonts w:ascii="Times New Roman" w:eastAsia="Times New Roman" w:hAnsi="Times New Roman" w:cs="Times New Roman"/>
          <w:sz w:val="24"/>
          <w:szCs w:val="24"/>
        </w:rPr>
        <w:t>Gossling</w:t>
      </w:r>
      <w:proofErr w:type="spellEnd"/>
      <w:r w:rsidRPr="00D36F13">
        <w:rPr>
          <w:rFonts w:ascii="Times New Roman" w:eastAsia="Times New Roman" w:hAnsi="Times New Roman" w:cs="Times New Roman"/>
          <w:sz w:val="24"/>
          <w:szCs w:val="24"/>
        </w:rPr>
        <w:t xml:space="preserve"> et al., 2021).</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Above all, the recovery must center on human dignity. Tourism workers have long been the invisible backbone of the industry. Their voices, needs, and aspirations should shape the policies that impact their futures. From </w:t>
      </w:r>
      <w:proofErr w:type="spellStart"/>
      <w:r w:rsidRPr="00D36F13">
        <w:rPr>
          <w:rFonts w:ascii="Times New Roman" w:eastAsia="Times New Roman" w:hAnsi="Times New Roman" w:cs="Times New Roman"/>
          <w:sz w:val="24"/>
          <w:szCs w:val="24"/>
        </w:rPr>
        <w:t>tuk-tuk</w:t>
      </w:r>
      <w:proofErr w:type="spellEnd"/>
      <w:r w:rsidRPr="00D36F13">
        <w:rPr>
          <w:rFonts w:ascii="Times New Roman" w:eastAsia="Times New Roman" w:hAnsi="Times New Roman" w:cs="Times New Roman"/>
          <w:sz w:val="24"/>
          <w:szCs w:val="24"/>
        </w:rPr>
        <w:t xml:space="preserve"> drivers to yoga instructors, every role should be valued, formalized, and supported with the opportunity to grow. This people-first approach is the cornerstone of sustainable development (ILO, 2021; UNDP, 2021).</w:t>
      </w:r>
    </w:p>
    <w:p w:rsidR="00D36F13" w:rsidRPr="00D36F13" w:rsidRDefault="00D36F13" w:rsidP="00D36F13">
      <w:p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In conclusion, Thailand has the opportunity to lead the way in post-crisis tourism reform. By embracing a </w:t>
      </w:r>
      <w:proofErr w:type="spellStart"/>
      <w:r w:rsidRPr="00D36F13">
        <w:rPr>
          <w:rFonts w:ascii="Times New Roman" w:eastAsia="Times New Roman" w:hAnsi="Times New Roman" w:cs="Times New Roman"/>
          <w:sz w:val="24"/>
          <w:szCs w:val="24"/>
        </w:rPr>
        <w:t>labour</w:t>
      </w:r>
      <w:proofErr w:type="spellEnd"/>
      <w:r w:rsidRPr="00D36F13">
        <w:rPr>
          <w:rFonts w:ascii="Times New Roman" w:eastAsia="Times New Roman" w:hAnsi="Times New Roman" w:cs="Times New Roman"/>
          <w:sz w:val="24"/>
          <w:szCs w:val="24"/>
        </w:rPr>
        <w:t xml:space="preserve"> model that emphasizes equity, sustainability, decentralization, and innovation, the country can not only recover lost jobs but create a new generation of meaningful, future-ready employment. This transformation will require bold policies, sustained investment, and collaboration across sectors—but the payoff will be a tourism economy that uplifts people, preserves the planet, and prospers far beyond recovery.</w:t>
      </w:r>
    </w:p>
    <w:p w:rsidR="00D36F13" w:rsidRPr="00D36F13" w:rsidRDefault="00D36F13" w:rsidP="00D36F13">
      <w:pPr>
        <w:spacing w:after="0" w:line="240" w:lineRule="auto"/>
        <w:rPr>
          <w:rFonts w:ascii="Times New Roman" w:eastAsia="Times New Roman" w:hAnsi="Times New Roman" w:cs="Times New Roman"/>
          <w:sz w:val="24"/>
          <w:szCs w:val="24"/>
        </w:rPr>
      </w:pPr>
    </w:p>
    <w:p w:rsidR="00D36F13" w:rsidRPr="00D36F13" w:rsidRDefault="00D36F13" w:rsidP="00D36F13">
      <w:pPr>
        <w:spacing w:before="100" w:beforeAutospacing="1" w:after="100" w:afterAutospacing="1" w:line="240" w:lineRule="auto"/>
        <w:outlineLvl w:val="2"/>
        <w:rPr>
          <w:rFonts w:ascii="Times New Roman" w:eastAsia="Times New Roman" w:hAnsi="Times New Roman" w:cs="Times New Roman"/>
          <w:b/>
          <w:bCs/>
          <w:sz w:val="27"/>
          <w:szCs w:val="27"/>
        </w:rPr>
      </w:pPr>
      <w:r w:rsidRPr="00D36F13">
        <w:rPr>
          <w:rFonts w:ascii="Times New Roman" w:eastAsia="Times New Roman" w:hAnsi="Times New Roman" w:cs="Times New Roman"/>
          <w:b/>
          <w:bCs/>
          <w:sz w:val="27"/>
          <w:szCs w:val="27"/>
        </w:rPr>
        <w:lastRenderedPageBreak/>
        <w:t>References</w:t>
      </w:r>
    </w:p>
    <w:p w:rsidR="00D36F13" w:rsidRPr="00D36F13" w:rsidRDefault="00D36F13" w:rsidP="00D36F1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Asian Development Bank (ADB). (2020, 2021). </w:t>
      </w:r>
      <w:r w:rsidRPr="00D36F13">
        <w:rPr>
          <w:rFonts w:ascii="Times New Roman" w:eastAsia="Times New Roman" w:hAnsi="Times New Roman" w:cs="Times New Roman"/>
          <w:i/>
          <w:iCs/>
          <w:sz w:val="24"/>
          <w:szCs w:val="24"/>
        </w:rPr>
        <w:t>Thailand Employment and COVID-19 Reports</w:t>
      </w:r>
      <w:r w:rsidRPr="00D36F13">
        <w:rPr>
          <w:rFonts w:ascii="Times New Roman" w:eastAsia="Times New Roman" w:hAnsi="Times New Roman" w:cs="Times New Roman"/>
          <w:sz w:val="24"/>
          <w:szCs w:val="24"/>
        </w:rPr>
        <w:t>.</w:t>
      </w:r>
    </w:p>
    <w:p w:rsidR="00D36F13" w:rsidRPr="00D36F13" w:rsidRDefault="00D36F13" w:rsidP="00D36F1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Cohen, E. (2019). </w:t>
      </w:r>
      <w:r w:rsidRPr="00D36F13">
        <w:rPr>
          <w:rFonts w:ascii="Times New Roman" w:eastAsia="Times New Roman" w:hAnsi="Times New Roman" w:cs="Times New Roman"/>
          <w:i/>
          <w:iCs/>
          <w:sz w:val="24"/>
          <w:szCs w:val="24"/>
        </w:rPr>
        <w:t xml:space="preserve">Cultural </w:t>
      </w:r>
      <w:proofErr w:type="spellStart"/>
      <w:r w:rsidRPr="00D36F13">
        <w:rPr>
          <w:rFonts w:ascii="Times New Roman" w:eastAsia="Times New Roman" w:hAnsi="Times New Roman" w:cs="Times New Roman"/>
          <w:i/>
          <w:iCs/>
          <w:sz w:val="24"/>
          <w:szCs w:val="24"/>
        </w:rPr>
        <w:t>Commodification</w:t>
      </w:r>
      <w:proofErr w:type="spellEnd"/>
      <w:r w:rsidRPr="00D36F13">
        <w:rPr>
          <w:rFonts w:ascii="Times New Roman" w:eastAsia="Times New Roman" w:hAnsi="Times New Roman" w:cs="Times New Roman"/>
          <w:i/>
          <w:iCs/>
          <w:sz w:val="24"/>
          <w:szCs w:val="24"/>
        </w:rPr>
        <w:t xml:space="preserve"> in Tourism: Re-examined</w:t>
      </w:r>
      <w:r w:rsidRPr="00D36F13">
        <w:rPr>
          <w:rFonts w:ascii="Times New Roman" w:eastAsia="Times New Roman" w:hAnsi="Times New Roman" w:cs="Times New Roman"/>
          <w:sz w:val="24"/>
          <w:szCs w:val="24"/>
        </w:rPr>
        <w:t>.</w:t>
      </w:r>
    </w:p>
    <w:p w:rsidR="00D36F13" w:rsidRPr="00D36F13" w:rsidRDefault="00D36F13" w:rsidP="00D36F13">
      <w:pPr>
        <w:numPr>
          <w:ilvl w:val="0"/>
          <w:numId w:val="9"/>
        </w:numPr>
        <w:spacing w:before="100" w:beforeAutospacing="1" w:after="100" w:afterAutospacing="1" w:line="240" w:lineRule="auto"/>
        <w:rPr>
          <w:rFonts w:ascii="Times New Roman" w:eastAsia="Times New Roman" w:hAnsi="Times New Roman" w:cs="Times New Roman"/>
          <w:sz w:val="24"/>
          <w:szCs w:val="24"/>
        </w:rPr>
      </w:pPr>
      <w:proofErr w:type="spellStart"/>
      <w:r w:rsidRPr="00D36F13">
        <w:rPr>
          <w:rFonts w:ascii="Times New Roman" w:eastAsia="Times New Roman" w:hAnsi="Times New Roman" w:cs="Times New Roman"/>
          <w:sz w:val="24"/>
          <w:szCs w:val="24"/>
        </w:rPr>
        <w:t>Gossling</w:t>
      </w:r>
      <w:proofErr w:type="spellEnd"/>
      <w:r w:rsidRPr="00D36F13">
        <w:rPr>
          <w:rFonts w:ascii="Times New Roman" w:eastAsia="Times New Roman" w:hAnsi="Times New Roman" w:cs="Times New Roman"/>
          <w:sz w:val="24"/>
          <w:szCs w:val="24"/>
        </w:rPr>
        <w:t xml:space="preserve">, S., Scott, D., &amp; Hall, M. (2021). </w:t>
      </w:r>
      <w:r w:rsidRPr="00D36F13">
        <w:rPr>
          <w:rFonts w:ascii="Times New Roman" w:eastAsia="Times New Roman" w:hAnsi="Times New Roman" w:cs="Times New Roman"/>
          <w:i/>
          <w:iCs/>
          <w:sz w:val="24"/>
          <w:szCs w:val="24"/>
        </w:rPr>
        <w:t>Pandemics and Tourism: Impacts and Implications</w:t>
      </w:r>
      <w:r w:rsidRPr="00D36F13">
        <w:rPr>
          <w:rFonts w:ascii="Times New Roman" w:eastAsia="Times New Roman" w:hAnsi="Times New Roman" w:cs="Times New Roman"/>
          <w:sz w:val="24"/>
          <w:szCs w:val="24"/>
        </w:rPr>
        <w:t>. Journal of Sustainable Tourism.</w:t>
      </w:r>
    </w:p>
    <w:p w:rsidR="00D36F13" w:rsidRPr="00D36F13" w:rsidRDefault="00D36F13" w:rsidP="00D36F1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Global Wellness Institute (GWI). (2021). </w:t>
      </w:r>
      <w:r w:rsidRPr="00D36F13">
        <w:rPr>
          <w:rFonts w:ascii="Times New Roman" w:eastAsia="Times New Roman" w:hAnsi="Times New Roman" w:cs="Times New Roman"/>
          <w:i/>
          <w:iCs/>
          <w:sz w:val="24"/>
          <w:szCs w:val="24"/>
        </w:rPr>
        <w:t>Global Wellness Tourism Economy Report</w:t>
      </w:r>
      <w:r w:rsidRPr="00D36F13">
        <w:rPr>
          <w:rFonts w:ascii="Times New Roman" w:eastAsia="Times New Roman" w:hAnsi="Times New Roman" w:cs="Times New Roman"/>
          <w:sz w:val="24"/>
          <w:szCs w:val="24"/>
        </w:rPr>
        <w:t>.</w:t>
      </w:r>
    </w:p>
    <w:p w:rsidR="00D36F13" w:rsidRPr="00D36F13" w:rsidRDefault="00D36F13" w:rsidP="00D36F1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International </w:t>
      </w:r>
      <w:proofErr w:type="spellStart"/>
      <w:r w:rsidRPr="00D36F13">
        <w:rPr>
          <w:rFonts w:ascii="Times New Roman" w:eastAsia="Times New Roman" w:hAnsi="Times New Roman" w:cs="Times New Roman"/>
          <w:sz w:val="24"/>
          <w:szCs w:val="24"/>
        </w:rPr>
        <w:t>Labour</w:t>
      </w:r>
      <w:proofErr w:type="spellEnd"/>
      <w:r w:rsidRPr="00D36F13">
        <w:rPr>
          <w:rFonts w:ascii="Times New Roman" w:eastAsia="Times New Roman" w:hAnsi="Times New Roman" w:cs="Times New Roman"/>
          <w:sz w:val="24"/>
          <w:szCs w:val="24"/>
        </w:rPr>
        <w:t xml:space="preserve"> Organization (ILO). (2019–2021). </w:t>
      </w:r>
      <w:r w:rsidRPr="00D36F13">
        <w:rPr>
          <w:rFonts w:ascii="Times New Roman" w:eastAsia="Times New Roman" w:hAnsi="Times New Roman" w:cs="Times New Roman"/>
          <w:i/>
          <w:iCs/>
          <w:sz w:val="24"/>
          <w:szCs w:val="24"/>
        </w:rPr>
        <w:t xml:space="preserve">Tourism </w:t>
      </w:r>
      <w:proofErr w:type="spellStart"/>
      <w:r w:rsidRPr="00D36F13">
        <w:rPr>
          <w:rFonts w:ascii="Times New Roman" w:eastAsia="Times New Roman" w:hAnsi="Times New Roman" w:cs="Times New Roman"/>
          <w:i/>
          <w:iCs/>
          <w:sz w:val="24"/>
          <w:szCs w:val="24"/>
        </w:rPr>
        <w:t>Labour</w:t>
      </w:r>
      <w:proofErr w:type="spellEnd"/>
      <w:r w:rsidRPr="00D36F13">
        <w:rPr>
          <w:rFonts w:ascii="Times New Roman" w:eastAsia="Times New Roman" w:hAnsi="Times New Roman" w:cs="Times New Roman"/>
          <w:i/>
          <w:iCs/>
          <w:sz w:val="24"/>
          <w:szCs w:val="24"/>
        </w:rPr>
        <w:t xml:space="preserve"> Frameworks and COVID Response Reports</w:t>
      </w:r>
      <w:r w:rsidRPr="00D36F13">
        <w:rPr>
          <w:rFonts w:ascii="Times New Roman" w:eastAsia="Times New Roman" w:hAnsi="Times New Roman" w:cs="Times New Roman"/>
          <w:sz w:val="24"/>
          <w:szCs w:val="24"/>
        </w:rPr>
        <w:t>.</w:t>
      </w:r>
    </w:p>
    <w:p w:rsidR="00D36F13" w:rsidRPr="00D36F13" w:rsidRDefault="00D36F13" w:rsidP="00D36F13">
      <w:pPr>
        <w:numPr>
          <w:ilvl w:val="0"/>
          <w:numId w:val="9"/>
        </w:numPr>
        <w:spacing w:before="100" w:beforeAutospacing="1" w:after="100" w:afterAutospacing="1" w:line="240" w:lineRule="auto"/>
        <w:rPr>
          <w:rFonts w:ascii="Times New Roman" w:eastAsia="Times New Roman" w:hAnsi="Times New Roman" w:cs="Times New Roman"/>
          <w:sz w:val="24"/>
          <w:szCs w:val="24"/>
        </w:rPr>
      </w:pPr>
      <w:proofErr w:type="spellStart"/>
      <w:r w:rsidRPr="00D36F13">
        <w:rPr>
          <w:rFonts w:ascii="Times New Roman" w:eastAsia="Times New Roman" w:hAnsi="Times New Roman" w:cs="Times New Roman"/>
          <w:sz w:val="24"/>
          <w:szCs w:val="24"/>
        </w:rPr>
        <w:t>Organisation</w:t>
      </w:r>
      <w:proofErr w:type="spellEnd"/>
      <w:r w:rsidRPr="00D36F13">
        <w:rPr>
          <w:rFonts w:ascii="Times New Roman" w:eastAsia="Times New Roman" w:hAnsi="Times New Roman" w:cs="Times New Roman"/>
          <w:sz w:val="24"/>
          <w:szCs w:val="24"/>
        </w:rPr>
        <w:t xml:space="preserve"> for Economic Co-operation and Development (OECD). (2020–2021). </w:t>
      </w:r>
      <w:r w:rsidRPr="00D36F13">
        <w:rPr>
          <w:rFonts w:ascii="Times New Roman" w:eastAsia="Times New Roman" w:hAnsi="Times New Roman" w:cs="Times New Roman"/>
          <w:i/>
          <w:iCs/>
          <w:sz w:val="24"/>
          <w:szCs w:val="24"/>
        </w:rPr>
        <w:t>Tourism Trends and Resilience Strategies</w:t>
      </w:r>
      <w:r w:rsidRPr="00D36F13">
        <w:rPr>
          <w:rFonts w:ascii="Times New Roman" w:eastAsia="Times New Roman" w:hAnsi="Times New Roman" w:cs="Times New Roman"/>
          <w:sz w:val="24"/>
          <w:szCs w:val="24"/>
        </w:rPr>
        <w:t>.</w:t>
      </w:r>
    </w:p>
    <w:p w:rsidR="00D36F13" w:rsidRPr="00D36F13" w:rsidRDefault="00D36F13" w:rsidP="00D36F1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United Nations Development </w:t>
      </w:r>
      <w:proofErr w:type="spellStart"/>
      <w:r w:rsidRPr="00D36F13">
        <w:rPr>
          <w:rFonts w:ascii="Times New Roman" w:eastAsia="Times New Roman" w:hAnsi="Times New Roman" w:cs="Times New Roman"/>
          <w:sz w:val="24"/>
          <w:szCs w:val="24"/>
        </w:rPr>
        <w:t>Programme</w:t>
      </w:r>
      <w:proofErr w:type="spellEnd"/>
      <w:r w:rsidRPr="00D36F13">
        <w:rPr>
          <w:rFonts w:ascii="Times New Roman" w:eastAsia="Times New Roman" w:hAnsi="Times New Roman" w:cs="Times New Roman"/>
          <w:sz w:val="24"/>
          <w:szCs w:val="24"/>
        </w:rPr>
        <w:t xml:space="preserve"> (UNDP). (2021). </w:t>
      </w:r>
      <w:r w:rsidRPr="00D36F13">
        <w:rPr>
          <w:rFonts w:ascii="Times New Roman" w:eastAsia="Times New Roman" w:hAnsi="Times New Roman" w:cs="Times New Roman"/>
          <w:i/>
          <w:iCs/>
          <w:sz w:val="24"/>
          <w:szCs w:val="24"/>
        </w:rPr>
        <w:t>Inclusive Tourism Models for Post-Pandemic Recovery</w:t>
      </w:r>
      <w:r w:rsidRPr="00D36F13">
        <w:rPr>
          <w:rFonts w:ascii="Times New Roman" w:eastAsia="Times New Roman" w:hAnsi="Times New Roman" w:cs="Times New Roman"/>
          <w:sz w:val="24"/>
          <w:szCs w:val="24"/>
        </w:rPr>
        <w:t>.</w:t>
      </w:r>
    </w:p>
    <w:p w:rsidR="00D36F13" w:rsidRPr="00D36F13" w:rsidRDefault="00D36F13" w:rsidP="00D36F1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United Nations Environment </w:t>
      </w:r>
      <w:proofErr w:type="spellStart"/>
      <w:r w:rsidRPr="00D36F13">
        <w:rPr>
          <w:rFonts w:ascii="Times New Roman" w:eastAsia="Times New Roman" w:hAnsi="Times New Roman" w:cs="Times New Roman"/>
          <w:sz w:val="24"/>
          <w:szCs w:val="24"/>
        </w:rPr>
        <w:t>Programme</w:t>
      </w:r>
      <w:proofErr w:type="spellEnd"/>
      <w:r w:rsidRPr="00D36F13">
        <w:rPr>
          <w:rFonts w:ascii="Times New Roman" w:eastAsia="Times New Roman" w:hAnsi="Times New Roman" w:cs="Times New Roman"/>
          <w:sz w:val="24"/>
          <w:szCs w:val="24"/>
        </w:rPr>
        <w:t xml:space="preserve"> (UNEP). (2018, 2020). </w:t>
      </w:r>
      <w:proofErr w:type="spellStart"/>
      <w:r w:rsidRPr="00D36F13">
        <w:rPr>
          <w:rFonts w:ascii="Times New Roman" w:eastAsia="Times New Roman" w:hAnsi="Times New Roman" w:cs="Times New Roman"/>
          <w:i/>
          <w:iCs/>
          <w:sz w:val="24"/>
          <w:szCs w:val="24"/>
        </w:rPr>
        <w:t>Overtourism</w:t>
      </w:r>
      <w:proofErr w:type="spellEnd"/>
      <w:r w:rsidRPr="00D36F13">
        <w:rPr>
          <w:rFonts w:ascii="Times New Roman" w:eastAsia="Times New Roman" w:hAnsi="Times New Roman" w:cs="Times New Roman"/>
          <w:i/>
          <w:iCs/>
          <w:sz w:val="24"/>
          <w:szCs w:val="24"/>
        </w:rPr>
        <w:t>, Climate Resilience, and Green Jobs Reports</w:t>
      </w:r>
      <w:r w:rsidRPr="00D36F13">
        <w:rPr>
          <w:rFonts w:ascii="Times New Roman" w:eastAsia="Times New Roman" w:hAnsi="Times New Roman" w:cs="Times New Roman"/>
          <w:sz w:val="24"/>
          <w:szCs w:val="24"/>
        </w:rPr>
        <w:t>.</w:t>
      </w:r>
    </w:p>
    <w:p w:rsidR="00D36F13" w:rsidRPr="00D36F13" w:rsidRDefault="00D36F13" w:rsidP="00D36F1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United Nations World Tourism Organization (UNWTO). (2021–2022). </w:t>
      </w:r>
      <w:r w:rsidRPr="00D36F13">
        <w:rPr>
          <w:rFonts w:ascii="Times New Roman" w:eastAsia="Times New Roman" w:hAnsi="Times New Roman" w:cs="Times New Roman"/>
          <w:i/>
          <w:iCs/>
          <w:sz w:val="24"/>
          <w:szCs w:val="24"/>
        </w:rPr>
        <w:t>Restart and Reshape Tourism Series</w:t>
      </w:r>
      <w:r w:rsidRPr="00D36F13">
        <w:rPr>
          <w:rFonts w:ascii="Times New Roman" w:eastAsia="Times New Roman" w:hAnsi="Times New Roman" w:cs="Times New Roman"/>
          <w:sz w:val="24"/>
          <w:szCs w:val="24"/>
        </w:rPr>
        <w:t>.</w:t>
      </w:r>
    </w:p>
    <w:p w:rsidR="00D36F13" w:rsidRPr="00D36F13" w:rsidRDefault="00D36F13" w:rsidP="00D36F1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United Nations (UN). (2015). </w:t>
      </w:r>
      <w:r w:rsidRPr="00D36F13">
        <w:rPr>
          <w:rFonts w:ascii="Times New Roman" w:eastAsia="Times New Roman" w:hAnsi="Times New Roman" w:cs="Times New Roman"/>
          <w:i/>
          <w:iCs/>
          <w:sz w:val="24"/>
          <w:szCs w:val="24"/>
        </w:rPr>
        <w:t>Sustainable Development Goals (SDGs)</w:t>
      </w:r>
      <w:r w:rsidRPr="00D36F13">
        <w:rPr>
          <w:rFonts w:ascii="Times New Roman" w:eastAsia="Times New Roman" w:hAnsi="Times New Roman" w:cs="Times New Roman"/>
          <w:sz w:val="24"/>
          <w:szCs w:val="24"/>
        </w:rPr>
        <w:t>.</w:t>
      </w:r>
    </w:p>
    <w:p w:rsidR="00D36F13" w:rsidRPr="00D36F13" w:rsidRDefault="00D36F13" w:rsidP="00D36F1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UN Women. (2020). </w:t>
      </w:r>
      <w:r w:rsidRPr="00D36F13">
        <w:rPr>
          <w:rFonts w:ascii="Times New Roman" w:eastAsia="Times New Roman" w:hAnsi="Times New Roman" w:cs="Times New Roman"/>
          <w:i/>
          <w:iCs/>
          <w:sz w:val="24"/>
          <w:szCs w:val="24"/>
        </w:rPr>
        <w:t>COVID-19 and Women in the Tourism Industry</w:t>
      </w:r>
      <w:r w:rsidRPr="00D36F13">
        <w:rPr>
          <w:rFonts w:ascii="Times New Roman" w:eastAsia="Times New Roman" w:hAnsi="Times New Roman" w:cs="Times New Roman"/>
          <w:sz w:val="24"/>
          <w:szCs w:val="24"/>
        </w:rPr>
        <w:t>.</w:t>
      </w:r>
    </w:p>
    <w:p w:rsidR="00D36F13" w:rsidRPr="00D36F13" w:rsidRDefault="00D36F13" w:rsidP="00D36F1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D36F13">
        <w:rPr>
          <w:rFonts w:ascii="Times New Roman" w:eastAsia="Times New Roman" w:hAnsi="Times New Roman" w:cs="Times New Roman"/>
          <w:sz w:val="24"/>
          <w:szCs w:val="24"/>
        </w:rPr>
        <w:t xml:space="preserve">World Travel and Tourism Council (WTTC). (2019–2021). </w:t>
      </w:r>
      <w:r w:rsidRPr="00D36F13">
        <w:rPr>
          <w:rFonts w:ascii="Times New Roman" w:eastAsia="Times New Roman" w:hAnsi="Times New Roman" w:cs="Times New Roman"/>
          <w:i/>
          <w:iCs/>
          <w:sz w:val="24"/>
          <w:szCs w:val="24"/>
        </w:rPr>
        <w:t>Tourism Sector Impact and Recovery Reports</w:t>
      </w:r>
      <w:r w:rsidRPr="00D36F13">
        <w:rPr>
          <w:rFonts w:ascii="Times New Roman" w:eastAsia="Times New Roman" w:hAnsi="Times New Roman" w:cs="Times New Roman"/>
          <w:sz w:val="24"/>
          <w:szCs w:val="24"/>
        </w:rPr>
        <w:t>.</w:t>
      </w:r>
    </w:p>
    <w:p w:rsidR="008D4A0A" w:rsidRPr="008D4A0A" w:rsidRDefault="008D4A0A" w:rsidP="008D4A0A">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 xml:space="preserve">ADB. (2020). </w:t>
      </w:r>
      <w:r w:rsidRPr="008D4A0A">
        <w:rPr>
          <w:rFonts w:ascii="Times New Roman" w:eastAsia="Times New Roman" w:hAnsi="Times New Roman" w:cs="Times New Roman"/>
          <w:i/>
          <w:iCs/>
          <w:sz w:val="24"/>
          <w:szCs w:val="24"/>
        </w:rPr>
        <w:t xml:space="preserve">Tourism </w:t>
      </w:r>
      <w:proofErr w:type="spellStart"/>
      <w:r w:rsidRPr="008D4A0A">
        <w:rPr>
          <w:rFonts w:ascii="Times New Roman" w:eastAsia="Times New Roman" w:hAnsi="Times New Roman" w:cs="Times New Roman"/>
          <w:i/>
          <w:iCs/>
          <w:sz w:val="24"/>
          <w:szCs w:val="24"/>
        </w:rPr>
        <w:t>Labour</w:t>
      </w:r>
      <w:proofErr w:type="spellEnd"/>
      <w:r w:rsidRPr="008D4A0A">
        <w:rPr>
          <w:rFonts w:ascii="Times New Roman" w:eastAsia="Times New Roman" w:hAnsi="Times New Roman" w:cs="Times New Roman"/>
          <w:i/>
          <w:iCs/>
          <w:sz w:val="24"/>
          <w:szCs w:val="24"/>
        </w:rPr>
        <w:t xml:space="preserve"> in Southeast Asia: Thailand Country Profile</w:t>
      </w:r>
      <w:r w:rsidRPr="008D4A0A">
        <w:rPr>
          <w:rFonts w:ascii="Times New Roman" w:eastAsia="Times New Roman" w:hAnsi="Times New Roman" w:cs="Times New Roman"/>
          <w:sz w:val="24"/>
          <w:szCs w:val="24"/>
        </w:rPr>
        <w:t>.</w:t>
      </w:r>
    </w:p>
    <w:p w:rsidR="008D4A0A" w:rsidRPr="008D4A0A" w:rsidRDefault="008D4A0A" w:rsidP="008D4A0A">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 xml:space="preserve">ILO. (2021). </w:t>
      </w:r>
      <w:r w:rsidRPr="008D4A0A">
        <w:rPr>
          <w:rFonts w:ascii="Times New Roman" w:eastAsia="Times New Roman" w:hAnsi="Times New Roman" w:cs="Times New Roman"/>
          <w:i/>
          <w:iCs/>
          <w:sz w:val="24"/>
          <w:szCs w:val="24"/>
        </w:rPr>
        <w:t>Tourism Employment in Thailand Post-COVID</w:t>
      </w:r>
      <w:r w:rsidRPr="008D4A0A">
        <w:rPr>
          <w:rFonts w:ascii="Times New Roman" w:eastAsia="Times New Roman" w:hAnsi="Times New Roman" w:cs="Times New Roman"/>
          <w:sz w:val="24"/>
          <w:szCs w:val="24"/>
        </w:rPr>
        <w:t>.</w:t>
      </w:r>
    </w:p>
    <w:p w:rsidR="008D4A0A" w:rsidRPr="008D4A0A" w:rsidRDefault="008D4A0A" w:rsidP="008D4A0A">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 xml:space="preserve">Ministry of </w:t>
      </w:r>
      <w:proofErr w:type="spellStart"/>
      <w:r w:rsidRPr="008D4A0A">
        <w:rPr>
          <w:rFonts w:ascii="Times New Roman" w:eastAsia="Times New Roman" w:hAnsi="Times New Roman" w:cs="Times New Roman"/>
          <w:sz w:val="24"/>
          <w:szCs w:val="24"/>
        </w:rPr>
        <w:t>Labour</w:t>
      </w:r>
      <w:proofErr w:type="spellEnd"/>
      <w:r w:rsidRPr="008D4A0A">
        <w:rPr>
          <w:rFonts w:ascii="Times New Roman" w:eastAsia="Times New Roman" w:hAnsi="Times New Roman" w:cs="Times New Roman"/>
          <w:sz w:val="24"/>
          <w:szCs w:val="24"/>
        </w:rPr>
        <w:t xml:space="preserve"> Thailand. (2023). </w:t>
      </w:r>
      <w:r w:rsidRPr="008D4A0A">
        <w:rPr>
          <w:rFonts w:ascii="Times New Roman" w:eastAsia="Times New Roman" w:hAnsi="Times New Roman" w:cs="Times New Roman"/>
          <w:i/>
          <w:iCs/>
          <w:sz w:val="24"/>
          <w:szCs w:val="24"/>
        </w:rPr>
        <w:t>Tourism Workforce Recovery Plan Report</w:t>
      </w:r>
      <w:r w:rsidRPr="008D4A0A">
        <w:rPr>
          <w:rFonts w:ascii="Times New Roman" w:eastAsia="Times New Roman" w:hAnsi="Times New Roman" w:cs="Times New Roman"/>
          <w:sz w:val="24"/>
          <w:szCs w:val="24"/>
        </w:rPr>
        <w:t>.</w:t>
      </w:r>
    </w:p>
    <w:p w:rsidR="008D4A0A" w:rsidRPr="008D4A0A" w:rsidRDefault="008D4A0A" w:rsidP="008D4A0A">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 xml:space="preserve">TAT. (2022). </w:t>
      </w:r>
      <w:r w:rsidRPr="008D4A0A">
        <w:rPr>
          <w:rFonts w:ascii="Times New Roman" w:eastAsia="Times New Roman" w:hAnsi="Times New Roman" w:cs="Times New Roman"/>
          <w:i/>
          <w:iCs/>
          <w:sz w:val="24"/>
          <w:szCs w:val="24"/>
        </w:rPr>
        <w:t>Tourism Development Strategy Post-COVID</w:t>
      </w:r>
      <w:r w:rsidRPr="008D4A0A">
        <w:rPr>
          <w:rFonts w:ascii="Times New Roman" w:eastAsia="Times New Roman" w:hAnsi="Times New Roman" w:cs="Times New Roman"/>
          <w:sz w:val="24"/>
          <w:szCs w:val="24"/>
        </w:rPr>
        <w:t>.</w:t>
      </w:r>
    </w:p>
    <w:p w:rsidR="008D4A0A" w:rsidRPr="008D4A0A" w:rsidRDefault="008D4A0A" w:rsidP="008D4A0A">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 xml:space="preserve">UNEP. (2018). </w:t>
      </w:r>
      <w:r w:rsidRPr="008D4A0A">
        <w:rPr>
          <w:rFonts w:ascii="Times New Roman" w:eastAsia="Times New Roman" w:hAnsi="Times New Roman" w:cs="Times New Roman"/>
          <w:i/>
          <w:iCs/>
          <w:sz w:val="24"/>
          <w:szCs w:val="24"/>
        </w:rPr>
        <w:t>Over-Tourism and Its Impacts in Southeast Asia</w:t>
      </w:r>
      <w:r w:rsidRPr="008D4A0A">
        <w:rPr>
          <w:rFonts w:ascii="Times New Roman" w:eastAsia="Times New Roman" w:hAnsi="Times New Roman" w:cs="Times New Roman"/>
          <w:sz w:val="24"/>
          <w:szCs w:val="24"/>
        </w:rPr>
        <w:t>.</w:t>
      </w:r>
    </w:p>
    <w:p w:rsidR="008D4A0A" w:rsidRPr="008D4A0A" w:rsidRDefault="008D4A0A" w:rsidP="008D4A0A">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 xml:space="preserve">UNWTO. (2021). </w:t>
      </w:r>
      <w:r w:rsidRPr="008D4A0A">
        <w:rPr>
          <w:rFonts w:ascii="Times New Roman" w:eastAsia="Times New Roman" w:hAnsi="Times New Roman" w:cs="Times New Roman"/>
          <w:i/>
          <w:iCs/>
          <w:sz w:val="24"/>
          <w:szCs w:val="24"/>
        </w:rPr>
        <w:t>Restart Tourism: Smart Jobs and Green Recovery</w:t>
      </w:r>
      <w:r w:rsidRPr="008D4A0A">
        <w:rPr>
          <w:rFonts w:ascii="Times New Roman" w:eastAsia="Times New Roman" w:hAnsi="Times New Roman" w:cs="Times New Roman"/>
          <w:sz w:val="24"/>
          <w:szCs w:val="24"/>
        </w:rPr>
        <w:t>.</w:t>
      </w:r>
    </w:p>
    <w:p w:rsidR="008D4A0A" w:rsidRDefault="008D4A0A" w:rsidP="008D4A0A">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8D4A0A">
        <w:rPr>
          <w:rFonts w:ascii="Times New Roman" w:eastAsia="Times New Roman" w:hAnsi="Times New Roman" w:cs="Times New Roman"/>
          <w:sz w:val="24"/>
          <w:szCs w:val="24"/>
        </w:rPr>
        <w:t xml:space="preserve">WTTC. (2019). </w:t>
      </w:r>
      <w:r w:rsidRPr="008D4A0A">
        <w:rPr>
          <w:rFonts w:ascii="Times New Roman" w:eastAsia="Times New Roman" w:hAnsi="Times New Roman" w:cs="Times New Roman"/>
          <w:i/>
          <w:iCs/>
          <w:sz w:val="24"/>
          <w:szCs w:val="24"/>
        </w:rPr>
        <w:t>Thailand: Economic Impact Report</w:t>
      </w:r>
      <w:r w:rsidRPr="008D4A0A">
        <w:rPr>
          <w:rFonts w:ascii="Times New Roman" w:eastAsia="Times New Roman" w:hAnsi="Times New Roman" w:cs="Times New Roman"/>
          <w:sz w:val="24"/>
          <w:szCs w:val="24"/>
        </w:rPr>
        <w:t>.</w:t>
      </w:r>
    </w:p>
    <w:p w:rsidR="00BF510B" w:rsidRPr="00BF510B" w:rsidRDefault="00BF510B" w:rsidP="00BF510B">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Asian Development Bank (ADB). (2020). </w:t>
      </w:r>
      <w:r w:rsidRPr="00BF510B">
        <w:rPr>
          <w:rFonts w:ascii="Times New Roman" w:eastAsia="Times New Roman" w:hAnsi="Times New Roman" w:cs="Times New Roman"/>
          <w:i/>
          <w:iCs/>
          <w:sz w:val="24"/>
          <w:szCs w:val="24"/>
        </w:rPr>
        <w:t>Thailand COVID-19 Rapid Situation Assessment</w:t>
      </w:r>
      <w:r w:rsidRPr="00BF510B">
        <w:rPr>
          <w:rFonts w:ascii="Times New Roman" w:eastAsia="Times New Roman" w:hAnsi="Times New Roman" w:cs="Times New Roman"/>
          <w:sz w:val="24"/>
          <w:szCs w:val="24"/>
        </w:rPr>
        <w:t>.</w:t>
      </w:r>
    </w:p>
    <w:p w:rsidR="00BF510B" w:rsidRPr="00BF510B" w:rsidRDefault="00BF510B" w:rsidP="00BF510B">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Cohen, E. (2019). </w:t>
      </w:r>
      <w:r w:rsidRPr="00BF510B">
        <w:rPr>
          <w:rFonts w:ascii="Times New Roman" w:eastAsia="Times New Roman" w:hAnsi="Times New Roman" w:cs="Times New Roman"/>
          <w:i/>
          <w:iCs/>
          <w:sz w:val="24"/>
          <w:szCs w:val="24"/>
        </w:rPr>
        <w:t xml:space="preserve">Tourism and Cultural </w:t>
      </w:r>
      <w:proofErr w:type="spellStart"/>
      <w:r w:rsidRPr="00BF510B">
        <w:rPr>
          <w:rFonts w:ascii="Times New Roman" w:eastAsia="Times New Roman" w:hAnsi="Times New Roman" w:cs="Times New Roman"/>
          <w:i/>
          <w:iCs/>
          <w:sz w:val="24"/>
          <w:szCs w:val="24"/>
        </w:rPr>
        <w:t>Commodification</w:t>
      </w:r>
      <w:proofErr w:type="spellEnd"/>
      <w:r w:rsidRPr="00BF510B">
        <w:rPr>
          <w:rFonts w:ascii="Times New Roman" w:eastAsia="Times New Roman" w:hAnsi="Times New Roman" w:cs="Times New Roman"/>
          <w:i/>
          <w:iCs/>
          <w:sz w:val="24"/>
          <w:szCs w:val="24"/>
        </w:rPr>
        <w:t xml:space="preserve"> in Southeast Asia</w:t>
      </w:r>
      <w:r w:rsidRPr="00BF510B">
        <w:rPr>
          <w:rFonts w:ascii="Times New Roman" w:eastAsia="Times New Roman" w:hAnsi="Times New Roman" w:cs="Times New Roman"/>
          <w:sz w:val="24"/>
          <w:szCs w:val="24"/>
        </w:rPr>
        <w:t>.</w:t>
      </w:r>
    </w:p>
    <w:p w:rsidR="00BF510B" w:rsidRPr="00BF510B" w:rsidRDefault="00BF510B" w:rsidP="00BF510B">
      <w:pPr>
        <w:numPr>
          <w:ilvl w:val="0"/>
          <w:numId w:val="7"/>
        </w:numPr>
        <w:spacing w:before="100" w:beforeAutospacing="1" w:after="100" w:afterAutospacing="1" w:line="240" w:lineRule="auto"/>
        <w:rPr>
          <w:rFonts w:ascii="Times New Roman" w:eastAsia="Times New Roman" w:hAnsi="Times New Roman" w:cs="Times New Roman"/>
          <w:sz w:val="24"/>
          <w:szCs w:val="24"/>
        </w:rPr>
      </w:pPr>
      <w:proofErr w:type="spellStart"/>
      <w:r w:rsidRPr="00BF510B">
        <w:rPr>
          <w:rFonts w:ascii="Times New Roman" w:eastAsia="Times New Roman" w:hAnsi="Times New Roman" w:cs="Times New Roman"/>
          <w:sz w:val="24"/>
          <w:szCs w:val="24"/>
        </w:rPr>
        <w:t>Gossling</w:t>
      </w:r>
      <w:proofErr w:type="spellEnd"/>
      <w:r w:rsidRPr="00BF510B">
        <w:rPr>
          <w:rFonts w:ascii="Times New Roman" w:eastAsia="Times New Roman" w:hAnsi="Times New Roman" w:cs="Times New Roman"/>
          <w:sz w:val="24"/>
          <w:szCs w:val="24"/>
        </w:rPr>
        <w:t xml:space="preserve">, S., Scott, D., &amp; Hall, M. (2021). </w:t>
      </w:r>
      <w:r w:rsidRPr="00BF510B">
        <w:rPr>
          <w:rFonts w:ascii="Times New Roman" w:eastAsia="Times New Roman" w:hAnsi="Times New Roman" w:cs="Times New Roman"/>
          <w:i/>
          <w:iCs/>
          <w:sz w:val="24"/>
          <w:szCs w:val="24"/>
        </w:rPr>
        <w:t>Pandemics, tourism and global change: a rapid assessment of COVID-19</w:t>
      </w:r>
      <w:r w:rsidRPr="00BF510B">
        <w:rPr>
          <w:rFonts w:ascii="Times New Roman" w:eastAsia="Times New Roman" w:hAnsi="Times New Roman" w:cs="Times New Roman"/>
          <w:sz w:val="24"/>
          <w:szCs w:val="24"/>
        </w:rPr>
        <w:t>. Journal of Sustainable Tourism.</w:t>
      </w:r>
    </w:p>
    <w:p w:rsidR="00BF510B" w:rsidRPr="00BF510B" w:rsidRDefault="00BF510B" w:rsidP="00BF510B">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International </w:t>
      </w:r>
      <w:proofErr w:type="spellStart"/>
      <w:r w:rsidRPr="00BF510B">
        <w:rPr>
          <w:rFonts w:ascii="Times New Roman" w:eastAsia="Times New Roman" w:hAnsi="Times New Roman" w:cs="Times New Roman"/>
          <w:sz w:val="24"/>
          <w:szCs w:val="24"/>
        </w:rPr>
        <w:t>Labour</w:t>
      </w:r>
      <w:proofErr w:type="spellEnd"/>
      <w:r w:rsidRPr="00BF510B">
        <w:rPr>
          <w:rFonts w:ascii="Times New Roman" w:eastAsia="Times New Roman" w:hAnsi="Times New Roman" w:cs="Times New Roman"/>
          <w:sz w:val="24"/>
          <w:szCs w:val="24"/>
        </w:rPr>
        <w:t xml:space="preserve"> Organization (ILO). (2019–2021). </w:t>
      </w:r>
      <w:r w:rsidRPr="00BF510B">
        <w:rPr>
          <w:rFonts w:ascii="Times New Roman" w:eastAsia="Times New Roman" w:hAnsi="Times New Roman" w:cs="Times New Roman"/>
          <w:i/>
          <w:iCs/>
          <w:sz w:val="24"/>
          <w:szCs w:val="24"/>
        </w:rPr>
        <w:t xml:space="preserve">Tourism Sector </w:t>
      </w:r>
      <w:proofErr w:type="spellStart"/>
      <w:r w:rsidRPr="00BF510B">
        <w:rPr>
          <w:rFonts w:ascii="Times New Roman" w:eastAsia="Times New Roman" w:hAnsi="Times New Roman" w:cs="Times New Roman"/>
          <w:i/>
          <w:iCs/>
          <w:sz w:val="24"/>
          <w:szCs w:val="24"/>
        </w:rPr>
        <w:t>Labour</w:t>
      </w:r>
      <w:proofErr w:type="spellEnd"/>
      <w:r w:rsidRPr="00BF510B">
        <w:rPr>
          <w:rFonts w:ascii="Times New Roman" w:eastAsia="Times New Roman" w:hAnsi="Times New Roman" w:cs="Times New Roman"/>
          <w:i/>
          <w:iCs/>
          <w:sz w:val="24"/>
          <w:szCs w:val="24"/>
        </w:rPr>
        <w:t xml:space="preserve"> Reports – Thailand</w:t>
      </w:r>
      <w:r w:rsidRPr="00BF510B">
        <w:rPr>
          <w:rFonts w:ascii="Times New Roman" w:eastAsia="Times New Roman" w:hAnsi="Times New Roman" w:cs="Times New Roman"/>
          <w:sz w:val="24"/>
          <w:szCs w:val="24"/>
        </w:rPr>
        <w:t>.</w:t>
      </w:r>
    </w:p>
    <w:p w:rsidR="00BF510B" w:rsidRPr="00BF510B" w:rsidRDefault="00BF510B" w:rsidP="00BF510B">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OECD. (2020–2021). </w:t>
      </w:r>
      <w:r w:rsidRPr="00BF510B">
        <w:rPr>
          <w:rFonts w:ascii="Times New Roman" w:eastAsia="Times New Roman" w:hAnsi="Times New Roman" w:cs="Times New Roman"/>
          <w:i/>
          <w:iCs/>
          <w:sz w:val="24"/>
          <w:szCs w:val="24"/>
        </w:rPr>
        <w:t>Tourism Trends and Policies</w:t>
      </w:r>
      <w:r w:rsidRPr="00BF510B">
        <w:rPr>
          <w:rFonts w:ascii="Times New Roman" w:eastAsia="Times New Roman" w:hAnsi="Times New Roman" w:cs="Times New Roman"/>
          <w:sz w:val="24"/>
          <w:szCs w:val="24"/>
        </w:rPr>
        <w:t>.</w:t>
      </w:r>
    </w:p>
    <w:p w:rsidR="00BF510B" w:rsidRPr="00BF510B" w:rsidRDefault="00BF510B" w:rsidP="00BF510B">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United Nations Environment </w:t>
      </w:r>
      <w:proofErr w:type="spellStart"/>
      <w:r w:rsidRPr="00BF510B">
        <w:rPr>
          <w:rFonts w:ascii="Times New Roman" w:eastAsia="Times New Roman" w:hAnsi="Times New Roman" w:cs="Times New Roman"/>
          <w:sz w:val="24"/>
          <w:szCs w:val="24"/>
        </w:rPr>
        <w:t>Programme</w:t>
      </w:r>
      <w:proofErr w:type="spellEnd"/>
      <w:r w:rsidRPr="00BF510B">
        <w:rPr>
          <w:rFonts w:ascii="Times New Roman" w:eastAsia="Times New Roman" w:hAnsi="Times New Roman" w:cs="Times New Roman"/>
          <w:sz w:val="24"/>
          <w:szCs w:val="24"/>
        </w:rPr>
        <w:t xml:space="preserve"> (UNEP). (2018). </w:t>
      </w:r>
      <w:proofErr w:type="spellStart"/>
      <w:r w:rsidRPr="00BF510B">
        <w:rPr>
          <w:rFonts w:ascii="Times New Roman" w:eastAsia="Times New Roman" w:hAnsi="Times New Roman" w:cs="Times New Roman"/>
          <w:i/>
          <w:iCs/>
          <w:sz w:val="24"/>
          <w:szCs w:val="24"/>
        </w:rPr>
        <w:t>Overtourism</w:t>
      </w:r>
      <w:proofErr w:type="spellEnd"/>
      <w:r w:rsidRPr="00BF510B">
        <w:rPr>
          <w:rFonts w:ascii="Times New Roman" w:eastAsia="Times New Roman" w:hAnsi="Times New Roman" w:cs="Times New Roman"/>
          <w:i/>
          <w:iCs/>
          <w:sz w:val="24"/>
          <w:szCs w:val="24"/>
        </w:rPr>
        <w:t xml:space="preserve"> and Sustainable Development</w:t>
      </w:r>
      <w:r w:rsidRPr="00BF510B">
        <w:rPr>
          <w:rFonts w:ascii="Times New Roman" w:eastAsia="Times New Roman" w:hAnsi="Times New Roman" w:cs="Times New Roman"/>
          <w:sz w:val="24"/>
          <w:szCs w:val="24"/>
        </w:rPr>
        <w:t>.</w:t>
      </w:r>
    </w:p>
    <w:p w:rsidR="00BF510B" w:rsidRPr="00BF510B" w:rsidRDefault="00BF510B" w:rsidP="00BF510B">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United Nations World Tourism Organization (UNWTO). (2021–2022). </w:t>
      </w:r>
      <w:r w:rsidRPr="00BF510B">
        <w:rPr>
          <w:rFonts w:ascii="Times New Roman" w:eastAsia="Times New Roman" w:hAnsi="Times New Roman" w:cs="Times New Roman"/>
          <w:i/>
          <w:iCs/>
          <w:sz w:val="24"/>
          <w:szCs w:val="24"/>
        </w:rPr>
        <w:t>Restart Tourism Reports</w:t>
      </w:r>
      <w:r w:rsidRPr="00BF510B">
        <w:rPr>
          <w:rFonts w:ascii="Times New Roman" w:eastAsia="Times New Roman" w:hAnsi="Times New Roman" w:cs="Times New Roman"/>
          <w:sz w:val="24"/>
          <w:szCs w:val="24"/>
        </w:rPr>
        <w:t>.</w:t>
      </w:r>
    </w:p>
    <w:p w:rsidR="00BF510B" w:rsidRPr="00BF510B" w:rsidRDefault="00BF510B" w:rsidP="00BF510B">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UN Women. (2020). </w:t>
      </w:r>
      <w:proofErr w:type="gramStart"/>
      <w:r w:rsidRPr="00BF510B">
        <w:rPr>
          <w:rFonts w:ascii="Times New Roman" w:eastAsia="Times New Roman" w:hAnsi="Times New Roman" w:cs="Times New Roman"/>
          <w:i/>
          <w:iCs/>
          <w:sz w:val="24"/>
          <w:szCs w:val="24"/>
        </w:rPr>
        <w:t>The</w:t>
      </w:r>
      <w:proofErr w:type="gramEnd"/>
      <w:r w:rsidRPr="00BF510B">
        <w:rPr>
          <w:rFonts w:ascii="Times New Roman" w:eastAsia="Times New Roman" w:hAnsi="Times New Roman" w:cs="Times New Roman"/>
          <w:i/>
          <w:iCs/>
          <w:sz w:val="24"/>
          <w:szCs w:val="24"/>
        </w:rPr>
        <w:t xml:space="preserve"> Impact of COVID-19 on Women in Tourism</w:t>
      </w:r>
      <w:r w:rsidRPr="00BF510B">
        <w:rPr>
          <w:rFonts w:ascii="Times New Roman" w:eastAsia="Times New Roman" w:hAnsi="Times New Roman" w:cs="Times New Roman"/>
          <w:sz w:val="24"/>
          <w:szCs w:val="24"/>
        </w:rPr>
        <w:t>.</w:t>
      </w:r>
    </w:p>
    <w:p w:rsidR="00BF510B" w:rsidRPr="00BF510B" w:rsidRDefault="00BF510B" w:rsidP="00BF510B">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Tourism Authority of Thailand (TAT). (2020). </w:t>
      </w:r>
      <w:r w:rsidRPr="00BF510B">
        <w:rPr>
          <w:rFonts w:ascii="Times New Roman" w:eastAsia="Times New Roman" w:hAnsi="Times New Roman" w:cs="Times New Roman"/>
          <w:i/>
          <w:iCs/>
          <w:sz w:val="24"/>
          <w:szCs w:val="24"/>
        </w:rPr>
        <w:t>Annual Tourism Report</w:t>
      </w:r>
      <w:r w:rsidRPr="00BF510B">
        <w:rPr>
          <w:rFonts w:ascii="Times New Roman" w:eastAsia="Times New Roman" w:hAnsi="Times New Roman" w:cs="Times New Roman"/>
          <w:sz w:val="24"/>
          <w:szCs w:val="24"/>
        </w:rPr>
        <w:t>.</w:t>
      </w:r>
    </w:p>
    <w:p w:rsidR="008D4A0A" w:rsidRPr="00E56633" w:rsidRDefault="00BF510B" w:rsidP="00D26592">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F510B">
        <w:rPr>
          <w:rFonts w:ascii="Times New Roman" w:eastAsia="Times New Roman" w:hAnsi="Times New Roman" w:cs="Times New Roman"/>
          <w:sz w:val="24"/>
          <w:szCs w:val="24"/>
        </w:rPr>
        <w:t xml:space="preserve">World Travel and Tourism Council (WTTC). (2019–2021). </w:t>
      </w:r>
      <w:r w:rsidRPr="00BF510B">
        <w:rPr>
          <w:rFonts w:ascii="Times New Roman" w:eastAsia="Times New Roman" w:hAnsi="Times New Roman" w:cs="Times New Roman"/>
          <w:i/>
          <w:iCs/>
          <w:sz w:val="24"/>
          <w:szCs w:val="24"/>
        </w:rPr>
        <w:t>Tourism Economic Impact Reports</w:t>
      </w:r>
      <w:r w:rsidRPr="00BF510B">
        <w:rPr>
          <w:rFonts w:ascii="Times New Roman" w:eastAsia="Times New Roman" w:hAnsi="Times New Roman" w:cs="Times New Roman"/>
          <w:sz w:val="24"/>
          <w:szCs w:val="24"/>
        </w:rPr>
        <w:t>.</w:t>
      </w:r>
    </w:p>
    <w:sectPr w:rsidR="008D4A0A" w:rsidRPr="00E56633"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714A8"/>
    <w:multiLevelType w:val="multilevel"/>
    <w:tmpl w:val="28C09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9B3FAC"/>
    <w:multiLevelType w:val="multilevel"/>
    <w:tmpl w:val="BB22A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3B1EF9"/>
    <w:multiLevelType w:val="multilevel"/>
    <w:tmpl w:val="D25A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C55DBE"/>
    <w:multiLevelType w:val="multilevel"/>
    <w:tmpl w:val="FCB2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45D4A7B"/>
    <w:multiLevelType w:val="multilevel"/>
    <w:tmpl w:val="16B45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73D2876"/>
    <w:multiLevelType w:val="multilevel"/>
    <w:tmpl w:val="D8082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9284751"/>
    <w:multiLevelType w:val="multilevel"/>
    <w:tmpl w:val="69A2F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A4613EC"/>
    <w:multiLevelType w:val="multilevel"/>
    <w:tmpl w:val="07E41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6"/>
  </w:num>
  <w:num w:numId="4">
    <w:abstractNumId w:val="1"/>
  </w:num>
  <w:num w:numId="5">
    <w:abstractNumId w:val="0"/>
  </w:num>
  <w:num w:numId="6">
    <w:abstractNumId w:val="3"/>
  </w:num>
  <w:num w:numId="7">
    <w:abstractNumId w:val="4"/>
  </w:num>
  <w:num w:numId="8">
    <w:abstractNumId w:val="8"/>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1E5C94"/>
    <w:rsid w:val="00247F2B"/>
    <w:rsid w:val="00672EA7"/>
    <w:rsid w:val="008C1F71"/>
    <w:rsid w:val="008D4A0A"/>
    <w:rsid w:val="009346EB"/>
    <w:rsid w:val="009D421F"/>
    <w:rsid w:val="00A02123"/>
    <w:rsid w:val="00BF510B"/>
    <w:rsid w:val="00CC58EE"/>
    <w:rsid w:val="00D26592"/>
    <w:rsid w:val="00D36F13"/>
    <w:rsid w:val="00D77309"/>
    <w:rsid w:val="00D85035"/>
    <w:rsid w:val="00D915F8"/>
    <w:rsid w:val="00E566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8D4A0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D4A0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8D4A0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paragraph" w:styleId="NormalWeb">
    <w:name w:val="Normal (Web)"/>
    <w:basedOn w:val="Normal"/>
    <w:uiPriority w:val="99"/>
    <w:semiHidden/>
    <w:unhideWhenUsed/>
    <w:rsid w:val="00D77309"/>
    <w:rPr>
      <w:rFonts w:ascii="Times New Roman" w:hAnsi="Times New Roman" w:cs="Times New Roman"/>
      <w:sz w:val="24"/>
      <w:szCs w:val="24"/>
    </w:rPr>
  </w:style>
  <w:style w:type="character" w:customStyle="1" w:styleId="Heading2Char">
    <w:name w:val="Heading 2 Char"/>
    <w:basedOn w:val="DefaultParagraphFont"/>
    <w:link w:val="Heading2"/>
    <w:uiPriority w:val="9"/>
    <w:rsid w:val="008D4A0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D4A0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D4A0A"/>
    <w:rPr>
      <w:rFonts w:ascii="Times New Roman" w:eastAsia="Times New Roman" w:hAnsi="Times New Roman" w:cs="Times New Roman"/>
      <w:b/>
      <w:bCs/>
      <w:sz w:val="24"/>
      <w:szCs w:val="24"/>
    </w:rPr>
  </w:style>
  <w:style w:type="character" w:styleId="Strong">
    <w:name w:val="Strong"/>
    <w:basedOn w:val="DefaultParagraphFont"/>
    <w:uiPriority w:val="22"/>
    <w:qFormat/>
    <w:rsid w:val="008D4A0A"/>
    <w:rPr>
      <w:b/>
      <w:bCs/>
    </w:rPr>
  </w:style>
  <w:style w:type="character" w:styleId="Emphasis">
    <w:name w:val="Emphasis"/>
    <w:basedOn w:val="DefaultParagraphFont"/>
    <w:uiPriority w:val="20"/>
    <w:qFormat/>
    <w:rsid w:val="008D4A0A"/>
    <w:rPr>
      <w:i/>
      <w:iCs/>
    </w:rPr>
  </w:style>
</w:styles>
</file>

<file path=word/webSettings.xml><?xml version="1.0" encoding="utf-8"?>
<w:webSettings xmlns:r="http://schemas.openxmlformats.org/officeDocument/2006/relationships" xmlns:w="http://schemas.openxmlformats.org/wordprocessingml/2006/main">
  <w:divs>
    <w:div w:id="133790429">
      <w:bodyDiv w:val="1"/>
      <w:marLeft w:val="0"/>
      <w:marRight w:val="0"/>
      <w:marTop w:val="0"/>
      <w:marBottom w:val="0"/>
      <w:divBdr>
        <w:top w:val="none" w:sz="0" w:space="0" w:color="auto"/>
        <w:left w:val="none" w:sz="0" w:space="0" w:color="auto"/>
        <w:bottom w:val="none" w:sz="0" w:space="0" w:color="auto"/>
        <w:right w:val="none" w:sz="0" w:space="0" w:color="auto"/>
      </w:divBdr>
    </w:div>
    <w:div w:id="897401488">
      <w:bodyDiv w:val="1"/>
      <w:marLeft w:val="0"/>
      <w:marRight w:val="0"/>
      <w:marTop w:val="0"/>
      <w:marBottom w:val="0"/>
      <w:divBdr>
        <w:top w:val="none" w:sz="0" w:space="0" w:color="auto"/>
        <w:left w:val="none" w:sz="0" w:space="0" w:color="auto"/>
        <w:bottom w:val="none" w:sz="0" w:space="0" w:color="auto"/>
        <w:right w:val="none" w:sz="0" w:space="0" w:color="auto"/>
      </w:divBdr>
    </w:div>
    <w:div w:id="1050692569">
      <w:bodyDiv w:val="1"/>
      <w:marLeft w:val="0"/>
      <w:marRight w:val="0"/>
      <w:marTop w:val="0"/>
      <w:marBottom w:val="0"/>
      <w:divBdr>
        <w:top w:val="none" w:sz="0" w:space="0" w:color="auto"/>
        <w:left w:val="none" w:sz="0" w:space="0" w:color="auto"/>
        <w:bottom w:val="none" w:sz="0" w:space="0" w:color="auto"/>
        <w:right w:val="none" w:sz="0" w:space="0" w:color="auto"/>
      </w:divBdr>
    </w:div>
    <w:div w:id="1159887292">
      <w:bodyDiv w:val="1"/>
      <w:marLeft w:val="0"/>
      <w:marRight w:val="0"/>
      <w:marTop w:val="0"/>
      <w:marBottom w:val="0"/>
      <w:divBdr>
        <w:top w:val="none" w:sz="0" w:space="0" w:color="auto"/>
        <w:left w:val="none" w:sz="0" w:space="0" w:color="auto"/>
        <w:bottom w:val="none" w:sz="0" w:space="0" w:color="auto"/>
        <w:right w:val="none" w:sz="0" w:space="0" w:color="auto"/>
      </w:divBdr>
    </w:div>
    <w:div w:id="1214537037">
      <w:bodyDiv w:val="1"/>
      <w:marLeft w:val="0"/>
      <w:marRight w:val="0"/>
      <w:marTop w:val="0"/>
      <w:marBottom w:val="0"/>
      <w:divBdr>
        <w:top w:val="none" w:sz="0" w:space="0" w:color="auto"/>
        <w:left w:val="none" w:sz="0" w:space="0" w:color="auto"/>
        <w:bottom w:val="none" w:sz="0" w:space="0" w:color="auto"/>
        <w:right w:val="none" w:sz="0" w:space="0" w:color="auto"/>
      </w:divBdr>
    </w:div>
    <w:div w:id="1584299739">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1291</TotalTime>
  <Pages>12</Pages>
  <Words>4705</Words>
  <Characters>26820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9</cp:revision>
  <dcterms:created xsi:type="dcterms:W3CDTF">2025-06-15T05:53:00Z</dcterms:created>
  <dcterms:modified xsi:type="dcterms:W3CDTF">2025-06-21T08:23:00Z</dcterms:modified>
</cp:coreProperties>
</file>