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D59E7"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27EA978" w14:textId="77777777" w:rsidR="00672345" w:rsidRPr="0019504D" w:rsidRDefault="00672345" w:rsidP="00672345">
      <w:pPr>
        <w:rPr>
          <w:b/>
          <w:bCs/>
          <w:lang w:val="en-US"/>
        </w:rPr>
      </w:pPr>
      <w:r>
        <w:rPr>
          <w:b/>
          <w:bCs/>
          <w:lang w:val="en-US"/>
        </w:rPr>
        <w:t xml:space="preserve">Cultural Heritage Management </w:t>
      </w:r>
    </w:p>
    <w:p w14:paraId="50381D0F" w14:textId="77777777" w:rsidR="00672345" w:rsidRDefault="00672345" w:rsidP="00672345">
      <w:pPr>
        <w:rPr>
          <w:lang w:val="en-US"/>
        </w:rPr>
      </w:pPr>
      <w:r w:rsidRPr="0019504D">
        <w:rPr>
          <w:lang w:val="en-US"/>
        </w:rPr>
        <w:t>Ass</w:t>
      </w:r>
      <w:r>
        <w:rPr>
          <w:lang w:val="en-US"/>
        </w:rPr>
        <w:t xml:space="preserve">ignment </w:t>
      </w:r>
      <w:r w:rsidR="00942251">
        <w:rPr>
          <w:lang w:val="en-US"/>
        </w:rPr>
        <w:t>2</w:t>
      </w:r>
    </w:p>
    <w:p w14:paraId="13BFB8B2" w14:textId="77777777" w:rsidR="00672345" w:rsidRPr="0019504D" w:rsidRDefault="00942251" w:rsidP="00672345">
      <w:pPr>
        <w:rPr>
          <w:lang w:val="en-US"/>
        </w:rPr>
      </w:pPr>
      <w:r>
        <w:rPr>
          <w:lang w:val="en-US"/>
        </w:rPr>
        <w:t>15</w:t>
      </w:r>
      <w:r w:rsidR="00672345">
        <w:rPr>
          <w:lang w:val="en-US"/>
        </w:rPr>
        <w:t>.0</w:t>
      </w:r>
      <w:r>
        <w:rPr>
          <w:lang w:val="en-US"/>
        </w:rPr>
        <w:t>4</w:t>
      </w:r>
      <w:r w:rsidR="00672345">
        <w:rPr>
          <w:lang w:val="en-US"/>
        </w:rPr>
        <w:t>.2026</w:t>
      </w:r>
    </w:p>
    <w:p w14:paraId="3D1D52E4" w14:textId="77777777" w:rsidR="00672345" w:rsidRDefault="00672345"/>
    <w:p w14:paraId="2901C095" w14:textId="77777777" w:rsidR="00672345" w:rsidRDefault="00672345"/>
    <w:p w14:paraId="4345E01B" w14:textId="77777777" w:rsidR="00672345" w:rsidRDefault="00672345"/>
    <w:p w14:paraId="6AB34CB0" w14:textId="77777777" w:rsidR="00672345" w:rsidRDefault="00672345"/>
    <w:p w14:paraId="7B91F6D1" w14:textId="77777777" w:rsidR="00672345" w:rsidRDefault="00672345"/>
    <w:p w14:paraId="29B6ABEF" w14:textId="77777777" w:rsidR="00672345" w:rsidRDefault="00672345"/>
    <w:p w14:paraId="5FEEBAFA" w14:textId="77777777" w:rsidR="00672345" w:rsidRDefault="00672345"/>
    <w:p w14:paraId="6487E9C7" w14:textId="77777777" w:rsidR="00672345" w:rsidRDefault="00672345"/>
    <w:p w14:paraId="4D2052C8" w14:textId="77777777" w:rsidR="00672345" w:rsidRDefault="00672345"/>
    <w:p w14:paraId="6C14942D" w14:textId="77777777" w:rsidR="00672345" w:rsidRDefault="00672345"/>
    <w:p w14:paraId="6C857429" w14:textId="77777777" w:rsidR="00672345" w:rsidRDefault="00672345"/>
    <w:p w14:paraId="56C645CD" w14:textId="77777777" w:rsidR="00672345" w:rsidRDefault="00672345"/>
    <w:p w14:paraId="0F709B86" w14:textId="77777777" w:rsidR="00672345" w:rsidRDefault="00672345"/>
    <w:p w14:paraId="6E0B132F" w14:textId="77777777" w:rsidR="00672345" w:rsidRDefault="00672345" w:rsidP="00672345">
      <w:pPr>
        <w:spacing w:line="276" w:lineRule="auto"/>
        <w:rPr>
          <w:b/>
          <w:bCs/>
          <w:lang w:val="en-US"/>
        </w:rPr>
      </w:pPr>
      <w:r w:rsidRPr="00EA737F">
        <w:rPr>
          <w:b/>
          <w:bCs/>
          <w:lang w:val="en-US"/>
        </w:rPr>
        <w:t>In no more than 500 words</w:t>
      </w:r>
      <w:r>
        <w:rPr>
          <w:b/>
          <w:bCs/>
          <w:lang w:val="en-US"/>
        </w:rPr>
        <w:t>, each explain and 2-4 references:</w:t>
      </w:r>
    </w:p>
    <w:p w14:paraId="39EBD20F" w14:textId="77777777" w:rsidR="00672345" w:rsidRDefault="00672345" w:rsidP="00672345">
      <w:pPr>
        <w:spacing w:line="276" w:lineRule="auto"/>
        <w:rPr>
          <w:b/>
          <w:bCs/>
          <w:lang w:val="en-US"/>
        </w:rPr>
      </w:pPr>
    </w:p>
    <w:p w14:paraId="26E65727" w14:textId="77777777" w:rsidR="00672345" w:rsidRPr="00EA737F" w:rsidRDefault="00672345" w:rsidP="00672345">
      <w:pPr>
        <w:spacing w:line="276" w:lineRule="auto"/>
        <w:rPr>
          <w:b/>
          <w:bCs/>
          <w:lang w:val="en-US"/>
        </w:rPr>
      </w:pPr>
    </w:p>
    <w:p w14:paraId="6DAA3481" w14:textId="77777777" w:rsidR="00672345" w:rsidRDefault="00672345" w:rsidP="00672345">
      <w:pPr>
        <w:spacing w:line="276" w:lineRule="auto"/>
        <w:rPr>
          <w:lang w:val="en-US"/>
        </w:rPr>
      </w:pPr>
    </w:p>
    <w:p w14:paraId="35AD21B0" w14:textId="77777777" w:rsidR="00672345" w:rsidRDefault="00672345" w:rsidP="00942251">
      <w:pPr>
        <w:spacing w:line="276" w:lineRule="auto"/>
        <w:rPr>
          <w:lang w:val="en-US"/>
        </w:rPr>
      </w:pPr>
      <w:r w:rsidRPr="009C582A">
        <w:rPr>
          <w:lang w:val="en-US"/>
        </w:rPr>
        <w:t xml:space="preserve">1- </w:t>
      </w:r>
      <w:r w:rsidR="00942251" w:rsidRPr="00942251">
        <w:rPr>
          <w:lang w:val="en-US"/>
        </w:rPr>
        <w:t>Using examples, discuss the differences between the conventional and value-led approaches in heritage management and evaluate which approach is more effective in contemporary contexts.</w:t>
      </w:r>
    </w:p>
    <w:p w14:paraId="5E43EB5A" w14:textId="77777777" w:rsidR="004F00A3" w:rsidRDefault="004F00A3" w:rsidP="00942251">
      <w:pPr>
        <w:spacing w:line="276" w:lineRule="auto"/>
        <w:rPr>
          <w:lang w:val="en-US"/>
        </w:rPr>
      </w:pPr>
    </w:p>
    <w:p w14:paraId="5A5FEDE5" w14:textId="77777777" w:rsidR="004F00A3" w:rsidRDefault="004F00A3" w:rsidP="00942251">
      <w:pPr>
        <w:spacing w:line="276" w:lineRule="auto"/>
        <w:rPr>
          <w:lang w:val="en-US"/>
        </w:rPr>
      </w:pPr>
    </w:p>
    <w:p w14:paraId="192412D1" w14:textId="77777777" w:rsidR="004F00A3" w:rsidRDefault="004F00A3" w:rsidP="00942251">
      <w:pPr>
        <w:spacing w:line="276" w:lineRule="auto"/>
        <w:rPr>
          <w:lang w:val="en-US"/>
        </w:rPr>
      </w:pPr>
    </w:p>
    <w:p w14:paraId="53064AF7" w14:textId="77777777" w:rsidR="004F00A3" w:rsidRDefault="004F00A3" w:rsidP="00942251">
      <w:pPr>
        <w:spacing w:line="276" w:lineRule="auto"/>
        <w:rPr>
          <w:lang w:val="en-US"/>
        </w:rPr>
      </w:pPr>
    </w:p>
    <w:p w14:paraId="6CA32117" w14:textId="77777777" w:rsidR="004F00A3" w:rsidRDefault="004F00A3" w:rsidP="00942251">
      <w:pPr>
        <w:spacing w:line="276" w:lineRule="auto"/>
        <w:rPr>
          <w:lang w:val="en-US"/>
        </w:rPr>
      </w:pPr>
    </w:p>
    <w:p w14:paraId="384377AF" w14:textId="77777777" w:rsidR="004F00A3" w:rsidRDefault="004F00A3" w:rsidP="00942251">
      <w:pPr>
        <w:spacing w:line="276" w:lineRule="auto"/>
        <w:rPr>
          <w:lang w:val="en-US"/>
        </w:rPr>
      </w:pPr>
    </w:p>
    <w:p w14:paraId="0955F14C" w14:textId="77777777" w:rsidR="004F00A3" w:rsidRDefault="004F00A3" w:rsidP="00942251">
      <w:pPr>
        <w:spacing w:line="276" w:lineRule="auto"/>
        <w:rPr>
          <w:lang w:val="en-US"/>
        </w:rPr>
      </w:pPr>
    </w:p>
    <w:p w14:paraId="1C095885" w14:textId="77777777" w:rsidR="004F00A3" w:rsidRDefault="004F00A3" w:rsidP="00942251">
      <w:pPr>
        <w:spacing w:line="276" w:lineRule="auto"/>
        <w:rPr>
          <w:lang w:val="en-US"/>
        </w:rPr>
      </w:pPr>
    </w:p>
    <w:p w14:paraId="63250548" w14:textId="77777777" w:rsidR="004F00A3" w:rsidRDefault="004F00A3" w:rsidP="00942251">
      <w:pPr>
        <w:spacing w:line="276" w:lineRule="auto"/>
        <w:rPr>
          <w:lang w:val="en-US"/>
        </w:rPr>
      </w:pPr>
    </w:p>
    <w:p w14:paraId="5F9A2B54" w14:textId="77777777" w:rsidR="004F00A3" w:rsidRDefault="004F00A3" w:rsidP="00942251">
      <w:pPr>
        <w:spacing w:line="276" w:lineRule="auto"/>
        <w:rPr>
          <w:lang w:val="en-US"/>
        </w:rPr>
      </w:pPr>
    </w:p>
    <w:p w14:paraId="342FA049" w14:textId="77777777" w:rsidR="004F00A3" w:rsidRDefault="004F00A3" w:rsidP="00942251">
      <w:pPr>
        <w:spacing w:line="276" w:lineRule="auto"/>
        <w:rPr>
          <w:lang w:val="en-US"/>
        </w:rPr>
      </w:pPr>
    </w:p>
    <w:p w14:paraId="7E8A2E38" w14:textId="77777777" w:rsidR="004F00A3" w:rsidRDefault="004F00A3" w:rsidP="00942251">
      <w:pPr>
        <w:spacing w:line="276" w:lineRule="auto"/>
        <w:rPr>
          <w:lang w:val="en-US"/>
        </w:rPr>
      </w:pPr>
    </w:p>
    <w:p w14:paraId="4D19B6B7" w14:textId="77777777" w:rsidR="004F00A3" w:rsidRDefault="004F00A3" w:rsidP="00942251">
      <w:pPr>
        <w:spacing w:line="276" w:lineRule="auto"/>
        <w:rPr>
          <w:lang w:val="en-US"/>
        </w:rPr>
      </w:pPr>
    </w:p>
    <w:p w14:paraId="421C8A6B" w14:textId="77777777" w:rsidR="004F00A3" w:rsidRDefault="004F00A3" w:rsidP="00942251">
      <w:pPr>
        <w:spacing w:line="276" w:lineRule="auto"/>
        <w:rPr>
          <w:lang w:val="en-US"/>
        </w:rPr>
      </w:pPr>
    </w:p>
    <w:p w14:paraId="2D5758FB" w14:textId="77777777" w:rsidR="004F00A3" w:rsidRDefault="004F00A3" w:rsidP="00942251">
      <w:pPr>
        <w:spacing w:line="276" w:lineRule="auto"/>
        <w:rPr>
          <w:lang w:val="en-US"/>
        </w:rPr>
      </w:pPr>
    </w:p>
    <w:p w14:paraId="37488E79" w14:textId="77777777" w:rsidR="004F00A3" w:rsidRDefault="004F00A3" w:rsidP="00942251">
      <w:pPr>
        <w:spacing w:line="276" w:lineRule="auto"/>
        <w:rPr>
          <w:lang w:val="en-US"/>
        </w:rPr>
      </w:pPr>
    </w:p>
    <w:p w14:paraId="79765109" w14:textId="77777777" w:rsidR="004F00A3" w:rsidRDefault="004F00A3" w:rsidP="00942251">
      <w:pPr>
        <w:spacing w:line="276" w:lineRule="auto"/>
        <w:rPr>
          <w:lang w:val="en-US"/>
        </w:rPr>
      </w:pPr>
    </w:p>
    <w:p w14:paraId="3868D441" w14:textId="77777777" w:rsidR="004F00A3" w:rsidRDefault="004F00A3" w:rsidP="00942251">
      <w:pPr>
        <w:spacing w:line="276" w:lineRule="auto"/>
        <w:rPr>
          <w:lang w:val="en-US"/>
        </w:rPr>
      </w:pPr>
    </w:p>
    <w:p w14:paraId="278CA2F2" w14:textId="77777777" w:rsidR="004F00A3" w:rsidRDefault="004F00A3" w:rsidP="00942251">
      <w:pPr>
        <w:spacing w:line="276" w:lineRule="auto"/>
        <w:rPr>
          <w:lang w:val="en-US"/>
        </w:rPr>
      </w:pPr>
    </w:p>
    <w:p w14:paraId="1105E937" w14:textId="77777777" w:rsidR="00063ECF" w:rsidRPr="00063ECF" w:rsidRDefault="00063ECF" w:rsidP="00063ECF">
      <w:pPr>
        <w:spacing w:line="276" w:lineRule="auto"/>
        <w:rPr>
          <w:lang w:val="en-GB"/>
        </w:rPr>
      </w:pPr>
      <w:r w:rsidRPr="00063ECF">
        <w:rPr>
          <w:lang w:val="en-GB"/>
        </w:rPr>
        <w:lastRenderedPageBreak/>
        <w:t>Heritage management has increasingly shifted from a traditional conservation-based framework to more inclusive and socially oriented approaches. This transformation reflects changing understandings of what heritage represents and who it serves. The conventional approach to heritage management is rooted in the preservation of tangible cultural resources, such as monuments, historic buildings, and archaeological remains. It is largely based on scientific conservation principles and expert authority, where trained professionals determine how heritage should be protected. The emphasis is placed on maintaining authenticity, integrity, and original material fabric, often guided by international standards such as the Venice Charter (1964).</w:t>
      </w:r>
    </w:p>
    <w:p w14:paraId="2AD09BDA" w14:textId="77777777" w:rsidR="00063ECF" w:rsidRPr="00063ECF" w:rsidRDefault="00063ECF" w:rsidP="00063ECF">
      <w:pPr>
        <w:spacing w:line="276" w:lineRule="auto"/>
        <w:rPr>
          <w:lang w:val="en-GB"/>
        </w:rPr>
      </w:pPr>
      <w:r w:rsidRPr="00063ECF">
        <w:rPr>
          <w:lang w:val="en-GB"/>
        </w:rPr>
        <w:t>While the conventional approach has played a crucial role in safeguarding many globally significant heritage sites, it has several limitations in contemporary contexts. One major criticism is its tendency to prioritize physical conservation over social and cultural meanings. By focusing mainly on the material aspects of heritage, it often overlooks the ways in which people interact with and assign meaning to these sites. Additionally, the decision-making process in conventional management is typically top-down, with limited involvement from local communities or stakeholders. This can result in heritage practices that are disconnected from the needs and values of the people most closely associated with the site.</w:t>
      </w:r>
    </w:p>
    <w:p w14:paraId="1FF7CEDE" w14:textId="77777777" w:rsidR="00063ECF" w:rsidRPr="00063ECF" w:rsidRDefault="00063ECF" w:rsidP="00063ECF">
      <w:pPr>
        <w:spacing w:line="276" w:lineRule="auto"/>
        <w:rPr>
          <w:lang w:val="en-GB"/>
        </w:rPr>
      </w:pPr>
      <w:r w:rsidRPr="00063ECF">
        <w:rPr>
          <w:lang w:val="en-GB"/>
        </w:rPr>
        <w:t>In contrast, the value-led approach represents a more holistic and people-</w:t>
      </w:r>
      <w:proofErr w:type="spellStart"/>
      <w:r w:rsidRPr="00063ECF">
        <w:rPr>
          <w:lang w:val="en-GB"/>
        </w:rPr>
        <w:t>centered</w:t>
      </w:r>
      <w:proofErr w:type="spellEnd"/>
      <w:r w:rsidRPr="00063ECF">
        <w:rPr>
          <w:lang w:val="en-GB"/>
        </w:rPr>
        <w:t xml:space="preserve"> model of heritage management. This approach is based on the understanding that heritage significance is not fixed but is shaped by the values that individuals and communities attach to it. These values can include cultural identity, social connections, spiritual beliefs, economic benefits, and political meanings. The value-led framework emphasizes the importance of identifying, assessing, and balancing these diverse values </w:t>
      </w:r>
      <w:proofErr w:type="gramStart"/>
      <w:r w:rsidRPr="00063ECF">
        <w:rPr>
          <w:lang w:val="en-GB"/>
        </w:rPr>
        <w:t>in order to</w:t>
      </w:r>
      <w:proofErr w:type="gramEnd"/>
      <w:r w:rsidRPr="00063ECF">
        <w:rPr>
          <w:lang w:val="en-GB"/>
        </w:rPr>
        <w:t xml:space="preserve"> guide conservation decisions.</w:t>
      </w:r>
    </w:p>
    <w:p w14:paraId="00C7D7DE" w14:textId="77777777" w:rsidR="00063ECF" w:rsidRPr="00063ECF" w:rsidRDefault="00063ECF" w:rsidP="00063ECF">
      <w:pPr>
        <w:spacing w:line="276" w:lineRule="auto"/>
        <w:rPr>
          <w:lang w:val="en-GB"/>
        </w:rPr>
      </w:pPr>
      <w:r w:rsidRPr="00063ECF">
        <w:rPr>
          <w:lang w:val="en-GB"/>
        </w:rPr>
        <w:t>A key strength of the value-led approach is its focus on participation and inclusivity. It actively involves a wide range of stakeholders, including local communities, indigenous groups, policymakers, and visitors, in the decision-making process. This participatory model helps ensure that heritage management reflects multiple perspectives and fosters a sense of ownership among stakeholders. For example, community-led heritage initiatives in countries such as India and South Africa have demonstrated how local engagement can enhance both conservation outcomes and social empowerment.</w:t>
      </w:r>
    </w:p>
    <w:p w14:paraId="0DB1227D" w14:textId="77777777" w:rsidR="00063ECF" w:rsidRPr="00063ECF" w:rsidRDefault="00063ECF" w:rsidP="00063ECF">
      <w:pPr>
        <w:spacing w:line="276" w:lineRule="auto"/>
        <w:rPr>
          <w:lang w:val="en-GB"/>
        </w:rPr>
      </w:pPr>
      <w:r w:rsidRPr="00063ECF">
        <w:rPr>
          <w:lang w:val="en-GB"/>
        </w:rPr>
        <w:t>Another important feature of the value-led approach is its recognition of heritage as dynamic rather than static. Unlike the conventional model, which seeks to preserve heritage in a fixed historical state, the value-led approach acknowledges that heritage evolves over time. Cultural practices, traditions, and meanings are constantly being reshaped by contemporary social and economic conditions. This perspective is particularly relevant for intangible cultural heritage, such as festivals, oral traditions, and rituals, which cannot be conserved through physical preservation alone.</w:t>
      </w:r>
    </w:p>
    <w:p w14:paraId="5F84C9C9" w14:textId="77777777" w:rsidR="00063ECF" w:rsidRPr="00063ECF" w:rsidRDefault="00063ECF" w:rsidP="00063ECF">
      <w:pPr>
        <w:spacing w:line="276" w:lineRule="auto"/>
        <w:rPr>
          <w:lang w:val="en-GB"/>
        </w:rPr>
      </w:pPr>
      <w:r w:rsidRPr="00063ECF">
        <w:rPr>
          <w:lang w:val="en-GB"/>
        </w:rPr>
        <w:t xml:space="preserve">In evaluating effectiveness, the value-led approach is generally more suitable for addressing contemporary challenges in heritage management. Issues such as globalization, rapid urbanization, tourism pressures, and climate change require flexible and adaptive strategies. </w:t>
      </w:r>
      <w:r w:rsidRPr="00063ECF">
        <w:rPr>
          <w:lang w:val="en-GB"/>
        </w:rPr>
        <w:lastRenderedPageBreak/>
        <w:t>By incorporating diverse values and engaging stakeholders, value-led approaches promote sustainability and resilience. However, they also present challenges, including the difficulty of managing conflicting values and the need for effective coordination among stakeholders.</w:t>
      </w:r>
    </w:p>
    <w:p w14:paraId="043E0817" w14:textId="77777777" w:rsidR="00063ECF" w:rsidRPr="00063ECF" w:rsidRDefault="00063ECF" w:rsidP="00063ECF">
      <w:pPr>
        <w:spacing w:line="276" w:lineRule="auto"/>
        <w:rPr>
          <w:lang w:val="en-GB"/>
        </w:rPr>
      </w:pPr>
      <w:r w:rsidRPr="00063ECF">
        <w:rPr>
          <w:lang w:val="en-GB"/>
        </w:rPr>
        <w:t>Despite these challenges, it is increasingly recognized that the most effective heritage management strategies combine elements of both approaches. The conventional approach provides the technical expertise necessary for preserving physical structures, while the value-led approach ensures that heritage remains meaningful and relevant to society. This integrated approach allows for a balance between conservation and community engagement.</w:t>
      </w:r>
    </w:p>
    <w:p w14:paraId="5AC910E7" w14:textId="77777777" w:rsidR="00063ECF" w:rsidRPr="00063ECF" w:rsidRDefault="00063ECF" w:rsidP="00063ECF">
      <w:pPr>
        <w:spacing w:line="276" w:lineRule="auto"/>
        <w:rPr>
          <w:lang w:val="en-GB"/>
        </w:rPr>
      </w:pPr>
      <w:r w:rsidRPr="00063ECF">
        <w:rPr>
          <w:lang w:val="en-GB"/>
        </w:rPr>
        <w:t>In conclusion, the transition from conventional to value-led heritage management reflects a broader shift toward more inclusive and adaptive practices. While the conventional approach remains important for its technical rigor, the value-led approach offers a more comprehensive framework that addresses the complex social, cultural, and environmental challenges of the modern world.</w:t>
      </w:r>
    </w:p>
    <w:p w14:paraId="6E9A50BF" w14:textId="7A11C99A" w:rsidR="00063ECF" w:rsidRPr="00063ECF" w:rsidRDefault="00063ECF" w:rsidP="00063ECF">
      <w:pPr>
        <w:spacing w:line="276" w:lineRule="auto"/>
        <w:rPr>
          <w:lang w:val="en-GB"/>
        </w:rPr>
      </w:pPr>
    </w:p>
    <w:p w14:paraId="31189FA1" w14:textId="17702331" w:rsidR="00063ECF" w:rsidRPr="00063ECF" w:rsidRDefault="00063ECF" w:rsidP="00063ECF">
      <w:pPr>
        <w:spacing w:line="276" w:lineRule="auto"/>
        <w:rPr>
          <w:b/>
          <w:bCs/>
          <w:lang w:val="en-GB"/>
        </w:rPr>
      </w:pPr>
      <w:r w:rsidRPr="00063ECF">
        <w:rPr>
          <w:b/>
          <w:bCs/>
          <w:lang w:val="en-GB"/>
        </w:rPr>
        <w:t xml:space="preserve">References </w:t>
      </w:r>
    </w:p>
    <w:p w14:paraId="18B0C13A" w14:textId="77777777" w:rsidR="00063ECF" w:rsidRPr="00063ECF" w:rsidRDefault="00063ECF" w:rsidP="00063ECF">
      <w:pPr>
        <w:numPr>
          <w:ilvl w:val="0"/>
          <w:numId w:val="7"/>
        </w:numPr>
        <w:spacing w:line="276" w:lineRule="auto"/>
        <w:rPr>
          <w:lang w:val="en-GB"/>
        </w:rPr>
      </w:pPr>
      <w:r w:rsidRPr="00063ECF">
        <w:rPr>
          <w:lang w:val="en-GB"/>
        </w:rPr>
        <w:t xml:space="preserve">Harrison, R. (2013). </w:t>
      </w:r>
      <w:r w:rsidRPr="00063ECF">
        <w:rPr>
          <w:i/>
          <w:iCs/>
          <w:lang w:val="en-GB"/>
        </w:rPr>
        <w:t>Heritage: Critical Approaches</w:t>
      </w:r>
      <w:r w:rsidRPr="00063ECF">
        <w:rPr>
          <w:lang w:val="en-GB"/>
        </w:rPr>
        <w:t>. Routledge.</w:t>
      </w:r>
      <w:r w:rsidRPr="00063ECF">
        <w:rPr>
          <w:lang w:val="en-GB"/>
        </w:rPr>
        <w:br/>
        <w:t xml:space="preserve">DOI: </w:t>
      </w:r>
      <w:hyperlink r:id="rId6" w:tgtFrame="_new" w:history="1">
        <w:r w:rsidRPr="00063ECF">
          <w:rPr>
            <w:rStyle w:val="Hyperlink"/>
            <w:lang w:val="en-GB"/>
          </w:rPr>
          <w:t>https://doi.org/10.4324/9780203108857</w:t>
        </w:r>
      </w:hyperlink>
      <w:r w:rsidRPr="00063ECF">
        <w:rPr>
          <w:lang w:val="en-GB"/>
        </w:rPr>
        <w:t xml:space="preserve"> </w:t>
      </w:r>
    </w:p>
    <w:p w14:paraId="4FF18A76" w14:textId="77777777" w:rsidR="00063ECF" w:rsidRPr="00063ECF" w:rsidRDefault="00063ECF" w:rsidP="00063ECF">
      <w:pPr>
        <w:numPr>
          <w:ilvl w:val="0"/>
          <w:numId w:val="7"/>
        </w:numPr>
        <w:spacing w:line="276" w:lineRule="auto"/>
        <w:rPr>
          <w:lang w:val="en-GB"/>
        </w:rPr>
      </w:pPr>
      <w:r w:rsidRPr="00063ECF">
        <w:rPr>
          <w:lang w:val="en-GB"/>
        </w:rPr>
        <w:t xml:space="preserve">Smith, L., &amp; Waterton, E. (2009). </w:t>
      </w:r>
      <w:r w:rsidRPr="00063ECF">
        <w:rPr>
          <w:i/>
          <w:iCs/>
          <w:lang w:val="en-GB"/>
        </w:rPr>
        <w:t>Heritage, Communities and Archaeology</w:t>
      </w:r>
      <w:r w:rsidRPr="00063ECF">
        <w:rPr>
          <w:lang w:val="en-GB"/>
        </w:rPr>
        <w:t>. Duckworth.</w:t>
      </w:r>
      <w:r w:rsidRPr="00063ECF">
        <w:rPr>
          <w:lang w:val="en-GB"/>
        </w:rPr>
        <w:br/>
        <w:t xml:space="preserve">(Google Scholar indexed) </w:t>
      </w:r>
    </w:p>
    <w:p w14:paraId="0059BA25" w14:textId="77777777" w:rsidR="00063ECF" w:rsidRPr="00063ECF" w:rsidRDefault="00063ECF" w:rsidP="00063ECF">
      <w:pPr>
        <w:numPr>
          <w:ilvl w:val="0"/>
          <w:numId w:val="7"/>
        </w:numPr>
        <w:spacing w:line="276" w:lineRule="auto"/>
        <w:rPr>
          <w:lang w:val="en-GB"/>
        </w:rPr>
      </w:pPr>
      <w:r w:rsidRPr="00063ECF">
        <w:rPr>
          <w:lang w:val="en-GB"/>
        </w:rPr>
        <w:t>Poulios, I. (2010).</w:t>
      </w:r>
      <w:r w:rsidRPr="00063ECF">
        <w:rPr>
          <w:lang w:val="en-GB"/>
        </w:rPr>
        <w:br/>
        <w:t xml:space="preserve">“Moving beyond a values-based approach to heritage conservation.” </w:t>
      </w:r>
      <w:r w:rsidRPr="00063ECF">
        <w:rPr>
          <w:i/>
          <w:iCs/>
          <w:lang w:val="en-GB"/>
        </w:rPr>
        <w:t>Conservation and Management of Archaeological Sites</w:t>
      </w:r>
      <w:r w:rsidRPr="00063ECF">
        <w:rPr>
          <w:lang w:val="en-GB"/>
        </w:rPr>
        <w:t>.</w:t>
      </w:r>
      <w:r w:rsidRPr="00063ECF">
        <w:rPr>
          <w:lang w:val="en-GB"/>
        </w:rPr>
        <w:br/>
        <w:t xml:space="preserve">DOI: https://doi.org/10.1179/175355210X12792934404710 </w:t>
      </w:r>
    </w:p>
    <w:p w14:paraId="0D46D8CA" w14:textId="77777777" w:rsidR="00063ECF" w:rsidRPr="00063ECF" w:rsidRDefault="00063ECF" w:rsidP="00063ECF">
      <w:pPr>
        <w:numPr>
          <w:ilvl w:val="0"/>
          <w:numId w:val="7"/>
        </w:numPr>
        <w:spacing w:line="276" w:lineRule="auto"/>
        <w:rPr>
          <w:lang w:val="en-GB"/>
        </w:rPr>
      </w:pPr>
      <w:r w:rsidRPr="00063ECF">
        <w:rPr>
          <w:lang w:val="en-GB"/>
        </w:rPr>
        <w:t xml:space="preserve">Logan, W., &amp; </w:t>
      </w:r>
      <w:proofErr w:type="spellStart"/>
      <w:r w:rsidRPr="00063ECF">
        <w:rPr>
          <w:lang w:val="en-GB"/>
        </w:rPr>
        <w:t>Craith</w:t>
      </w:r>
      <w:proofErr w:type="spellEnd"/>
      <w:r w:rsidRPr="00063ECF">
        <w:rPr>
          <w:lang w:val="en-GB"/>
        </w:rPr>
        <w:t>, M. N. (2010).</w:t>
      </w:r>
      <w:r w:rsidRPr="00063ECF">
        <w:rPr>
          <w:lang w:val="en-GB"/>
        </w:rPr>
        <w:br/>
        <w:t xml:space="preserve">“Cultural diversity, heritage and human rights.” </w:t>
      </w:r>
      <w:r w:rsidRPr="00063ECF">
        <w:rPr>
          <w:i/>
          <w:iCs/>
          <w:lang w:val="en-GB"/>
        </w:rPr>
        <w:t>International Journal of Heritage Studies</w:t>
      </w:r>
      <w:r w:rsidRPr="00063ECF">
        <w:rPr>
          <w:lang w:val="en-GB"/>
        </w:rPr>
        <w:t>.</w:t>
      </w:r>
      <w:r w:rsidRPr="00063ECF">
        <w:rPr>
          <w:lang w:val="en-GB"/>
        </w:rPr>
        <w:br/>
        <w:t xml:space="preserve">DOI: https://doi.org/10.1080/13527250903441737 </w:t>
      </w:r>
    </w:p>
    <w:p w14:paraId="71F76B76" w14:textId="77777777" w:rsidR="00063ECF" w:rsidRPr="00063ECF" w:rsidRDefault="00063ECF" w:rsidP="00063ECF">
      <w:pPr>
        <w:numPr>
          <w:ilvl w:val="0"/>
          <w:numId w:val="7"/>
        </w:numPr>
        <w:spacing w:line="276" w:lineRule="auto"/>
        <w:rPr>
          <w:lang w:val="en-GB"/>
        </w:rPr>
      </w:pPr>
      <w:r w:rsidRPr="00063ECF">
        <w:rPr>
          <w:lang w:val="en-GB"/>
        </w:rPr>
        <w:t xml:space="preserve">UNESCO (2015). </w:t>
      </w:r>
      <w:r w:rsidRPr="00063ECF">
        <w:rPr>
          <w:i/>
          <w:iCs/>
          <w:lang w:val="en-GB"/>
        </w:rPr>
        <w:t>Policy for the Integration of a Sustainable Development Perspective into the World Heritage Convention</w:t>
      </w:r>
      <w:r w:rsidRPr="00063ECF">
        <w:rPr>
          <w:lang w:val="en-GB"/>
        </w:rPr>
        <w:t>.</w:t>
      </w:r>
      <w:r w:rsidRPr="00063ECF">
        <w:rPr>
          <w:lang w:val="en-GB"/>
        </w:rPr>
        <w:br/>
        <w:t>(Available via Google Scholar)</w:t>
      </w:r>
    </w:p>
    <w:p w14:paraId="776DCC7D" w14:textId="77777777" w:rsidR="004F00A3" w:rsidRDefault="004F00A3" w:rsidP="00063ECF">
      <w:pPr>
        <w:spacing w:line="276" w:lineRule="auto"/>
        <w:rPr>
          <w:lang w:val="en-US"/>
        </w:rPr>
      </w:pPr>
    </w:p>
    <w:sectPr w:rsidR="004F00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DC4C230A-F181-4D9A-97FD-76A86C208BA2}"/>
    <w:embedBold r:id="rId2" w:fontKey="{D5F13FB5-34CE-44D3-A514-5B79811E8F0D}"/>
    <w:embedItalic r:id="rId3" w:fontKey="{5093E59B-986E-433D-B1BD-E21C91EC109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6557886-1833-4B62-B0B8-C2E9C8433E92}"/>
  </w:font>
  <w:font w:name="Calibri Light">
    <w:panose1 w:val="020F0302020204030204"/>
    <w:charset w:val="00"/>
    <w:family w:val="swiss"/>
    <w:pitch w:val="variable"/>
    <w:sig w:usb0="E4002EFF" w:usb1="C000247B" w:usb2="00000009" w:usb3="00000000" w:csb0="000001FF" w:csb1="00000000"/>
    <w:embedRegular r:id="rId5" w:fontKey="{FC90ED22-F5F9-4A82-935B-446DC6AECB3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0376D"/>
    <w:multiLevelType w:val="multilevel"/>
    <w:tmpl w:val="45368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1F623D"/>
    <w:multiLevelType w:val="multilevel"/>
    <w:tmpl w:val="07C2F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E901D4"/>
    <w:multiLevelType w:val="multilevel"/>
    <w:tmpl w:val="B8AC5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1B3731"/>
    <w:multiLevelType w:val="multilevel"/>
    <w:tmpl w:val="3B9C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D136B8"/>
    <w:multiLevelType w:val="multilevel"/>
    <w:tmpl w:val="D1E00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95E7F68"/>
    <w:multiLevelType w:val="multilevel"/>
    <w:tmpl w:val="1B70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56309E"/>
    <w:multiLevelType w:val="multilevel"/>
    <w:tmpl w:val="AC723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010166">
    <w:abstractNumId w:val="4"/>
  </w:num>
  <w:num w:numId="2" w16cid:durableId="321082758">
    <w:abstractNumId w:val="2"/>
  </w:num>
  <w:num w:numId="3" w16cid:durableId="1925534475">
    <w:abstractNumId w:val="5"/>
  </w:num>
  <w:num w:numId="4" w16cid:durableId="1785995615">
    <w:abstractNumId w:val="3"/>
  </w:num>
  <w:num w:numId="5" w16cid:durableId="1645886677">
    <w:abstractNumId w:val="1"/>
  </w:num>
  <w:num w:numId="6" w16cid:durableId="2056662666">
    <w:abstractNumId w:val="0"/>
  </w:num>
  <w:num w:numId="7" w16cid:durableId="19950610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063ECF"/>
    <w:rsid w:val="001700EC"/>
    <w:rsid w:val="00174BB1"/>
    <w:rsid w:val="00224FD9"/>
    <w:rsid w:val="002F4AE0"/>
    <w:rsid w:val="00384E8A"/>
    <w:rsid w:val="003D1074"/>
    <w:rsid w:val="003F4BD0"/>
    <w:rsid w:val="00426865"/>
    <w:rsid w:val="00477CAA"/>
    <w:rsid w:val="004F00A3"/>
    <w:rsid w:val="00502E29"/>
    <w:rsid w:val="005E458B"/>
    <w:rsid w:val="00672345"/>
    <w:rsid w:val="0078667C"/>
    <w:rsid w:val="00844EC2"/>
    <w:rsid w:val="008516FE"/>
    <w:rsid w:val="008D42C9"/>
    <w:rsid w:val="00942251"/>
    <w:rsid w:val="009C1D0A"/>
    <w:rsid w:val="00A044F7"/>
    <w:rsid w:val="00A8150E"/>
    <w:rsid w:val="00B20343"/>
    <w:rsid w:val="00B85EA7"/>
    <w:rsid w:val="00BE65DD"/>
    <w:rsid w:val="00C50C4A"/>
    <w:rsid w:val="00C612A4"/>
    <w:rsid w:val="00CC38D3"/>
    <w:rsid w:val="00CC6AD1"/>
    <w:rsid w:val="00E6778A"/>
    <w:rsid w:val="00F13AC3"/>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B91A7"/>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C50C4A"/>
    <w:rPr>
      <w:color w:val="0563C1" w:themeColor="hyperlink"/>
      <w:u w:val="single"/>
    </w:rPr>
  </w:style>
  <w:style w:type="character" w:styleId="UnresolvedMention">
    <w:name w:val="Unresolved Mention"/>
    <w:basedOn w:val="DefaultParagraphFont"/>
    <w:uiPriority w:val="99"/>
    <w:semiHidden/>
    <w:unhideWhenUsed/>
    <w:rsid w:val="00C50C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4324/9780203108857"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852</Words>
  <Characters>4861</Characters>
  <Application>Microsoft Office Word</Application>
  <DocSecurity>0</DocSecurity>
  <Lines>40</Lines>
  <Paragraphs>11</Paragraphs>
  <ScaleCrop>false</ScaleCrop>
  <Company/>
  <LinksUpToDate>false</LinksUpToDate>
  <CharactersWithSpaces>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2026-04-18T12:21:00Z</dcterms:created>
  <dcterms:modified xsi:type="dcterms:W3CDTF">2026-04-18T12:21:00Z</dcterms:modified>
</cp:coreProperties>
</file>