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DDC8E0" w14:textId="77777777" w:rsidR="00515B87" w:rsidRDefault="00515B87" w:rsidP="00780D33">
      <w:pPr>
        <w:spacing w:after="0" w:line="480" w:lineRule="auto"/>
        <w:jc w:val="center"/>
        <w:rPr>
          <w:b/>
        </w:rPr>
      </w:pPr>
      <w:bookmarkStart w:id="0" w:name="_Hlk211998294"/>
    </w:p>
    <w:p w14:paraId="4FD71D1F" w14:textId="77777777" w:rsidR="00515B87" w:rsidRDefault="00515B87" w:rsidP="00780D33">
      <w:pPr>
        <w:spacing w:after="0" w:line="480" w:lineRule="auto"/>
        <w:jc w:val="center"/>
        <w:rPr>
          <w:b/>
        </w:rPr>
      </w:pPr>
    </w:p>
    <w:p w14:paraId="2C0205B7" w14:textId="77777777" w:rsidR="00515B87" w:rsidRDefault="00515B87" w:rsidP="00780D33">
      <w:pPr>
        <w:spacing w:after="0" w:line="480" w:lineRule="auto"/>
        <w:jc w:val="center"/>
        <w:rPr>
          <w:b/>
        </w:rPr>
      </w:pPr>
    </w:p>
    <w:p w14:paraId="3CAFB756" w14:textId="0A850448" w:rsidR="00CE3994" w:rsidRDefault="00A83166" w:rsidP="00780D33">
      <w:pPr>
        <w:spacing w:after="0" w:line="480" w:lineRule="auto"/>
        <w:jc w:val="center"/>
      </w:pPr>
      <w:r>
        <w:rPr>
          <w:b/>
        </w:rPr>
        <w:t>Designing a Sustainable Event Management Framework for Mega Tourism Events</w:t>
      </w:r>
    </w:p>
    <w:bookmarkEnd w:id="0"/>
    <w:p w14:paraId="0E80DCAE" w14:textId="77777777" w:rsidR="00780D33" w:rsidRDefault="00A83166" w:rsidP="00780D33">
      <w:pPr>
        <w:spacing w:after="0" w:line="480" w:lineRule="auto"/>
        <w:jc w:val="center"/>
      </w:pPr>
      <w:r>
        <w:br/>
      </w:r>
      <w:r w:rsidR="00780D33">
        <w:t>Kulwinder Kaur</w:t>
      </w:r>
    </w:p>
    <w:p w14:paraId="65E8798E" w14:textId="78E54479" w:rsidR="00780D33" w:rsidRDefault="00A83166" w:rsidP="00780D33">
      <w:pPr>
        <w:spacing w:after="0" w:line="480" w:lineRule="auto"/>
        <w:jc w:val="center"/>
      </w:pPr>
      <w:r>
        <w:t>MA in Tourism and Recreation</w:t>
      </w:r>
    </w:p>
    <w:p w14:paraId="6B89DC3E" w14:textId="77777777" w:rsidR="00515B87" w:rsidRDefault="00A83166" w:rsidP="00780D33">
      <w:pPr>
        <w:spacing w:after="0" w:line="480" w:lineRule="auto"/>
        <w:jc w:val="center"/>
      </w:pPr>
      <w:r>
        <w:t>European Institute of Innovation and Education (EIIET</w:t>
      </w:r>
      <w:r w:rsidR="00780D33">
        <w:t xml:space="preserve">) </w:t>
      </w:r>
      <w:r>
        <w:br/>
        <w:t>Quality and Sustainability in Tourism and Hospitality</w:t>
      </w:r>
    </w:p>
    <w:p w14:paraId="15C19ADA" w14:textId="77777777" w:rsidR="00515B87" w:rsidRDefault="00840C4C" w:rsidP="00780D33">
      <w:pPr>
        <w:spacing w:after="0" w:line="480" w:lineRule="auto"/>
        <w:jc w:val="center"/>
      </w:pPr>
      <w:r>
        <w:t xml:space="preserve">Dr. </w:t>
      </w:r>
      <w:r w:rsidR="00F72C89">
        <w:t>Mahmoud Abd</w:t>
      </w:r>
      <w:r w:rsidR="00515B87">
        <w:t>ou</w:t>
      </w:r>
    </w:p>
    <w:p w14:paraId="3C192CD8" w14:textId="1FF36C0A" w:rsidR="00CE3994" w:rsidRDefault="00A83166" w:rsidP="00780D33">
      <w:pPr>
        <w:spacing w:after="0" w:line="480" w:lineRule="auto"/>
        <w:jc w:val="center"/>
      </w:pPr>
      <w:r>
        <w:t>2</w:t>
      </w:r>
      <w:r w:rsidR="00515B87">
        <w:t>3</w:t>
      </w:r>
      <w:r>
        <w:t xml:space="preserve"> October 2025</w:t>
      </w:r>
    </w:p>
    <w:p w14:paraId="2CDA39B4" w14:textId="77777777" w:rsidR="00CE3994" w:rsidRDefault="00A83166">
      <w:r>
        <w:br w:type="page"/>
      </w:r>
    </w:p>
    <w:p w14:paraId="740F2E39" w14:textId="77777777" w:rsidR="000979D7" w:rsidRDefault="00A83166" w:rsidP="000979D7">
      <w:pPr>
        <w:spacing w:after="0" w:line="480" w:lineRule="auto"/>
        <w:jc w:val="center"/>
        <w:rPr>
          <w:b/>
          <w:bCs/>
        </w:rPr>
      </w:pPr>
      <w:r w:rsidRPr="00780D33">
        <w:rPr>
          <w:b/>
          <w:bCs/>
        </w:rPr>
        <w:lastRenderedPageBreak/>
        <w:t>Table of Contents</w:t>
      </w:r>
    </w:p>
    <w:p w14:paraId="5E1FB14D" w14:textId="77777777" w:rsidR="000979D7" w:rsidRDefault="00AB721F" w:rsidP="000979D7">
      <w:pPr>
        <w:spacing w:after="0" w:line="480" w:lineRule="auto"/>
        <w:rPr>
          <w:rFonts w:cs="Times New Roman"/>
        </w:rPr>
      </w:pPr>
      <w:r w:rsidRPr="000979D7">
        <w:rPr>
          <w:rFonts w:cs="Times New Roman"/>
        </w:rPr>
        <w:t>Abstract</w:t>
      </w:r>
    </w:p>
    <w:p w14:paraId="4C658814" w14:textId="77777777" w:rsidR="000979D7" w:rsidRDefault="00AB721F" w:rsidP="000979D7">
      <w:pPr>
        <w:spacing w:after="0" w:line="480" w:lineRule="auto"/>
        <w:rPr>
          <w:rFonts w:cs="Times New Roman"/>
        </w:rPr>
      </w:pPr>
      <w:r w:rsidRPr="000979D7">
        <w:rPr>
          <w:rFonts w:cs="Times New Roman"/>
        </w:rPr>
        <w:t>Introduction</w:t>
      </w:r>
    </w:p>
    <w:p w14:paraId="208D8CF3" w14:textId="43CDE20B" w:rsidR="000979D7" w:rsidRDefault="00AB721F" w:rsidP="000979D7">
      <w:pPr>
        <w:spacing w:after="0" w:line="480" w:lineRule="auto"/>
        <w:rPr>
          <w:rFonts w:cs="Times New Roman"/>
        </w:rPr>
      </w:pPr>
      <w:r w:rsidRPr="000979D7">
        <w:rPr>
          <w:rFonts w:cs="Times New Roman"/>
        </w:rPr>
        <w:t>Literature Review</w:t>
      </w:r>
    </w:p>
    <w:p w14:paraId="5043BA4A" w14:textId="07708718" w:rsidR="009425F3" w:rsidRDefault="009425F3" w:rsidP="000979D7">
      <w:pPr>
        <w:pStyle w:val="ListParagraph"/>
        <w:numPr>
          <w:ilvl w:val="0"/>
          <w:numId w:val="16"/>
        </w:numPr>
        <w:spacing w:after="0" w:line="480" w:lineRule="auto"/>
        <w:rPr>
          <w:rFonts w:cs="Times New Roman"/>
        </w:rPr>
      </w:pPr>
      <w:r>
        <w:rPr>
          <w:rFonts w:cs="Times New Roman"/>
        </w:rPr>
        <w:t>Defining Tourism Mega-Events</w:t>
      </w:r>
    </w:p>
    <w:p w14:paraId="411F874B" w14:textId="43942910" w:rsidR="000979D7" w:rsidRDefault="00AB721F" w:rsidP="000979D7">
      <w:pPr>
        <w:pStyle w:val="ListParagraph"/>
        <w:numPr>
          <w:ilvl w:val="0"/>
          <w:numId w:val="16"/>
        </w:numPr>
        <w:spacing w:after="0" w:line="480" w:lineRule="auto"/>
        <w:rPr>
          <w:rFonts w:cs="Times New Roman"/>
        </w:rPr>
      </w:pPr>
      <w:r w:rsidRPr="000979D7">
        <w:rPr>
          <w:rFonts w:cs="Times New Roman"/>
        </w:rPr>
        <w:t xml:space="preserve">Sustainability in Tourism and </w:t>
      </w:r>
      <w:r w:rsidR="00321B1A">
        <w:rPr>
          <w:rFonts w:cs="Times New Roman"/>
        </w:rPr>
        <w:t>Events Concept</w:t>
      </w:r>
    </w:p>
    <w:p w14:paraId="0FF7F3CE" w14:textId="36A150A0" w:rsidR="00321B1A" w:rsidRPr="00321B1A" w:rsidRDefault="00321B1A" w:rsidP="000979D7">
      <w:pPr>
        <w:pStyle w:val="ListParagraph"/>
        <w:numPr>
          <w:ilvl w:val="0"/>
          <w:numId w:val="16"/>
        </w:numPr>
        <w:spacing w:after="0" w:line="480" w:lineRule="auto"/>
        <w:rPr>
          <w:rFonts w:cs="Times New Roman"/>
        </w:rPr>
      </w:pPr>
      <w:r>
        <w:rPr>
          <w:rFonts w:cs="Times New Roman"/>
        </w:rPr>
        <w:t>The Triple Bottom Line Approach</w:t>
      </w:r>
    </w:p>
    <w:p w14:paraId="31A74BD0" w14:textId="200822D1" w:rsidR="000979D7" w:rsidRPr="00977B63" w:rsidRDefault="00AB721F" w:rsidP="000979D7">
      <w:pPr>
        <w:pStyle w:val="ListParagraph"/>
        <w:numPr>
          <w:ilvl w:val="0"/>
          <w:numId w:val="16"/>
        </w:numPr>
        <w:spacing w:after="0" w:line="480" w:lineRule="auto"/>
        <w:rPr>
          <w:rFonts w:cs="Times New Roman"/>
        </w:rPr>
      </w:pPr>
      <w:r w:rsidRPr="000979D7">
        <w:t xml:space="preserve">Sustainability </w:t>
      </w:r>
      <w:r w:rsidR="00977B63">
        <w:t>Development Goals</w:t>
      </w:r>
    </w:p>
    <w:p w14:paraId="0923BAC8" w14:textId="33C3A783" w:rsidR="00977B63" w:rsidRPr="00364374" w:rsidRDefault="00977B63" w:rsidP="000979D7">
      <w:pPr>
        <w:pStyle w:val="ListParagraph"/>
        <w:numPr>
          <w:ilvl w:val="0"/>
          <w:numId w:val="16"/>
        </w:numPr>
        <w:spacing w:after="0" w:line="480" w:lineRule="auto"/>
        <w:rPr>
          <w:rFonts w:cs="Times New Roman"/>
        </w:rPr>
      </w:pPr>
      <w:r>
        <w:t xml:space="preserve">Community Engagement and </w:t>
      </w:r>
      <w:r w:rsidR="00364374">
        <w:t>Social Sustainability</w:t>
      </w:r>
    </w:p>
    <w:p w14:paraId="75D9155E" w14:textId="1F9D990E" w:rsidR="00364374" w:rsidRPr="000979D7" w:rsidRDefault="00364374" w:rsidP="000979D7">
      <w:pPr>
        <w:pStyle w:val="ListParagraph"/>
        <w:numPr>
          <w:ilvl w:val="0"/>
          <w:numId w:val="16"/>
        </w:numPr>
        <w:spacing w:after="0" w:line="480" w:lineRule="auto"/>
        <w:rPr>
          <w:rFonts w:cs="Times New Roman"/>
        </w:rPr>
      </w:pPr>
      <w:r>
        <w:t>Economic Sustainability and Legacy</w:t>
      </w:r>
    </w:p>
    <w:p w14:paraId="14EA5A6E" w14:textId="77777777" w:rsidR="000979D7" w:rsidRDefault="00AB721F" w:rsidP="001E3918">
      <w:pPr>
        <w:spacing w:after="0" w:line="480" w:lineRule="auto"/>
      </w:pPr>
      <w:r w:rsidRPr="000979D7">
        <w:t>Methodology</w:t>
      </w:r>
    </w:p>
    <w:p w14:paraId="2354DC06" w14:textId="110B4C3E" w:rsidR="001060DA" w:rsidRDefault="001E3918" w:rsidP="001E3918">
      <w:pPr>
        <w:pStyle w:val="ListParagraph"/>
        <w:numPr>
          <w:ilvl w:val="0"/>
          <w:numId w:val="24"/>
        </w:numPr>
        <w:spacing w:after="0" w:line="480" w:lineRule="auto"/>
      </w:pPr>
      <w:r>
        <w:t>Research Design</w:t>
      </w:r>
    </w:p>
    <w:p w14:paraId="25BE00E3" w14:textId="3AAB862E" w:rsidR="001E3918" w:rsidRDefault="001E3918" w:rsidP="001E3918">
      <w:pPr>
        <w:pStyle w:val="ListParagraph"/>
        <w:numPr>
          <w:ilvl w:val="0"/>
          <w:numId w:val="24"/>
        </w:numPr>
        <w:spacing w:after="0" w:line="480" w:lineRule="auto"/>
      </w:pPr>
      <w:r>
        <w:t>Data Collection</w:t>
      </w:r>
    </w:p>
    <w:p w14:paraId="096D2DCF" w14:textId="14272FE8" w:rsidR="001E3918" w:rsidRDefault="001E3918" w:rsidP="001E3918">
      <w:pPr>
        <w:pStyle w:val="ListParagraph"/>
        <w:numPr>
          <w:ilvl w:val="0"/>
          <w:numId w:val="24"/>
        </w:numPr>
        <w:spacing w:after="0" w:line="480" w:lineRule="auto"/>
      </w:pPr>
      <w:r>
        <w:t>Case Studies Selection</w:t>
      </w:r>
    </w:p>
    <w:p w14:paraId="5A6070F0" w14:textId="711A4E70" w:rsidR="001E3918" w:rsidRDefault="001E3918" w:rsidP="001E3918">
      <w:pPr>
        <w:pStyle w:val="ListParagraph"/>
        <w:numPr>
          <w:ilvl w:val="0"/>
          <w:numId w:val="24"/>
        </w:numPr>
        <w:spacing w:after="0" w:line="480" w:lineRule="auto"/>
      </w:pPr>
      <w:r>
        <w:t>Data Analysis</w:t>
      </w:r>
    </w:p>
    <w:p w14:paraId="78C1E56D" w14:textId="790A22EA" w:rsidR="00AB721F" w:rsidRDefault="00AB721F" w:rsidP="001E3918">
      <w:pPr>
        <w:spacing w:after="0" w:line="480" w:lineRule="auto"/>
        <w:rPr>
          <w:rFonts w:cs="Times New Roman"/>
        </w:rPr>
      </w:pPr>
      <w:r w:rsidRPr="000979D7">
        <w:rPr>
          <w:rFonts w:cs="Times New Roman"/>
        </w:rPr>
        <w:t>Findings</w:t>
      </w:r>
    </w:p>
    <w:p w14:paraId="457E5BA7" w14:textId="3205B350" w:rsidR="001E3918" w:rsidRDefault="00BC0AF9" w:rsidP="001E3918">
      <w:pPr>
        <w:pStyle w:val="ListParagraph"/>
        <w:numPr>
          <w:ilvl w:val="0"/>
          <w:numId w:val="25"/>
        </w:numPr>
        <w:spacing w:after="0" w:line="480" w:lineRule="auto"/>
        <w:rPr>
          <w:rFonts w:cs="Times New Roman"/>
        </w:rPr>
      </w:pPr>
      <w:r>
        <w:rPr>
          <w:rFonts w:cs="Times New Roman"/>
        </w:rPr>
        <w:t>Environmental Impact</w:t>
      </w:r>
    </w:p>
    <w:p w14:paraId="2C8B2DBA" w14:textId="23E09754" w:rsidR="00BC0AF9" w:rsidRDefault="00BC0AF9" w:rsidP="001E3918">
      <w:pPr>
        <w:pStyle w:val="ListParagraph"/>
        <w:numPr>
          <w:ilvl w:val="0"/>
          <w:numId w:val="25"/>
        </w:numPr>
        <w:spacing w:after="0" w:line="480" w:lineRule="auto"/>
        <w:rPr>
          <w:rFonts w:cs="Times New Roman"/>
        </w:rPr>
      </w:pPr>
      <w:r>
        <w:rPr>
          <w:rFonts w:cs="Times New Roman"/>
        </w:rPr>
        <w:t>Social Impact</w:t>
      </w:r>
    </w:p>
    <w:p w14:paraId="59012AD2" w14:textId="7CD108F2" w:rsidR="00BC0AF9" w:rsidRDefault="00D75724" w:rsidP="001E3918">
      <w:pPr>
        <w:pStyle w:val="ListParagraph"/>
        <w:numPr>
          <w:ilvl w:val="0"/>
          <w:numId w:val="25"/>
        </w:numPr>
        <w:spacing w:after="0" w:line="480" w:lineRule="auto"/>
        <w:rPr>
          <w:rFonts w:cs="Times New Roman"/>
        </w:rPr>
      </w:pPr>
      <w:r>
        <w:rPr>
          <w:rFonts w:cs="Times New Roman"/>
        </w:rPr>
        <w:t>Economic Impact</w:t>
      </w:r>
    </w:p>
    <w:p w14:paraId="14B7C7DC" w14:textId="59A5C5B1" w:rsidR="00D75724" w:rsidRDefault="00D75724" w:rsidP="001E462C">
      <w:pPr>
        <w:spacing w:after="0" w:line="480" w:lineRule="auto"/>
      </w:pPr>
      <w:r>
        <w:t>Case Studies</w:t>
      </w:r>
    </w:p>
    <w:p w14:paraId="1169A18E" w14:textId="2338321C" w:rsidR="00D75724" w:rsidRDefault="00D75724" w:rsidP="001E462C">
      <w:pPr>
        <w:pStyle w:val="ListParagraph"/>
        <w:numPr>
          <w:ilvl w:val="0"/>
          <w:numId w:val="26"/>
        </w:numPr>
        <w:spacing w:after="0" w:line="480" w:lineRule="auto"/>
      </w:pPr>
      <w:r>
        <w:t>London 2012 Summer Olympics</w:t>
      </w:r>
    </w:p>
    <w:p w14:paraId="6901AEEB" w14:textId="3AE218BD" w:rsidR="00D75724" w:rsidRDefault="00547505" w:rsidP="001E462C">
      <w:pPr>
        <w:pStyle w:val="ListParagraph"/>
        <w:numPr>
          <w:ilvl w:val="0"/>
          <w:numId w:val="26"/>
        </w:numPr>
        <w:spacing w:after="0" w:line="480" w:lineRule="auto"/>
      </w:pPr>
      <w:r>
        <w:t>Qatar 2022 FIFA World Cup</w:t>
      </w:r>
    </w:p>
    <w:p w14:paraId="21253EDA" w14:textId="268F9E50" w:rsidR="00547505" w:rsidRDefault="00547505" w:rsidP="001E462C">
      <w:pPr>
        <w:pStyle w:val="ListParagraph"/>
        <w:numPr>
          <w:ilvl w:val="0"/>
          <w:numId w:val="26"/>
        </w:numPr>
        <w:spacing w:after="0" w:line="480" w:lineRule="auto"/>
      </w:pPr>
      <w:r>
        <w:t>Tokyo 2020 Summer Olympics</w:t>
      </w:r>
    </w:p>
    <w:p w14:paraId="52066B3D" w14:textId="7FD8FF3A" w:rsidR="00547505" w:rsidRPr="00D75724" w:rsidRDefault="001E462C" w:rsidP="001E462C">
      <w:pPr>
        <w:pStyle w:val="ListParagraph"/>
        <w:numPr>
          <w:ilvl w:val="0"/>
          <w:numId w:val="26"/>
        </w:numPr>
        <w:spacing w:after="0" w:line="480" w:lineRule="auto"/>
      </w:pPr>
      <w:r>
        <w:lastRenderedPageBreak/>
        <w:t>Expo 2020 Dubai</w:t>
      </w:r>
    </w:p>
    <w:p w14:paraId="58B1DB82" w14:textId="2FAD3A7F" w:rsidR="00AB721F" w:rsidRPr="000979D7" w:rsidRDefault="00AB721F" w:rsidP="000979D7">
      <w:pPr>
        <w:rPr>
          <w:rFonts w:cs="Times New Roman"/>
        </w:rPr>
      </w:pPr>
      <w:r w:rsidRPr="000979D7">
        <w:rPr>
          <w:rFonts w:cs="Times New Roman"/>
        </w:rPr>
        <w:t>Proposed Sustainable Event Management Framework</w:t>
      </w:r>
    </w:p>
    <w:p w14:paraId="6D35B3D9" w14:textId="5BAB43E4" w:rsidR="00900EFE" w:rsidRDefault="00900EFE" w:rsidP="000979D7">
      <w:pPr>
        <w:pStyle w:val="NormalWeb"/>
        <w:numPr>
          <w:ilvl w:val="0"/>
          <w:numId w:val="15"/>
        </w:numPr>
        <w:spacing w:line="480" w:lineRule="auto"/>
      </w:pPr>
      <w:r>
        <w:t xml:space="preserve">Environmental </w:t>
      </w:r>
      <w:r w:rsidR="00851B4C">
        <w:t>S</w:t>
      </w:r>
      <w:r>
        <w:t>ustainabilit</w:t>
      </w:r>
      <w:r w:rsidR="00851B4C">
        <w:t>y</w:t>
      </w:r>
    </w:p>
    <w:p w14:paraId="1961561E" w14:textId="1314E283" w:rsidR="00AB721F" w:rsidRPr="000979D7" w:rsidRDefault="00AB721F" w:rsidP="000979D7">
      <w:pPr>
        <w:pStyle w:val="NormalWeb"/>
        <w:numPr>
          <w:ilvl w:val="0"/>
          <w:numId w:val="15"/>
        </w:numPr>
        <w:spacing w:line="480" w:lineRule="auto"/>
      </w:pPr>
      <w:r w:rsidRPr="000979D7">
        <w:t>S</w:t>
      </w:r>
      <w:r w:rsidR="00851B4C">
        <w:t>ocial Inclusion</w:t>
      </w:r>
    </w:p>
    <w:p w14:paraId="20B4E07A" w14:textId="48AB7B3A" w:rsidR="00851B4C" w:rsidRDefault="00851B4C" w:rsidP="000979D7">
      <w:pPr>
        <w:pStyle w:val="NormalWeb"/>
        <w:numPr>
          <w:ilvl w:val="0"/>
          <w:numId w:val="15"/>
        </w:numPr>
        <w:spacing w:before="0" w:beforeAutospacing="0" w:after="0" w:afterAutospacing="0" w:line="480" w:lineRule="auto"/>
      </w:pPr>
      <w:r>
        <w:t>Economic V</w:t>
      </w:r>
      <w:r w:rsidR="00384B26">
        <w:t>iability</w:t>
      </w:r>
    </w:p>
    <w:p w14:paraId="5FAD5776" w14:textId="6C416378" w:rsidR="00384B26" w:rsidRDefault="00384B26" w:rsidP="000979D7">
      <w:pPr>
        <w:pStyle w:val="NormalWeb"/>
        <w:numPr>
          <w:ilvl w:val="0"/>
          <w:numId w:val="15"/>
        </w:numPr>
        <w:spacing w:before="0" w:beforeAutospacing="0" w:after="0" w:afterAutospacing="0" w:line="480" w:lineRule="auto"/>
      </w:pPr>
      <w:r>
        <w:t>Accountability and Gover</w:t>
      </w:r>
      <w:r w:rsidR="002517F9">
        <w:t>nance</w:t>
      </w:r>
    </w:p>
    <w:p w14:paraId="70E29E6F" w14:textId="20684446" w:rsidR="002517F9" w:rsidRDefault="002517F9" w:rsidP="002517F9">
      <w:r>
        <w:t>Discussion</w:t>
      </w:r>
    </w:p>
    <w:p w14:paraId="43539466" w14:textId="0EE7E255" w:rsidR="00AB721F" w:rsidRPr="000979D7" w:rsidRDefault="00AB721F" w:rsidP="002517F9">
      <w:r w:rsidRPr="000979D7">
        <w:t>Conclusion</w:t>
      </w:r>
    </w:p>
    <w:p w14:paraId="7870F4FA" w14:textId="34E9D803" w:rsidR="00AB721F" w:rsidRPr="000979D7" w:rsidRDefault="00AB721F" w:rsidP="000979D7">
      <w:pPr>
        <w:pStyle w:val="NormalWeb"/>
        <w:spacing w:before="0" w:beforeAutospacing="0" w:after="0" w:afterAutospacing="0" w:line="480" w:lineRule="auto"/>
      </w:pPr>
      <w:r w:rsidRPr="000979D7">
        <w:t>References</w:t>
      </w:r>
    </w:p>
    <w:p w14:paraId="31C52E85" w14:textId="3EF2A08F" w:rsidR="00CE3994" w:rsidRPr="000979D7" w:rsidRDefault="00AB721F" w:rsidP="000979D7">
      <w:pPr>
        <w:pStyle w:val="NormalWeb"/>
        <w:spacing w:before="0" w:beforeAutospacing="0" w:after="0" w:afterAutospacing="0" w:line="480" w:lineRule="auto"/>
      </w:pPr>
      <w:r w:rsidRPr="000979D7">
        <w:t>Appendices</w:t>
      </w:r>
    </w:p>
    <w:p w14:paraId="7496759C" w14:textId="77777777" w:rsidR="00CE3994" w:rsidRDefault="00A83166">
      <w:r>
        <w:br w:type="page"/>
      </w:r>
    </w:p>
    <w:p w14:paraId="4B2AE4F2" w14:textId="77777777" w:rsidR="00CE3994" w:rsidRPr="00780D33" w:rsidRDefault="00A83166" w:rsidP="00780D33">
      <w:pPr>
        <w:jc w:val="center"/>
        <w:rPr>
          <w:b/>
          <w:bCs/>
        </w:rPr>
      </w:pPr>
      <w:r w:rsidRPr="00780D33">
        <w:rPr>
          <w:b/>
          <w:bCs/>
        </w:rPr>
        <w:lastRenderedPageBreak/>
        <w:t>Abstract</w:t>
      </w:r>
    </w:p>
    <w:p w14:paraId="11869CAF" w14:textId="72FEC106" w:rsidR="00301FC0" w:rsidRDefault="00640879" w:rsidP="00731B46">
      <w:pPr>
        <w:spacing w:after="0" w:line="480" w:lineRule="auto"/>
      </w:pPr>
      <w:r>
        <w:tab/>
      </w:r>
      <w:r w:rsidR="00301FC0">
        <w:t xml:space="preserve">Cultural exchange, economic development and global branding have come out as the most powerful </w:t>
      </w:r>
      <w:r w:rsidR="000240F6">
        <w:t>platforms</w:t>
      </w:r>
      <w:r w:rsidR="00301FC0">
        <w:t xml:space="preserve"> of culture exchange with the Olympic Games, FIFA world cup and world expo emerging as some of the major event tourism players in the world. However, these have also been criticized by the virtue of degrading the environment, huge carbon footprints, social displacement as well as unsustainable economic models. This research paper aims to examine the environmental and societal effects of mega-event, discuss sustainable management approaches like green infrastructure and waste minimization, and suggest a comprehensive sustainable event management model, which will be in line with the world's sustainability objectives.</w:t>
      </w:r>
    </w:p>
    <w:p w14:paraId="489EE97D" w14:textId="280376CB" w:rsidR="00301FC0" w:rsidRDefault="00640879" w:rsidP="00731B46">
      <w:pPr>
        <w:spacing w:after="0" w:line="480" w:lineRule="auto"/>
      </w:pPr>
      <w:r>
        <w:tab/>
      </w:r>
      <w:r w:rsidR="00301FC0">
        <w:t xml:space="preserve">The qualitative research design presented in the paper takes the form of descriptive research design which is backed by a huge analysis of case studies on the previous mega-events such as London 2012 Olympics, Qatar 2022 FIFA world cup, Tokyo 2020 Olympics, and Dubai Expo 2020. It uses the worldwide sustainability systems like the Triple bottom line and Sustainable Development Goals, to analyze and suggest solutions that will reduce negative effects and enhance positive legacies. The results indicate that sustainable practices of event implementation are not only beneficial to the </w:t>
      </w:r>
      <w:r w:rsidR="00731B46">
        <w:t>environment but</w:t>
      </w:r>
      <w:r w:rsidR="00301FC0">
        <w:t xml:space="preserve"> also are strategically economical and empowering socially. The paper has ended with the proposed Sustainable Event Management Framework (SEMF) based on environmental conservation, community, economic optimization, and governance accountability.</w:t>
      </w:r>
    </w:p>
    <w:p w14:paraId="13DFF53C" w14:textId="522FC9AA" w:rsidR="00840C4C" w:rsidRDefault="00301FC0" w:rsidP="00731B46">
      <w:pPr>
        <w:spacing w:after="0" w:line="480" w:lineRule="auto"/>
      </w:pPr>
      <w:r w:rsidRPr="00731B46">
        <w:rPr>
          <w:b/>
          <w:bCs/>
        </w:rPr>
        <w:t>Keywords</w:t>
      </w:r>
      <w:r>
        <w:t>: sustainable events management, mega tourism events, environmental sustainability, social sustainability, triple bottom line, ISO standards, circular economy.</w:t>
      </w:r>
    </w:p>
    <w:p w14:paraId="67B4DC13" w14:textId="77777777" w:rsidR="00840C4C" w:rsidRDefault="00840C4C"/>
    <w:p w14:paraId="46FA5E0A" w14:textId="49345B45" w:rsidR="004D3D72" w:rsidRPr="004D3D72" w:rsidRDefault="004D3D72" w:rsidP="004D3D72">
      <w:pPr>
        <w:spacing w:after="0" w:line="480" w:lineRule="auto"/>
        <w:jc w:val="center"/>
      </w:pPr>
      <w:r>
        <w:rPr>
          <w:b/>
        </w:rPr>
        <w:lastRenderedPageBreak/>
        <w:t>Designing a Sustainable Event Management Framework for Mega Tourism Events</w:t>
      </w:r>
    </w:p>
    <w:p w14:paraId="20D637DC" w14:textId="7C00D50D" w:rsidR="007A7366" w:rsidRDefault="007A7366" w:rsidP="007A7366">
      <w:pPr>
        <w:spacing w:after="0" w:line="480" w:lineRule="auto"/>
      </w:pPr>
      <w:r>
        <w:rPr>
          <w:b/>
          <w:bCs/>
        </w:rPr>
        <w:tab/>
      </w:r>
      <w:r w:rsidRPr="007A7366">
        <w:t xml:space="preserve">Mega tourism events are big international events that involve the participation of millions of people and international crowds that have a massive effect on tourism flows and development of infrastructures. Tourism events such as Olympic Games, FIFA world cups and world expos have become part of the tourism industry </w:t>
      </w:r>
      <w:r w:rsidRPr="007A7366">
        <w:t>worldwide and</w:t>
      </w:r>
      <w:r w:rsidRPr="007A7366">
        <w:t xml:space="preserve"> besides bringing out world athletic and cultural excellence they also highlight technological and organizational strength of the host country. Such events can take several years to organize and billions of dollars to </w:t>
      </w:r>
      <w:r w:rsidRPr="007A7366">
        <w:t>establish</w:t>
      </w:r>
      <w:r w:rsidRPr="007A7366">
        <w:t xml:space="preserve"> which leave social, economic and environmental legacies on the host cities in the long run.</w:t>
      </w:r>
    </w:p>
    <w:p w14:paraId="0949A314" w14:textId="65ECE5FB" w:rsidR="007A7366" w:rsidRDefault="007A7366" w:rsidP="007A7366">
      <w:pPr>
        <w:spacing w:after="0" w:line="480" w:lineRule="auto"/>
      </w:pPr>
      <w:r>
        <w:tab/>
      </w:r>
      <w:r w:rsidRPr="007A7366">
        <w:t xml:space="preserve">Although mega-events are known to drive urban development, innovation and tourism promotion, these events have some significant challenges in which sustainability is greatly challenged. Global organizations and environmental activists are under growing criticism </w:t>
      </w:r>
      <w:r w:rsidRPr="007A7366">
        <w:t>of</w:t>
      </w:r>
      <w:r w:rsidRPr="007A7366">
        <w:t xml:space="preserve"> the environmental impacts of huge events: escalated carbon emissions, waste creation, energy and water use, biodiversity degradation, etc. As an illustration, the carbon footprint of Rio 2016 Summer Olympics was projected to be more than 4.5 million </w:t>
      </w:r>
      <w:r w:rsidR="000F4414" w:rsidRPr="007A7366">
        <w:t>tons</w:t>
      </w:r>
      <w:r w:rsidRPr="007A7366">
        <w:t xml:space="preserve"> of CO₂, which is mostly caused by transportation, infrastructure, and event logistics (Gibson, 2018</w:t>
      </w:r>
      <w:r w:rsidR="000F4414">
        <w:t>;</w:t>
      </w:r>
      <w:r w:rsidR="000F4414" w:rsidRPr="000F4414">
        <w:t xml:space="preserve"> </w:t>
      </w:r>
      <w:r w:rsidR="000F4414" w:rsidRPr="000F4414">
        <w:t>Gibson</w:t>
      </w:r>
      <w:r w:rsidR="000F4414">
        <w:t xml:space="preserve">, </w:t>
      </w:r>
      <w:r w:rsidR="000F4414" w:rsidRPr="000F4414">
        <w:t>Kaplanidou</w:t>
      </w:r>
      <w:r w:rsidR="000F4414">
        <w:t>,</w:t>
      </w:r>
      <w:r w:rsidR="000F4414" w:rsidRPr="000F4414">
        <w:t xml:space="preserve"> </w:t>
      </w:r>
      <w:r w:rsidR="000F4414">
        <w:t xml:space="preserve">and </w:t>
      </w:r>
      <w:r w:rsidR="000F4414" w:rsidRPr="000F4414">
        <w:t>Kang, (2012)</w:t>
      </w:r>
      <w:r w:rsidR="000F4414">
        <w:t>.</w:t>
      </w:r>
    </w:p>
    <w:p w14:paraId="400B1B7A" w14:textId="77777777" w:rsidR="002728B7" w:rsidRPr="002728B7" w:rsidRDefault="002728B7" w:rsidP="002728B7">
      <w:pPr>
        <w:spacing w:after="0" w:line="480" w:lineRule="auto"/>
        <w:rPr>
          <w:b/>
          <w:bCs/>
        </w:rPr>
      </w:pPr>
      <w:r w:rsidRPr="002728B7">
        <w:rPr>
          <w:b/>
          <w:bCs/>
        </w:rPr>
        <w:t>Problem Statement</w:t>
      </w:r>
    </w:p>
    <w:p w14:paraId="31F0A7C7" w14:textId="2AEB9FC1" w:rsidR="002728B7" w:rsidRPr="002728B7" w:rsidRDefault="002728B7" w:rsidP="002728B7">
      <w:pPr>
        <w:spacing w:after="0" w:line="480" w:lineRule="auto"/>
      </w:pPr>
      <w:r>
        <w:tab/>
      </w:r>
      <w:r w:rsidRPr="002728B7">
        <w:t xml:space="preserve">Even with the interest and concern of global bodies on climate change and being environmentally responsible, most of the mega-events remain conservative in nature, where the short-term economic benefits are the primary considerations rather than sustainable progress. The infrastructure that is constructed to host such events is also known to be underused or discarded upon the completion of the event and this is often </w:t>
      </w:r>
      <w:r w:rsidRPr="002728B7">
        <w:lastRenderedPageBreak/>
        <w:t>referred to as white elephants. In addition, m</w:t>
      </w:r>
      <w:r>
        <w:t>e</w:t>
      </w:r>
      <w:r w:rsidRPr="002728B7">
        <w:t>ga-event planning has often been accompanied by social displacement, gentrification, and marginalization of vulnerable groups. These issues are worsened by the absence of uniform enforceable systems of sustainable event management.</w:t>
      </w:r>
    </w:p>
    <w:p w14:paraId="49BA40A0" w14:textId="7235EA62" w:rsidR="002728B7" w:rsidRPr="002728B7" w:rsidRDefault="002728B7" w:rsidP="002728B7">
      <w:pPr>
        <w:spacing w:after="0" w:line="480" w:lineRule="auto"/>
        <w:rPr>
          <w:b/>
          <w:bCs/>
        </w:rPr>
      </w:pPr>
      <w:r w:rsidRPr="002728B7">
        <w:rPr>
          <w:b/>
          <w:bCs/>
        </w:rPr>
        <w:t xml:space="preserve">Significance of </w:t>
      </w:r>
      <w:r w:rsidRPr="002728B7">
        <w:rPr>
          <w:b/>
          <w:bCs/>
        </w:rPr>
        <w:t>Study</w:t>
      </w:r>
    </w:p>
    <w:p w14:paraId="154F2629" w14:textId="11A77E4E" w:rsidR="002728B7" w:rsidRDefault="002728B7" w:rsidP="002728B7">
      <w:pPr>
        <w:spacing w:after="0" w:line="480" w:lineRule="auto"/>
      </w:pPr>
      <w:r>
        <w:rPr>
          <w:b/>
          <w:bCs/>
        </w:rPr>
        <w:tab/>
      </w:r>
      <w:r w:rsidRPr="002728B7">
        <w:t>Sustainability should be incorporated in the planning and execution of mega-events to make sure that the events would play a significant role in bettering the environment, economy, and society. This study looks at the effects on the environment and society and outlines some of the successful sustainable practices that can be used in new frameworks. The study provides a strategic and holistic model to future organizers of mega-events by providing a more thorough analysis of the events of the past according to the sustainability parameters.</w:t>
      </w:r>
    </w:p>
    <w:p w14:paraId="1E28D628" w14:textId="0127FB13" w:rsidR="002728B7" w:rsidRDefault="00E66912" w:rsidP="002728B7">
      <w:pPr>
        <w:spacing w:after="0" w:line="480" w:lineRule="auto"/>
        <w:rPr>
          <w:b/>
          <w:bCs/>
        </w:rPr>
      </w:pPr>
      <w:r>
        <w:rPr>
          <w:b/>
          <w:bCs/>
        </w:rPr>
        <w:t>Research Objectives</w:t>
      </w:r>
    </w:p>
    <w:p w14:paraId="7FE672F5" w14:textId="77777777" w:rsidR="000A7BC5" w:rsidRPr="000A7BC5" w:rsidRDefault="00E66912" w:rsidP="000A7BC5">
      <w:pPr>
        <w:spacing w:after="0" w:line="480" w:lineRule="auto"/>
      </w:pPr>
      <w:r>
        <w:rPr>
          <w:b/>
          <w:bCs/>
        </w:rPr>
        <w:tab/>
      </w:r>
      <w:r w:rsidR="000A7BC5" w:rsidRPr="000A7BC5">
        <w:t xml:space="preserve">The main aim of the study is to examine the environmental and social effects of mega tourism events as well as investigate the current sustainable event management practices existing in the world. Although mega events bring about economic growth and international exposure, they usually cause strain on the environment that include carbon emission, generation of waste materials and degradation of the environment. Also, they may have intricate social impacts, such as displacement of communities, appropriation of cultures and imbalance in the way the benefits are distributed. Through these issues, the research paper aims to determine how various destinations have managed or not managed to manage sustainability issues. This is the ability to know both the challenges and the </w:t>
      </w:r>
      <w:r w:rsidR="000A7BC5" w:rsidRPr="000A7BC5">
        <w:lastRenderedPageBreak/>
        <w:t>innovative strategies and policy frameworks that have been formulated globally to reduce the negative effects and maximize community gains.</w:t>
      </w:r>
    </w:p>
    <w:p w14:paraId="72391305" w14:textId="67E3D096" w:rsidR="00E66912" w:rsidRPr="000A7BC5" w:rsidRDefault="000A7BC5" w:rsidP="000A7BC5">
      <w:pPr>
        <w:spacing w:after="0" w:line="480" w:lineRule="auto"/>
      </w:pPr>
      <w:r>
        <w:tab/>
      </w:r>
      <w:r w:rsidRPr="000A7BC5">
        <w:t xml:space="preserve">Moreover, the study will also analyze the case studies of mega events which have incorporated sustainability </w:t>
      </w:r>
      <w:r w:rsidR="00580475" w:rsidRPr="000A7BC5">
        <w:t>strategies and</w:t>
      </w:r>
      <w:r w:rsidRPr="000A7BC5">
        <w:t xml:space="preserve"> apply this information to suggest a holistic sustainable event management model. These case studies will give a real-world insight into how the principles of sustainability are implemented in a variety of situations with their successes, constraints, and lessons to be learned. Based on this analysis, the proposed framework will be based on environmental protection, social inclusion as well as economic viability as a strategic tool where event organizers and policymakers will have a framework to ensure that mega tourism events do not harm host communities and the environment but contribute positively. Such holistic methodology will also aid in the development of events that are economically successful, socially responsible and environmentally sustainable.</w:t>
      </w:r>
    </w:p>
    <w:p w14:paraId="1877BA01" w14:textId="64CD6CFC" w:rsidR="002728B7" w:rsidRDefault="00365CA4" w:rsidP="00365CA4">
      <w:pPr>
        <w:spacing w:after="0" w:line="480" w:lineRule="auto"/>
        <w:jc w:val="center"/>
        <w:rPr>
          <w:b/>
          <w:bCs/>
        </w:rPr>
      </w:pPr>
      <w:r>
        <w:rPr>
          <w:b/>
          <w:bCs/>
        </w:rPr>
        <w:t xml:space="preserve">Literature Review </w:t>
      </w:r>
    </w:p>
    <w:p w14:paraId="3FF93F3E" w14:textId="77777777" w:rsidR="00A54FB3" w:rsidRDefault="00DD595E" w:rsidP="00A54FB3">
      <w:pPr>
        <w:spacing w:after="0" w:line="480" w:lineRule="auto"/>
        <w:rPr>
          <w:b/>
          <w:bCs/>
        </w:rPr>
      </w:pPr>
      <w:r w:rsidRPr="00482B65">
        <w:rPr>
          <w:b/>
          <w:bCs/>
        </w:rPr>
        <w:t>Defining </w:t>
      </w:r>
      <w:r w:rsidR="00482B65">
        <w:rPr>
          <w:b/>
          <w:bCs/>
        </w:rPr>
        <w:t>T</w:t>
      </w:r>
      <w:r w:rsidRPr="00482B65">
        <w:rPr>
          <w:b/>
          <w:bCs/>
        </w:rPr>
        <w:t>ourism </w:t>
      </w:r>
      <w:r w:rsidR="00482B65">
        <w:rPr>
          <w:b/>
          <w:bCs/>
        </w:rPr>
        <w:t>M</w:t>
      </w:r>
      <w:r w:rsidRPr="00482B65">
        <w:rPr>
          <w:b/>
          <w:bCs/>
        </w:rPr>
        <w:t>ega-</w:t>
      </w:r>
      <w:r w:rsidR="00482B65">
        <w:rPr>
          <w:b/>
          <w:bCs/>
        </w:rPr>
        <w:t>E</w:t>
      </w:r>
      <w:r w:rsidRPr="00482B65">
        <w:rPr>
          <w:b/>
          <w:bCs/>
        </w:rPr>
        <w:t>vents</w:t>
      </w:r>
    </w:p>
    <w:p w14:paraId="2516190E" w14:textId="18C14BCF" w:rsidR="00482B65" w:rsidRPr="00482B65" w:rsidRDefault="00A54FB3" w:rsidP="00A54FB3">
      <w:pPr>
        <w:spacing w:after="0" w:line="480" w:lineRule="auto"/>
        <w:rPr>
          <w:b/>
          <w:bCs/>
        </w:rPr>
      </w:pPr>
      <w:r>
        <w:tab/>
      </w:r>
      <w:r>
        <w:t>Mega tourism events are not ordinary gatherings. They are large-scale, globally recognized occasions that attract huge crowds and require substantial infrastructure, planning, and investment. These events are often tied to national pride and international diplomacy. They are seen as opportunities to showcase a country’s culture, innovation, and capabilities to the world (Müller, 2015).</w:t>
      </w:r>
      <w:r>
        <w:t xml:space="preserve"> </w:t>
      </w:r>
      <w:r>
        <w:t xml:space="preserve">Unlike local festivals or small conferences, mega-events involve years of preparation, large budgets, and extensive media coverage. Because of their size, they can shape urban landscapes and influence economic growth for decades. The Olympic Games, World Cups, and World Expos are classic examples. </w:t>
      </w:r>
      <w:r>
        <w:lastRenderedPageBreak/>
        <w:t>While these events offer great opportunities, they also magnify environmental pressures and social tensions, which makes sustainable planning crucial.</w:t>
      </w:r>
    </w:p>
    <w:p w14:paraId="191F9416" w14:textId="3DC651B2" w:rsidR="005F18FD" w:rsidRPr="005F18FD" w:rsidRDefault="005F18FD" w:rsidP="005F18FD">
      <w:pPr>
        <w:spacing w:after="0" w:line="480" w:lineRule="auto"/>
        <w:rPr>
          <w:b/>
          <w:bCs/>
        </w:rPr>
      </w:pPr>
      <w:r w:rsidRPr="005F18FD">
        <w:rPr>
          <w:b/>
          <w:bCs/>
        </w:rPr>
        <w:t>Sustainability in Tourism and Events Concept</w:t>
      </w:r>
    </w:p>
    <w:p w14:paraId="46BD99EB" w14:textId="67608574" w:rsidR="005F18FD" w:rsidRPr="005F18FD" w:rsidRDefault="005F18FD" w:rsidP="005F18FD">
      <w:pPr>
        <w:spacing w:after="0" w:line="480" w:lineRule="auto"/>
      </w:pPr>
      <w:r>
        <w:tab/>
      </w:r>
      <w:r w:rsidRPr="005F18FD">
        <w:t xml:space="preserve">Tourism sustainability refers to the careful management of </w:t>
      </w:r>
      <w:r w:rsidR="006E57EC" w:rsidRPr="005F18FD">
        <w:t>resources</w:t>
      </w:r>
      <w:r w:rsidRPr="005F18FD">
        <w:t xml:space="preserve"> in a manner that </w:t>
      </w:r>
      <w:r w:rsidRPr="005F18FD">
        <w:t>can support</w:t>
      </w:r>
      <w:r w:rsidRPr="005F18FD">
        <w:t xml:space="preserve"> the current generation without affecting the future generation to fulfill theirs (Brundtland, 1987). The concept of sustainability, when applied to mega events, can be seen as the reduction of adverse effects on the environment, economic viability and improvement of welfare within a community. Tourism events are by their nature resource-intensive, however, when handled in a sustainable manner, </w:t>
      </w:r>
      <w:r w:rsidR="006E57EC" w:rsidRPr="005F18FD">
        <w:t>they have</w:t>
      </w:r>
      <w:r w:rsidRPr="005F18FD">
        <w:t xml:space="preserve"> a long-term positive impact (Mair and Whitford, 2013).</w:t>
      </w:r>
    </w:p>
    <w:p w14:paraId="4C2D9CE8" w14:textId="3E3B29D5" w:rsidR="005F18FD" w:rsidRPr="005F18FD" w:rsidRDefault="005F18FD" w:rsidP="00A54FB3">
      <w:pPr>
        <w:rPr>
          <w:b/>
          <w:bCs/>
        </w:rPr>
      </w:pPr>
      <w:r w:rsidRPr="005F18FD">
        <w:rPr>
          <w:b/>
          <w:bCs/>
        </w:rPr>
        <w:t>The Triple Bottom Line Approach.</w:t>
      </w:r>
    </w:p>
    <w:p w14:paraId="6D4053C2" w14:textId="10F7AE77" w:rsidR="005F18FD" w:rsidRPr="008A0733" w:rsidRDefault="008A0733" w:rsidP="005F18FD">
      <w:pPr>
        <w:spacing w:after="0" w:line="480" w:lineRule="auto"/>
      </w:pPr>
      <w:r>
        <w:tab/>
      </w:r>
      <w:r w:rsidR="005F18FD" w:rsidRPr="008A0733">
        <w:t xml:space="preserve">Triple Bottom Line (TBL) is a method of measuring sustainability that relates </w:t>
      </w:r>
      <w:r w:rsidR="002517F9" w:rsidRPr="008A0733">
        <w:t>to</w:t>
      </w:r>
      <w:r w:rsidR="005F18FD" w:rsidRPr="008A0733">
        <w:t xml:space="preserve"> three interrelated aspects such as: environmental, social, and economic. On an environmental front </w:t>
      </w:r>
      <w:r w:rsidRPr="008A0733">
        <w:t>mega event</w:t>
      </w:r>
      <w:r w:rsidR="005F18FD" w:rsidRPr="008A0733">
        <w:t xml:space="preserve"> should deal with carbon emission, biodiversity protection and waste disposal. They </w:t>
      </w:r>
      <w:r w:rsidRPr="008A0733">
        <w:t>must</w:t>
      </w:r>
      <w:r w:rsidR="005F18FD" w:rsidRPr="008A0733">
        <w:t xml:space="preserve"> focus on social </w:t>
      </w:r>
      <w:r w:rsidRPr="008A0733">
        <w:t>inclu</w:t>
      </w:r>
      <w:r w:rsidR="00F46A5C">
        <w:t xml:space="preserve">sion </w:t>
      </w:r>
      <w:r w:rsidR="001E4A79">
        <w:t>of</w:t>
      </w:r>
      <w:r w:rsidR="005F18FD" w:rsidRPr="008A0733">
        <w:t xml:space="preserve"> communities, equity and preservation of culture. On the economic front, they need to be held financially accountable </w:t>
      </w:r>
      <w:r w:rsidR="00E9204F">
        <w:t>for</w:t>
      </w:r>
      <w:r w:rsidR="005F18FD" w:rsidRPr="008A0733">
        <w:t xml:space="preserve"> long-term investment pay-</w:t>
      </w:r>
      <w:r w:rsidRPr="008A0733">
        <w:t>offs</w:t>
      </w:r>
      <w:r w:rsidR="005F18FD" w:rsidRPr="008A0733">
        <w:t xml:space="preserve"> (Elkington, 1997).</w:t>
      </w:r>
    </w:p>
    <w:p w14:paraId="681D6E64" w14:textId="56C36113" w:rsidR="005F18FD" w:rsidRPr="005F18FD" w:rsidRDefault="005F18FD" w:rsidP="005F18FD">
      <w:pPr>
        <w:spacing w:after="0" w:line="480" w:lineRule="auto"/>
        <w:rPr>
          <w:b/>
          <w:bCs/>
        </w:rPr>
      </w:pPr>
      <w:r w:rsidRPr="005F18FD">
        <w:rPr>
          <w:b/>
          <w:bCs/>
        </w:rPr>
        <w:t>Sustainable Development Goals (SDGs).</w:t>
      </w:r>
    </w:p>
    <w:p w14:paraId="221735DB" w14:textId="710B046A" w:rsidR="005F18FD" w:rsidRPr="008A0733" w:rsidRDefault="008A0733" w:rsidP="005F18FD">
      <w:pPr>
        <w:spacing w:after="0" w:line="480" w:lineRule="auto"/>
      </w:pPr>
      <w:r>
        <w:rPr>
          <w:b/>
          <w:bCs/>
        </w:rPr>
        <w:tab/>
      </w:r>
      <w:r w:rsidR="005F18FD" w:rsidRPr="008A0733">
        <w:t xml:space="preserve">Sustainable Development Goals (SDGs) provide a universal concept of sustainability. Some of the goals like Goal 6 (Clean Water and Sanitation), Goal 7 (Affordable and Clean Energy), Goal 12 (Responsible Consumption and Production) and Goal 13 (Climate Action) are directly concerned with event management. The organizers of mega-events also pay more attention to the SDGs in their plans </w:t>
      </w:r>
      <w:r w:rsidR="000F6356" w:rsidRPr="008A0733">
        <w:t>to</w:t>
      </w:r>
      <w:r w:rsidR="005F18FD" w:rsidRPr="008A0733">
        <w:t xml:space="preserve"> correspond to international requirements and minimize reputational risk.</w:t>
      </w:r>
    </w:p>
    <w:p w14:paraId="2E86AF3E" w14:textId="79C1D57C" w:rsidR="005F18FD" w:rsidRPr="005F18FD" w:rsidRDefault="005F18FD" w:rsidP="005F18FD">
      <w:pPr>
        <w:spacing w:after="0" w:line="480" w:lineRule="auto"/>
        <w:rPr>
          <w:b/>
          <w:bCs/>
        </w:rPr>
      </w:pPr>
      <w:r w:rsidRPr="005F18FD">
        <w:rPr>
          <w:b/>
          <w:bCs/>
        </w:rPr>
        <w:lastRenderedPageBreak/>
        <w:t>Green Circular Economy and Infrastructure.</w:t>
      </w:r>
    </w:p>
    <w:p w14:paraId="430E80DB" w14:textId="461C725F" w:rsidR="005F18FD" w:rsidRDefault="003F4194" w:rsidP="005F18FD">
      <w:pPr>
        <w:spacing w:after="0" w:line="480" w:lineRule="auto"/>
      </w:pPr>
      <w:r>
        <w:rPr>
          <w:b/>
          <w:bCs/>
        </w:rPr>
        <w:tab/>
      </w:r>
      <w:r w:rsidR="005F18FD" w:rsidRPr="003F4194">
        <w:t xml:space="preserve">Circular economy and green infrastructure are also critical as far as sustainable event design is concerned. The principles of the circular economy include waste reduction, reuse, and recycling of resources </w:t>
      </w:r>
      <w:r w:rsidRPr="003F4194">
        <w:t>to</w:t>
      </w:r>
      <w:r w:rsidR="005F18FD" w:rsidRPr="003F4194">
        <w:t xml:space="preserve"> limit the contribution to landfills. As an illustration, the 2020 Olympics in Tokyo re-used electronic waste metals in their medals and renewable energy in their facilities. On the same note, solar power, water-saving landscapes, and </w:t>
      </w:r>
      <w:r w:rsidRPr="003F4194">
        <w:t>environmentally friendly</w:t>
      </w:r>
      <w:r w:rsidR="005F18FD" w:rsidRPr="003F4194">
        <w:t xml:space="preserve"> pavilion designs were incorporated in Dubai Expo 2020.</w:t>
      </w:r>
    </w:p>
    <w:p w14:paraId="1AE6D186" w14:textId="4C5C7423" w:rsidR="005F18FD" w:rsidRPr="005F18FD" w:rsidRDefault="005F18FD" w:rsidP="005F18FD">
      <w:pPr>
        <w:spacing w:after="0" w:line="480" w:lineRule="auto"/>
        <w:rPr>
          <w:b/>
          <w:bCs/>
        </w:rPr>
      </w:pPr>
      <w:r w:rsidRPr="005F18FD">
        <w:rPr>
          <w:b/>
          <w:bCs/>
        </w:rPr>
        <w:t>Certifications of Sustainable Events.</w:t>
      </w:r>
    </w:p>
    <w:p w14:paraId="4E881F48" w14:textId="08ECD4BD" w:rsidR="005F18FD" w:rsidRPr="003F4194" w:rsidRDefault="003F4194" w:rsidP="005F18FD">
      <w:pPr>
        <w:spacing w:after="0" w:line="480" w:lineRule="auto"/>
      </w:pPr>
      <w:r>
        <w:rPr>
          <w:b/>
          <w:bCs/>
        </w:rPr>
        <w:tab/>
      </w:r>
      <w:r w:rsidR="005F18FD" w:rsidRPr="003F4194">
        <w:t>Such international standards of sustainability as ISO 2012</w:t>
      </w:r>
      <w:r w:rsidR="002517F9">
        <w:t>1</w:t>
      </w:r>
      <w:r w:rsidR="005F18FD" w:rsidRPr="003F4194">
        <w:t xml:space="preserve">, LEED, Green Key offer guidelines on how to manage events responsibly. Through these certifications, the environmental practices are standardized, enabling the event organizers to quantify and report the sustainability performance in an effective manner. The case in point was the London 2012 Olympics that became the first Olympics Games to be certified to ISO </w:t>
      </w:r>
      <w:r w:rsidRPr="003F4194">
        <w:t>20121 and</w:t>
      </w:r>
      <w:r w:rsidR="005F18FD" w:rsidRPr="003F4194">
        <w:t xml:space="preserve"> included sustainability in all levels of event delivery.</w:t>
      </w:r>
    </w:p>
    <w:p w14:paraId="40C0F3A6" w14:textId="4D3EFCFE" w:rsidR="005F18FD" w:rsidRPr="005F18FD" w:rsidRDefault="005F18FD" w:rsidP="005F18FD">
      <w:pPr>
        <w:spacing w:after="0" w:line="480" w:lineRule="auto"/>
        <w:rPr>
          <w:b/>
          <w:bCs/>
        </w:rPr>
      </w:pPr>
      <w:r w:rsidRPr="005F18FD">
        <w:rPr>
          <w:b/>
          <w:bCs/>
        </w:rPr>
        <w:t>Community Engagement and social Sustainability.</w:t>
      </w:r>
    </w:p>
    <w:p w14:paraId="2A6DECEC" w14:textId="4CA23E7F" w:rsidR="005F18FD" w:rsidRPr="003F4194" w:rsidRDefault="003F4194" w:rsidP="005F18FD">
      <w:pPr>
        <w:spacing w:after="0" w:line="480" w:lineRule="auto"/>
      </w:pPr>
      <w:r>
        <w:rPr>
          <w:b/>
          <w:bCs/>
        </w:rPr>
        <w:tab/>
      </w:r>
      <w:r w:rsidR="005F18FD" w:rsidRPr="003F4194">
        <w:t>Sustainability is not a mere environmental issue, but a social issue as well. Mega events should not violate the local communities, advance cultural heritage, and be accessible. The involvement of local people in the decision-making process, the use of local labor force, and incorporation of traditional practices increase social approval and mutual benefits (Misener, 2006; Misener and Mason, 2006). Games which do not capture the communities are prone to protests, controversies of displacement, or legacy as witnessed in Rio 2016.</w:t>
      </w:r>
    </w:p>
    <w:p w14:paraId="2F891E02" w14:textId="23ED7E32" w:rsidR="005F18FD" w:rsidRPr="005F18FD" w:rsidRDefault="005F18FD" w:rsidP="005F18FD">
      <w:pPr>
        <w:spacing w:after="0" w:line="480" w:lineRule="auto"/>
        <w:rPr>
          <w:b/>
          <w:bCs/>
        </w:rPr>
      </w:pPr>
      <w:r w:rsidRPr="005F18FD">
        <w:rPr>
          <w:b/>
          <w:bCs/>
        </w:rPr>
        <w:lastRenderedPageBreak/>
        <w:t>Economic Sustainability and Legacy</w:t>
      </w:r>
    </w:p>
    <w:p w14:paraId="2CCDD872" w14:textId="2CAD56CC" w:rsidR="005F18FD" w:rsidRDefault="003F4194" w:rsidP="005F18FD">
      <w:pPr>
        <w:spacing w:after="0" w:line="480" w:lineRule="auto"/>
      </w:pPr>
      <w:r>
        <w:rPr>
          <w:b/>
          <w:bCs/>
        </w:rPr>
        <w:tab/>
      </w:r>
      <w:r w:rsidR="005F18FD" w:rsidRPr="003F4194">
        <w:t xml:space="preserve">Sustainability in the economic aspects is </w:t>
      </w:r>
      <w:r w:rsidRPr="003F4194">
        <w:t>overtime</w:t>
      </w:r>
      <w:r w:rsidR="005F18FD" w:rsidRPr="003F4194">
        <w:t xml:space="preserve"> rather than </w:t>
      </w:r>
      <w:r w:rsidR="003D06F8" w:rsidRPr="003F4194">
        <w:t>tourism spikes</w:t>
      </w:r>
      <w:r w:rsidR="005F18FD" w:rsidRPr="003F4194">
        <w:t xml:space="preserve"> in host cities. Infrastructure projects must be in line with the future city planning. A good example that is commonly used is the 1992 Barcelona Olympics where infrastructure upgrades gained in the </w:t>
      </w:r>
      <w:r w:rsidRPr="003F4194">
        <w:t>long-term</w:t>
      </w:r>
      <w:r w:rsidR="005F18FD" w:rsidRPr="003F4194">
        <w:t xml:space="preserve"> economic growth. On the other hand, Athens 2004 suffered </w:t>
      </w:r>
      <w:r w:rsidRPr="003F4194">
        <w:t>economic</w:t>
      </w:r>
      <w:r w:rsidR="005F18FD" w:rsidRPr="003F4194">
        <w:t xml:space="preserve"> and deserted structures.</w:t>
      </w:r>
    </w:p>
    <w:p w14:paraId="12B3CA57" w14:textId="7689E161" w:rsidR="003D06F8" w:rsidRPr="003D06F8" w:rsidRDefault="003D06F8" w:rsidP="00CD02EE">
      <w:pPr>
        <w:jc w:val="center"/>
        <w:rPr>
          <w:b/>
          <w:bCs/>
        </w:rPr>
      </w:pPr>
      <w:r w:rsidRPr="003D06F8">
        <w:rPr>
          <w:b/>
          <w:bCs/>
        </w:rPr>
        <w:t>Methodology</w:t>
      </w:r>
    </w:p>
    <w:p w14:paraId="16662082" w14:textId="63D5CE4F" w:rsidR="003D06F8" w:rsidRPr="003D06F8" w:rsidRDefault="003D06F8" w:rsidP="003D06F8">
      <w:pPr>
        <w:spacing w:after="0" w:line="480" w:lineRule="auto"/>
        <w:rPr>
          <w:b/>
          <w:bCs/>
        </w:rPr>
      </w:pPr>
      <w:r w:rsidRPr="003D06F8">
        <w:rPr>
          <w:b/>
          <w:bCs/>
        </w:rPr>
        <w:t>Research Design</w:t>
      </w:r>
    </w:p>
    <w:p w14:paraId="19DA514A" w14:textId="3757569B" w:rsidR="003D06F8" w:rsidRDefault="003D06F8" w:rsidP="003D06F8">
      <w:pPr>
        <w:spacing w:after="0" w:line="480" w:lineRule="auto"/>
      </w:pPr>
      <w:r>
        <w:tab/>
      </w:r>
      <w:r>
        <w:t>The research design followed in this study is a qualitative, descriptive study that focuses on document analysis and case study research design. Qualitative methods are the most suitable to investigate the dynamics of sustainable event management and the interplay of various factors, including environmental, social, and economic ones.</w:t>
      </w:r>
    </w:p>
    <w:p w14:paraId="63451DDA" w14:textId="2CA24603" w:rsidR="003D06F8" w:rsidRPr="003D06F8" w:rsidRDefault="003D06F8" w:rsidP="003D06F8">
      <w:pPr>
        <w:spacing w:after="0" w:line="480" w:lineRule="auto"/>
        <w:rPr>
          <w:b/>
          <w:bCs/>
        </w:rPr>
      </w:pPr>
      <w:r w:rsidRPr="003D06F8">
        <w:rPr>
          <w:b/>
          <w:bCs/>
        </w:rPr>
        <w:t>Data Collection</w:t>
      </w:r>
    </w:p>
    <w:p w14:paraId="5980643B" w14:textId="388E4147" w:rsidR="003D06F8" w:rsidRDefault="003D06F8" w:rsidP="003D06F8">
      <w:pPr>
        <w:spacing w:after="0" w:line="480" w:lineRule="auto"/>
      </w:pPr>
      <w:r>
        <w:tab/>
      </w:r>
      <w:r>
        <w:t xml:space="preserve">Peer-reviewed journals, event sustainability reports, official organizing committee publications, government archives, and international organizations were used to gather the secondary data. Such sources as the information of the International Olympic Committee, the United Nations Environment Programme, and Federation Internationale de Football Association were </w:t>
      </w:r>
      <w:r>
        <w:t>considered</w:t>
      </w:r>
      <w:r>
        <w:t xml:space="preserve"> as key sources.</w:t>
      </w:r>
    </w:p>
    <w:p w14:paraId="56B016CA" w14:textId="463FFB4F" w:rsidR="003D06F8" w:rsidRPr="003D06F8" w:rsidRDefault="003D06F8" w:rsidP="003D06F8">
      <w:pPr>
        <w:spacing w:after="0" w:line="480" w:lineRule="auto"/>
        <w:rPr>
          <w:b/>
          <w:bCs/>
        </w:rPr>
      </w:pPr>
      <w:r w:rsidRPr="003D06F8">
        <w:rPr>
          <w:b/>
          <w:bCs/>
        </w:rPr>
        <w:t>Case Study Selection</w:t>
      </w:r>
    </w:p>
    <w:p w14:paraId="5C4E9491" w14:textId="4D094BE4" w:rsidR="003D06F8" w:rsidRDefault="003D06F8" w:rsidP="003D06F8">
      <w:pPr>
        <w:spacing w:after="0" w:line="480" w:lineRule="auto"/>
      </w:pPr>
      <w:r>
        <w:tab/>
      </w:r>
      <w:r>
        <w:t>Four international events were picked in terms of their practices of sustainability and the availability of documentation:</w:t>
      </w:r>
    </w:p>
    <w:p w14:paraId="101F65CF" w14:textId="77777777" w:rsidR="003D06F8" w:rsidRDefault="003D06F8" w:rsidP="003D06F8">
      <w:pPr>
        <w:pStyle w:val="ListParagraph"/>
        <w:numPr>
          <w:ilvl w:val="0"/>
          <w:numId w:val="18"/>
        </w:numPr>
        <w:spacing w:after="0" w:line="480" w:lineRule="auto"/>
      </w:pPr>
      <w:r>
        <w:t>Summer Olympics London 2012 Games certified under ISO 20121.</w:t>
      </w:r>
    </w:p>
    <w:p w14:paraId="51677E7D" w14:textId="77777777" w:rsidR="003D06F8" w:rsidRDefault="003D06F8" w:rsidP="003D06F8">
      <w:pPr>
        <w:pStyle w:val="ListParagraph"/>
        <w:numPr>
          <w:ilvl w:val="0"/>
          <w:numId w:val="18"/>
        </w:numPr>
        <w:spacing w:after="0" w:line="480" w:lineRule="auto"/>
      </w:pPr>
      <w:r>
        <w:t>Qatar World Cup 2022 FIFA - first carbon-neutral statements.</w:t>
      </w:r>
    </w:p>
    <w:p w14:paraId="1428F52E" w14:textId="77777777" w:rsidR="003D06F8" w:rsidRDefault="003D06F8" w:rsidP="003D06F8">
      <w:pPr>
        <w:pStyle w:val="ListParagraph"/>
        <w:numPr>
          <w:ilvl w:val="0"/>
          <w:numId w:val="18"/>
        </w:numPr>
        <w:spacing w:after="0" w:line="480" w:lineRule="auto"/>
      </w:pPr>
      <w:proofErr w:type="spellStart"/>
      <w:r>
        <w:lastRenderedPageBreak/>
        <w:t>Ricthel</w:t>
      </w:r>
      <w:proofErr w:type="spellEnd"/>
      <w:r>
        <w:t xml:space="preserve"> Summer Olympics 2020 Tokyo - good circular economy operations.</w:t>
      </w:r>
    </w:p>
    <w:p w14:paraId="6D295581" w14:textId="5E91A30C" w:rsidR="003D06F8" w:rsidRDefault="003D06F8" w:rsidP="003D06F8">
      <w:pPr>
        <w:pStyle w:val="ListParagraph"/>
        <w:numPr>
          <w:ilvl w:val="0"/>
          <w:numId w:val="18"/>
        </w:numPr>
        <w:spacing w:after="0" w:line="480" w:lineRule="auto"/>
      </w:pPr>
      <w:r>
        <w:t>Expo 2020 Dubai - pavilion designs and renewable energy green.</w:t>
      </w:r>
    </w:p>
    <w:p w14:paraId="64147934" w14:textId="7C36A67B" w:rsidR="003D06F8" w:rsidRDefault="003D06F8" w:rsidP="003D06F8">
      <w:pPr>
        <w:spacing w:after="0" w:line="480" w:lineRule="auto"/>
      </w:pPr>
      <w:r>
        <w:tab/>
      </w:r>
      <w:r>
        <w:t>The case studies were examined in terms of environmental, social, and economic consequences and management of these aspects.</w:t>
      </w:r>
    </w:p>
    <w:p w14:paraId="70CBAF68" w14:textId="77777777" w:rsidR="000E0EA3" w:rsidRDefault="000E0EA3" w:rsidP="000E0EA3">
      <w:pPr>
        <w:spacing w:after="0" w:line="480" w:lineRule="auto"/>
        <w:rPr>
          <w:b/>
          <w:bCs/>
        </w:rPr>
      </w:pPr>
      <w:r w:rsidRPr="003D06F8">
        <w:rPr>
          <w:b/>
          <w:bCs/>
        </w:rPr>
        <w:t>Data Analysis</w:t>
      </w:r>
    </w:p>
    <w:p w14:paraId="2FE90554" w14:textId="0C264804" w:rsidR="000E0EA3" w:rsidRPr="000E0EA3" w:rsidRDefault="000E0EA3" w:rsidP="003D06F8">
      <w:pPr>
        <w:spacing w:after="0" w:line="480" w:lineRule="auto"/>
        <w:rPr>
          <w:b/>
          <w:bCs/>
        </w:rPr>
      </w:pPr>
      <w:r>
        <w:rPr>
          <w:b/>
          <w:bCs/>
        </w:rPr>
        <w:tab/>
      </w:r>
      <w:r>
        <w:t>Cases were analyzed through the application of thematic analysis where recurring patterns and strategies were identified. Some of the themes were carbon reduction strategies, stakeholder engagement, infrastructure legacy planning, and certification processes. The cross-case comparisons were used to outline the best practices and gaps.</w:t>
      </w:r>
    </w:p>
    <w:p w14:paraId="3AC8E9A1" w14:textId="77777777" w:rsidR="00CD02EE" w:rsidRPr="00DB5B38" w:rsidRDefault="00CD02EE" w:rsidP="00CD02EE">
      <w:pPr>
        <w:spacing w:after="0" w:line="480" w:lineRule="auto"/>
        <w:jc w:val="center"/>
        <w:rPr>
          <w:b/>
          <w:bCs/>
        </w:rPr>
      </w:pPr>
      <w:r w:rsidRPr="00DB5B38">
        <w:rPr>
          <w:b/>
          <w:bCs/>
        </w:rPr>
        <w:t>Findings</w:t>
      </w:r>
    </w:p>
    <w:p w14:paraId="48B79E34" w14:textId="77777777" w:rsidR="00CD02EE" w:rsidRDefault="00CD02EE" w:rsidP="00CD02EE">
      <w:pPr>
        <w:spacing w:after="0" w:line="480" w:lineRule="auto"/>
      </w:pPr>
      <w:r>
        <w:tab/>
        <w:t>The literature review and case study have shown that there are three main dimensions of impact, which are environmental, social, and economic.</w:t>
      </w:r>
    </w:p>
    <w:p w14:paraId="473D1897" w14:textId="77777777" w:rsidR="00CD02EE" w:rsidRPr="00DB5B38" w:rsidRDefault="00CD02EE" w:rsidP="00CD02EE">
      <w:pPr>
        <w:spacing w:after="0" w:line="480" w:lineRule="auto"/>
        <w:rPr>
          <w:b/>
          <w:bCs/>
        </w:rPr>
      </w:pPr>
      <w:r w:rsidRPr="00DB5B38">
        <w:rPr>
          <w:b/>
          <w:bCs/>
        </w:rPr>
        <w:t>Environmental Impacts</w:t>
      </w:r>
    </w:p>
    <w:p w14:paraId="0DE541AF" w14:textId="48F29362" w:rsidR="00CD02EE" w:rsidRDefault="00CD02EE" w:rsidP="00CD02EE">
      <w:pPr>
        <w:spacing w:after="0" w:line="480" w:lineRule="auto"/>
      </w:pPr>
      <w:r>
        <w:tab/>
        <w:t>The historical records of mega tourism have been linked to large environmental footprints. These events are characterized by massive construction work, high consumption of energy, consumption of water as well as waste generation. In a case in point, the Olympic Games usually entail the creation of mega stadiums, road networks, and villages of athletes. These projects consume a lot of natural resources and in most cases result in deforestation, loss of habitats and greenhouse gases</w:t>
      </w:r>
      <w:r w:rsidR="008C4EF7">
        <w:t xml:space="preserve"> (Gaffney, 2016)</w:t>
      </w:r>
      <w:r>
        <w:t>. Likewise, FIFA world cup is characterized by international flights of millions of fans that contribute a lot to carbon emissions.</w:t>
      </w:r>
    </w:p>
    <w:p w14:paraId="2F158E79" w14:textId="77777777" w:rsidR="00CD02EE" w:rsidRDefault="00CD02EE" w:rsidP="00CD02EE">
      <w:pPr>
        <w:spacing w:after="0" w:line="480" w:lineRule="auto"/>
      </w:pPr>
      <w:r>
        <w:tab/>
        <w:t xml:space="preserve">Another crucial problem is water consumption. Mega events require a lot of water to sanitize, cater, landscape among other activities. This may put pressure on the local </w:t>
      </w:r>
      <w:r>
        <w:lastRenderedPageBreak/>
        <w:t>water resources particularly in arid areas. Waste management is also an issue that persists. In the absence of planning, the waste produced at events usually goes to landfills causing pollution and emission of greenhouse gases.</w:t>
      </w:r>
    </w:p>
    <w:p w14:paraId="69077EC3" w14:textId="77777777" w:rsidR="00CD02EE" w:rsidRPr="00DB5B38" w:rsidRDefault="00CD02EE" w:rsidP="00CD02EE">
      <w:pPr>
        <w:spacing w:after="0" w:line="480" w:lineRule="auto"/>
        <w:rPr>
          <w:b/>
          <w:bCs/>
        </w:rPr>
      </w:pPr>
      <w:r w:rsidRPr="00DB5B38">
        <w:rPr>
          <w:b/>
          <w:bCs/>
        </w:rPr>
        <w:t>Social Impacts</w:t>
      </w:r>
    </w:p>
    <w:p w14:paraId="5F96F1A1" w14:textId="030F99D0" w:rsidR="00CD02EE" w:rsidRDefault="00CD02EE" w:rsidP="00CD02EE">
      <w:pPr>
        <w:spacing w:after="0" w:line="480" w:lineRule="auto"/>
      </w:pPr>
      <w:r>
        <w:tab/>
        <w:t>Social effects are multifaceted and multidimensional. Mega events can enhance cultural exchange, community pride and international visibility. They tend to generate volunteer programs and engage the locals. They may however also cause displacement of locals, economic inflation and social exclusion</w:t>
      </w:r>
      <w:r w:rsidR="00F17B58">
        <w:t xml:space="preserve"> (Watts, 2016)</w:t>
      </w:r>
      <w:r>
        <w:t>. In other instances, massive urban development that is aimed at building event infrastructure has led to the displacement of the vulnerable groups.</w:t>
      </w:r>
    </w:p>
    <w:p w14:paraId="3CC091D1" w14:textId="77777777" w:rsidR="00CD02EE" w:rsidRDefault="00CD02EE" w:rsidP="00CD02EE">
      <w:pPr>
        <w:spacing w:after="0" w:line="480" w:lineRule="auto"/>
      </w:pPr>
      <w:r>
        <w:tab/>
        <w:t>On the good side, when done in a sustainable manner, the mega events can be used to preserve and include cultures. Community-based festivals and the inclusion of all in volunteer programs can be used as examples to enhance social bonding and allow typically underrepresented groups to be active.</w:t>
      </w:r>
    </w:p>
    <w:p w14:paraId="42A6E115" w14:textId="77777777" w:rsidR="00CD02EE" w:rsidRPr="00DB5B38" w:rsidRDefault="00CD02EE" w:rsidP="00CD02EE">
      <w:pPr>
        <w:spacing w:after="0" w:line="480" w:lineRule="auto"/>
        <w:rPr>
          <w:b/>
          <w:bCs/>
        </w:rPr>
      </w:pPr>
      <w:r w:rsidRPr="00DB5B38">
        <w:rPr>
          <w:b/>
          <w:bCs/>
        </w:rPr>
        <w:t>Economic Impacts</w:t>
      </w:r>
    </w:p>
    <w:p w14:paraId="1715BA86" w14:textId="03EA46E8" w:rsidR="00CD02EE" w:rsidRDefault="00CD02EE" w:rsidP="00CD02EE">
      <w:pPr>
        <w:spacing w:after="0" w:line="480" w:lineRule="auto"/>
      </w:pPr>
      <w:r>
        <w:tab/>
        <w:t>Mega events can have a short-term economic impact, which can be beneficial to the economic increase in tourism, creation of employment, and investment in infrastructures. The increase in the number of international visitors who come to host cities usually increases the occupancy rates of hotels, the income gained by restaurants, and the sales made in the shops</w:t>
      </w:r>
      <w:r w:rsidR="00AC7A5B">
        <w:t xml:space="preserve"> (Preuss, 2019)</w:t>
      </w:r>
      <w:r>
        <w:t>. The distribution of economic benefits is, however, not always equal. Hosting costs can be enormous and in cases where infrastructures are not used sustainably after the event, most cities experience post-event financial strains.</w:t>
      </w:r>
    </w:p>
    <w:p w14:paraId="446B5DEF" w14:textId="3B390F2E" w:rsidR="00CD02EE" w:rsidRDefault="000E0EA3" w:rsidP="00CD02EE">
      <w:pPr>
        <w:spacing w:after="0" w:line="480" w:lineRule="auto"/>
      </w:pPr>
      <w:r>
        <w:lastRenderedPageBreak/>
        <w:tab/>
      </w:r>
      <w:r w:rsidR="00CD02EE">
        <w:t>Sustainable economic strategy focuses on the long-term payback. This includes creating multi-purpose infrastructure, promoting local businesses and that development around an event creates value on the community outside the actual event. Planned events can be decades-long economic stimuli.</w:t>
      </w:r>
    </w:p>
    <w:p w14:paraId="65FF84AC" w14:textId="77777777" w:rsidR="00CD02EE" w:rsidRDefault="00CD02EE" w:rsidP="00CD02EE">
      <w:pPr>
        <w:spacing w:after="0" w:line="480" w:lineRule="auto"/>
        <w:jc w:val="center"/>
        <w:rPr>
          <w:b/>
          <w:bCs/>
        </w:rPr>
      </w:pPr>
      <w:r w:rsidRPr="00DB5B38">
        <w:rPr>
          <w:b/>
          <w:bCs/>
        </w:rPr>
        <w:t>Case Studies</w:t>
      </w:r>
    </w:p>
    <w:p w14:paraId="50D68DCD" w14:textId="77777777" w:rsidR="00333B7C" w:rsidRPr="00333B7C" w:rsidRDefault="00333B7C" w:rsidP="00333B7C">
      <w:pPr>
        <w:spacing w:after="0" w:line="480" w:lineRule="auto"/>
        <w:rPr>
          <w:b/>
          <w:bCs/>
        </w:rPr>
      </w:pPr>
      <w:r w:rsidRPr="00333B7C">
        <w:rPr>
          <w:b/>
          <w:bCs/>
        </w:rPr>
        <w:t>London 2012 Summer Olympics</w:t>
      </w:r>
    </w:p>
    <w:p w14:paraId="03B36767" w14:textId="00AA1168" w:rsidR="00333B7C" w:rsidRPr="00333B7C" w:rsidRDefault="00333B7C" w:rsidP="00333B7C">
      <w:pPr>
        <w:spacing w:after="0" w:line="480" w:lineRule="auto"/>
      </w:pPr>
      <w:r>
        <w:tab/>
      </w:r>
      <w:r w:rsidRPr="00333B7C">
        <w:t xml:space="preserve">The London 2012 Summer Olympics was </w:t>
      </w:r>
      <w:r w:rsidR="00490351" w:rsidRPr="00333B7C">
        <w:t>historic</w:t>
      </w:r>
      <w:r w:rsidRPr="00333B7C">
        <w:t xml:space="preserve"> in terms of sustainable mega-event management as it became the first Olympics to attain the ISO 2012</w:t>
      </w:r>
      <w:r w:rsidR="002517F9">
        <w:t>1</w:t>
      </w:r>
      <w:r w:rsidR="00165C81">
        <w:t xml:space="preserve"> </w:t>
      </w:r>
      <w:r w:rsidRPr="00333B7C">
        <w:t xml:space="preserve">certification of sustainable event management. This certification was an indication of the </w:t>
      </w:r>
      <w:r w:rsidRPr="00333B7C">
        <w:t>organizers’</w:t>
      </w:r>
      <w:r w:rsidRPr="00333B7C">
        <w:t xml:space="preserve"> desire to ensure that environment, social, and economic effects of the event are systematically addressed during the event life cycle. The Games were also environmentally friendly with their focus on the regeneration of brownfield sites turning East London industrial areas into the Olympic Park. Designing of the venues incorporated energy efficiency such as solar panels, </w:t>
      </w:r>
      <w:r w:rsidRPr="00333B7C">
        <w:t>rainwater</w:t>
      </w:r>
      <w:r w:rsidRPr="00333B7C">
        <w:t xml:space="preserve"> harvesting system as well as low-carbon building materials. Management of </w:t>
      </w:r>
      <w:r w:rsidRPr="00333B7C">
        <w:t>waste</w:t>
      </w:r>
      <w:r w:rsidRPr="00333B7C">
        <w:t xml:space="preserve"> also played an important role as more than 60 percent of the construction waste was not taken to the landfills because of the recycling and reuse programs.</w:t>
      </w:r>
    </w:p>
    <w:p w14:paraId="53C50E19" w14:textId="613BB736" w:rsidR="00333B7C" w:rsidRPr="00333B7C" w:rsidRDefault="00333B7C" w:rsidP="00333B7C">
      <w:pPr>
        <w:spacing w:after="0" w:line="480" w:lineRule="auto"/>
      </w:pPr>
      <w:r>
        <w:tab/>
      </w:r>
      <w:r w:rsidRPr="00333B7C">
        <w:t xml:space="preserve">The London Games were socially focused on the involvement of the community and volunteers. There were thousands of local people who were engaged in planning committees and as Games Makers who offered job opportunities and skills. There was a long-term </w:t>
      </w:r>
      <w:r w:rsidRPr="00333B7C">
        <w:t>legacy in the</w:t>
      </w:r>
      <w:r w:rsidRPr="00333B7C">
        <w:t xml:space="preserve"> use of community facilities such as sports venues, parks, and cultural centers so that the benefits were not restricted to the event. In terms of the economy, London adopted a sustainable procurement approach that promoted local </w:t>
      </w:r>
      <w:r w:rsidRPr="00333B7C">
        <w:lastRenderedPageBreak/>
        <w:t>sourcing</w:t>
      </w:r>
      <w:r w:rsidRPr="00333B7C">
        <w:t xml:space="preserve"> materials and services to support the businesses in the region without compromising the </w:t>
      </w:r>
      <w:r w:rsidRPr="00333B7C">
        <w:t>high-quality</w:t>
      </w:r>
      <w:r w:rsidRPr="00333B7C">
        <w:t xml:space="preserve"> event delivery. The post-event assessment revealed the significance of incorporating sustainability in </w:t>
      </w:r>
      <w:r w:rsidRPr="00333B7C">
        <w:t>strategic</w:t>
      </w:r>
      <w:r w:rsidRPr="00333B7C">
        <w:t xml:space="preserve"> planning because such efforts have given London a massive boost in its international reputation as a sustainable host of events.</w:t>
      </w:r>
    </w:p>
    <w:p w14:paraId="1A9BBC7C" w14:textId="77777777" w:rsidR="00333B7C" w:rsidRPr="00333B7C" w:rsidRDefault="00333B7C" w:rsidP="00333B7C">
      <w:pPr>
        <w:spacing w:after="0" w:line="480" w:lineRule="auto"/>
        <w:rPr>
          <w:b/>
          <w:bCs/>
        </w:rPr>
      </w:pPr>
      <w:r w:rsidRPr="00333B7C">
        <w:rPr>
          <w:b/>
          <w:bCs/>
        </w:rPr>
        <w:t>Qatar 2022 FIFA World Cup</w:t>
      </w:r>
    </w:p>
    <w:p w14:paraId="3F90A433" w14:textId="52E25B64" w:rsidR="00333B7C" w:rsidRPr="00333B7C" w:rsidRDefault="00333B7C" w:rsidP="00333B7C">
      <w:pPr>
        <w:spacing w:after="0" w:line="480" w:lineRule="auto"/>
      </w:pPr>
      <w:r>
        <w:tab/>
      </w:r>
      <w:r w:rsidRPr="00333B7C">
        <w:t>The Qatar 2022 FIFA world Cup was one of the major milestones in the planning of the carbon-neutral mega-events. The organizers pledged to counter the total carbon emissions produced by the construction of stadiums, transporting fans and holding the events. On the environmental front, the tournament was integrated with renewable energy systems such as solar powered cooling in stadiums and low energy consuming lighting. Components of the modular designs of stadiums could be disassembled and reused or given away after the event, in line with the principles concerning resource efficiency and environmental stewardship. Another concern was water conservation where sophisticated irrigation and filtration systems reduced water usage in stadium landscapes.</w:t>
      </w:r>
    </w:p>
    <w:p w14:paraId="7FCDD45B" w14:textId="77777777" w:rsidR="00500027" w:rsidRDefault="00333B7C" w:rsidP="00333B7C">
      <w:pPr>
        <w:spacing w:after="0" w:line="480" w:lineRule="auto"/>
      </w:pPr>
      <w:r>
        <w:tab/>
      </w:r>
      <w:r w:rsidRPr="00333B7C">
        <w:t xml:space="preserve">Socially, the World Cup </w:t>
      </w:r>
      <w:r w:rsidRPr="00333B7C">
        <w:t>stressed</w:t>
      </w:r>
      <w:r w:rsidRPr="00333B7C">
        <w:t xml:space="preserve"> accessibility and community. Infrastructure enhancements such as the expansion of the city in terms of public transportation and routes that are friendly to </w:t>
      </w:r>
      <w:r w:rsidRPr="00333B7C">
        <w:t>pedestrians</w:t>
      </w:r>
      <w:r w:rsidRPr="00333B7C">
        <w:t xml:space="preserve"> were meant to help both the visitors and the residents in the long term. It also provided employment opportunities to the local populations particularly in the construction, hospitality and event management industries. Economically, Qatar used the world cup to facilitate tourism and foreign investments and made sure that the investments in the stadiums were synchronized with the use of the stadiums after the event, like hosting domestic sporting and cultural events. Regardless of </w:t>
      </w:r>
      <w:r w:rsidRPr="00333B7C">
        <w:lastRenderedPageBreak/>
        <w:t>the difficulties related to the organization of the high-profile event in a desert country, Qatar proved that the development of climate-friendly planning and sustainability can be implemented alongside managing a large-scale event.</w:t>
      </w:r>
    </w:p>
    <w:p w14:paraId="7F74F675" w14:textId="7A89494C" w:rsidR="00333B7C" w:rsidRPr="00333B7C" w:rsidRDefault="00333B7C" w:rsidP="00333B7C">
      <w:pPr>
        <w:spacing w:after="0" w:line="480" w:lineRule="auto"/>
      </w:pPr>
      <w:r w:rsidRPr="00333B7C">
        <w:rPr>
          <w:b/>
          <w:bCs/>
        </w:rPr>
        <w:t>Tokyo 2020 Summer Olympics</w:t>
      </w:r>
    </w:p>
    <w:p w14:paraId="7183FAB6" w14:textId="3A35BB29" w:rsidR="00333B7C" w:rsidRPr="00333B7C" w:rsidRDefault="00500027" w:rsidP="00333B7C">
      <w:pPr>
        <w:spacing w:after="0" w:line="480" w:lineRule="auto"/>
      </w:pPr>
      <w:r>
        <w:tab/>
      </w:r>
      <w:r w:rsidR="00333B7C" w:rsidRPr="00333B7C">
        <w:t xml:space="preserve">The Tokyo 2020 Summer Olympics in 2021 (the Olympics were postponed to 2021 because of the COVID-19 pandemic) demonstrated the principles of a circular economy as one of the fundamental aspects of sustainability. On the environmental front, Tokyo stressed on reuse and recycling of materials, which was predominantly through the manufacturing of medals using recycled electronic wastes gathered in Japan. Venues were made in a way that was modular so that temporary structures could be taken down and used in the future by the community. Ecological footprint of the event was reduced by using energy </w:t>
      </w:r>
      <w:r w:rsidRPr="00333B7C">
        <w:t>efficient</w:t>
      </w:r>
      <w:r w:rsidR="00333B7C" w:rsidRPr="00333B7C">
        <w:t xml:space="preserve"> solutions such as LED lighting, solar energy and hydrogen-based systems. The scope of waste management activities that saw to it that waste materials were segregated and recycled, depicts that Japan has a very strong sense of national responsibility towards the environment.</w:t>
      </w:r>
    </w:p>
    <w:p w14:paraId="1C5EF242" w14:textId="2AC07F4B" w:rsidR="00500027" w:rsidRDefault="00500027" w:rsidP="00333B7C">
      <w:pPr>
        <w:spacing w:after="0" w:line="480" w:lineRule="auto"/>
      </w:pPr>
      <w:r>
        <w:tab/>
      </w:r>
      <w:r w:rsidR="00333B7C" w:rsidRPr="00333B7C">
        <w:t xml:space="preserve">On the social front, the event was very much inclusive and </w:t>
      </w:r>
      <w:r w:rsidRPr="00333B7C">
        <w:t>accessible,</w:t>
      </w:r>
      <w:r w:rsidR="00333B7C" w:rsidRPr="00333B7C">
        <w:t xml:space="preserve"> and the facilities were prepared to accommodate persons with </w:t>
      </w:r>
      <w:r w:rsidR="00165C81" w:rsidRPr="00333B7C">
        <w:t>disabilities,</w:t>
      </w:r>
      <w:r w:rsidR="00333B7C" w:rsidRPr="00333B7C">
        <w:t xml:space="preserve"> and they also offered volunteer programs that involved a diverse group of participants, including students and the community groups. National pride and cultural heritage were also encouraged by the Tokyo games through incorporation of Japanese traditions and values in the ceremonies and facilities. Economically, the event brought in revenue in the form of tourism, media rights and sponsorships, </w:t>
      </w:r>
      <w:proofErr w:type="gramStart"/>
      <w:r w:rsidR="00333B7C" w:rsidRPr="00333B7C">
        <w:t>and also</w:t>
      </w:r>
      <w:proofErr w:type="gramEnd"/>
      <w:r w:rsidR="00333B7C" w:rsidRPr="00333B7C">
        <w:t xml:space="preserve">, provided infrastructure investments that assisted in the long-term growth of the city. The Tokyo Olympics demonstrated that despite all the </w:t>
      </w:r>
      <w:r w:rsidR="00333B7C" w:rsidRPr="00333B7C">
        <w:lastRenderedPageBreak/>
        <w:t>disturbances around the world, the introduction of the principle of the circular economy and sustainability planning may generate long-term positive social, environmental, and economic effects.</w:t>
      </w:r>
    </w:p>
    <w:p w14:paraId="3D9E04F7" w14:textId="4E1F286E" w:rsidR="00333B7C" w:rsidRPr="00500027" w:rsidRDefault="00333B7C" w:rsidP="00333B7C">
      <w:pPr>
        <w:spacing w:after="0" w:line="480" w:lineRule="auto"/>
      </w:pPr>
      <w:r w:rsidRPr="00500027">
        <w:rPr>
          <w:b/>
          <w:bCs/>
        </w:rPr>
        <w:t>Expo 2020 Dubai</w:t>
      </w:r>
    </w:p>
    <w:p w14:paraId="67E26D6B" w14:textId="512CFD89" w:rsidR="00333B7C" w:rsidRPr="00333B7C" w:rsidRDefault="00500027" w:rsidP="00333B7C">
      <w:pPr>
        <w:spacing w:after="0" w:line="480" w:lineRule="auto"/>
      </w:pPr>
      <w:r>
        <w:tab/>
      </w:r>
      <w:r w:rsidR="00333B7C" w:rsidRPr="00333B7C">
        <w:t xml:space="preserve">Expo 2020 Dubai emphasized green infrastructure and renewable energy as the key sustainability plans. The pavilion and public space designs took into consideration the use of energy-saving technologies and solar panels, smart water management systems, which minimized the environmental impact of the Expo. The event was meant to reduce wastage by extensive segregation programs, recycling programs, and using sustainable materials in building. Such practices not only minimized the environmental effects at the </w:t>
      </w:r>
      <w:r w:rsidRPr="00333B7C">
        <w:t>event but</w:t>
      </w:r>
      <w:r w:rsidR="00333B7C" w:rsidRPr="00333B7C">
        <w:t xml:space="preserve"> also made it possible to have the Expo site as a sustainable urban development after the event.</w:t>
      </w:r>
    </w:p>
    <w:p w14:paraId="4E9AADF5" w14:textId="21B726EC" w:rsidR="00333B7C" w:rsidRPr="00333B7C" w:rsidRDefault="00500027" w:rsidP="00333B7C">
      <w:pPr>
        <w:spacing w:after="0" w:line="480" w:lineRule="auto"/>
      </w:pPr>
      <w:r>
        <w:tab/>
      </w:r>
      <w:r w:rsidR="00333B7C" w:rsidRPr="00333B7C">
        <w:t xml:space="preserve">Social sustainability was achieved by involving </w:t>
      </w:r>
      <w:r w:rsidRPr="00333B7C">
        <w:t>many</w:t>
      </w:r>
      <w:r w:rsidR="00333B7C" w:rsidRPr="00333B7C">
        <w:t xml:space="preserve"> people in activities, cultural exchange programs, and available facilities. Expo 2020 provided a chance of creating local jobs, volunteer work, and skill growth, which empowered the locals and promoted </w:t>
      </w:r>
      <w:r w:rsidRPr="00333B7C">
        <w:t>inclusiveness</w:t>
      </w:r>
      <w:r w:rsidR="00333B7C" w:rsidRPr="00333B7C">
        <w:t xml:space="preserve">. The Expo also fostered economic development through tourism, business investment and innovation in both the short term and long term. Much attention was paid to legacy planning, and numerous pavilions and infrastructure were planned to be used after the event in the educational, research, and urban development field, so that the positive effect of the event did not finish in six months. The Dubai Expo can be considered as </w:t>
      </w:r>
      <w:proofErr w:type="gramStart"/>
      <w:r w:rsidR="00333B7C" w:rsidRPr="00333B7C">
        <w:t>the</w:t>
      </w:r>
      <w:proofErr w:type="gramEnd"/>
      <w:r w:rsidR="00333B7C" w:rsidRPr="00333B7C">
        <w:t xml:space="preserve"> example of how to incorporate sustainability at all stages of mega-event planning and prove that environmental, social, and economic goals may be pursued simultaneously.</w:t>
      </w:r>
    </w:p>
    <w:p w14:paraId="1F1077EF" w14:textId="77777777" w:rsidR="00333B7C" w:rsidRPr="00500027" w:rsidRDefault="00333B7C" w:rsidP="00333B7C">
      <w:pPr>
        <w:spacing w:after="0" w:line="480" w:lineRule="auto"/>
        <w:rPr>
          <w:b/>
          <w:bCs/>
        </w:rPr>
      </w:pPr>
      <w:r w:rsidRPr="00500027">
        <w:rPr>
          <w:b/>
          <w:bCs/>
        </w:rPr>
        <w:lastRenderedPageBreak/>
        <w:t>Synthesis of Case Studies</w:t>
      </w:r>
    </w:p>
    <w:p w14:paraId="1FEB7975" w14:textId="6FD9853B" w:rsidR="00FA5806" w:rsidRPr="00333B7C" w:rsidRDefault="00500027" w:rsidP="00333B7C">
      <w:pPr>
        <w:spacing w:after="0" w:line="480" w:lineRule="auto"/>
      </w:pPr>
      <w:r>
        <w:tab/>
      </w:r>
      <w:r w:rsidR="00333B7C" w:rsidRPr="00333B7C">
        <w:t xml:space="preserve">Together, these four case studies demonstrate the variety of the way sustainable mega-event management can be handled. London 2012 focused on planned sustainability, community-oriented legacy, Qatar 2022 focused on carbon-neutrality and energy efficiency, Tokyo 2020 focused on the advantages of the operations of the circular economy, and Expo 2020 Dubai focused on the integration of renewable energy and green infrastructure. In </w:t>
      </w:r>
      <w:r w:rsidRPr="00333B7C">
        <w:t>all</w:t>
      </w:r>
      <w:r w:rsidR="00333B7C" w:rsidRPr="00333B7C">
        <w:t xml:space="preserve"> cases, positive performances were closely linked to </w:t>
      </w:r>
      <w:r w:rsidR="000E0EA3" w:rsidRPr="00333B7C">
        <w:t>planning</w:t>
      </w:r>
      <w:r w:rsidR="00333B7C" w:rsidRPr="00333B7C">
        <w:t>, involvement of stakeholders, and incorporation of environmental, social and economic factors in planning of the event. These lessons form the basis on which a comprehensive sustainable event management model can be drawn that can inform future mega-event in the world.</w:t>
      </w:r>
    </w:p>
    <w:p w14:paraId="22AC05F6" w14:textId="77777777" w:rsidR="00CD02EE" w:rsidRPr="000411D0" w:rsidRDefault="00CD02EE" w:rsidP="00CD02EE">
      <w:pPr>
        <w:spacing w:after="0" w:line="480" w:lineRule="auto"/>
        <w:jc w:val="center"/>
        <w:rPr>
          <w:b/>
          <w:bCs/>
        </w:rPr>
      </w:pPr>
      <w:r w:rsidRPr="000411D0">
        <w:rPr>
          <w:b/>
          <w:bCs/>
        </w:rPr>
        <w:t>Proposed Sustainable Event Management Framework</w:t>
      </w:r>
    </w:p>
    <w:p w14:paraId="3C6D63F1" w14:textId="77777777" w:rsidR="00CD02EE" w:rsidRDefault="00CD02EE" w:rsidP="00CD02EE">
      <w:pPr>
        <w:spacing w:after="0" w:line="480" w:lineRule="auto"/>
      </w:pPr>
      <w:r>
        <w:tab/>
        <w:t>This paper suggests a Holistic Sustainable Event Management Framework (HSEMF) based on what has been learned during the literature analysis and the case studies. The framework is based on four pillars, which are environmental sustainability, social inclusion, economic viability, and governance and accountability. The framework is based on Environmental Sustainability. It is the incorporation of renewable energy, green infrastructure, sustainable transportation, and waste minimization measures in each phase of planning and execution of events. Managers of the event organization are encouraged to use such environmental management systems as ISO 20121 and have full visibility of carbon footprints.</w:t>
      </w:r>
    </w:p>
    <w:p w14:paraId="51ED9E80" w14:textId="77777777" w:rsidR="000E0EA3" w:rsidRDefault="000E0EA3">
      <w:pPr>
        <w:rPr>
          <w:b/>
          <w:bCs/>
        </w:rPr>
      </w:pPr>
      <w:r>
        <w:rPr>
          <w:b/>
          <w:bCs/>
        </w:rPr>
        <w:br w:type="page"/>
      </w:r>
    </w:p>
    <w:p w14:paraId="55F94059" w14:textId="06D91B01" w:rsidR="003E6667" w:rsidRPr="003E6667" w:rsidRDefault="003E6667" w:rsidP="003E6667">
      <w:pPr>
        <w:spacing w:after="0" w:line="480" w:lineRule="auto"/>
        <w:rPr>
          <w:b/>
          <w:bCs/>
        </w:rPr>
      </w:pPr>
      <w:r w:rsidRPr="003E6667">
        <w:rPr>
          <w:b/>
          <w:bCs/>
        </w:rPr>
        <w:lastRenderedPageBreak/>
        <w:t>Environmental Sustainability</w:t>
      </w:r>
    </w:p>
    <w:p w14:paraId="56267903" w14:textId="176A85D8" w:rsidR="003E6667" w:rsidRDefault="003E6667" w:rsidP="003E6667">
      <w:pPr>
        <w:spacing w:after="0" w:line="480" w:lineRule="auto"/>
      </w:pPr>
      <w:r>
        <w:tab/>
      </w:r>
      <w:r>
        <w:t xml:space="preserve">The framework has its basis on environmental sustainability. It incorporates a combination of green transportation, green infrastructure, renewable energy, and minimization of waste in all levels of planning and implementation of events. </w:t>
      </w:r>
      <w:r>
        <w:t>Environmental</w:t>
      </w:r>
      <w:r>
        <w:t xml:space="preserve"> management systems such as ISO 2012</w:t>
      </w:r>
      <w:r w:rsidR="002517F9">
        <w:t>1</w:t>
      </w:r>
      <w:r>
        <w:t xml:space="preserve"> and the transparent monitoring of the carbon footprint are the environmental management systems that event organizers should embrace. These will be used to limit the adverse effects on the environment and lead to sustainable resource utilization and ecological sustainability.</w:t>
      </w:r>
    </w:p>
    <w:p w14:paraId="3C1BEA85" w14:textId="77777777" w:rsidR="003E6667" w:rsidRPr="003E6667" w:rsidRDefault="003E6667" w:rsidP="003E6667">
      <w:pPr>
        <w:spacing w:after="0" w:line="480" w:lineRule="auto"/>
        <w:rPr>
          <w:b/>
          <w:bCs/>
        </w:rPr>
      </w:pPr>
      <w:r w:rsidRPr="003E6667">
        <w:rPr>
          <w:b/>
          <w:bCs/>
        </w:rPr>
        <w:t>Social Inclusion</w:t>
      </w:r>
    </w:p>
    <w:p w14:paraId="1600C464" w14:textId="1E07CA1A" w:rsidR="003E6667" w:rsidRDefault="003E6667" w:rsidP="003E6667">
      <w:pPr>
        <w:spacing w:after="0" w:line="480" w:lineRule="auto"/>
      </w:pPr>
      <w:r>
        <w:tab/>
      </w:r>
      <w:r>
        <w:t>Social inclusion is concerned with empowering the local communities, preserving their cultural heritage, and making it readily available to everyone. This involves community involvement in the planning process, sharing of benefits, and safety of the vulnerable communities. Integrating social sustainability in the event will help the organizers to increase the involvement of the community, cultural pride, and make the local stakeholders feel that they own the event.</w:t>
      </w:r>
    </w:p>
    <w:p w14:paraId="225CF4B3" w14:textId="77777777" w:rsidR="003E6667" w:rsidRPr="003E6667" w:rsidRDefault="003E6667" w:rsidP="003E6667">
      <w:pPr>
        <w:spacing w:after="0" w:line="480" w:lineRule="auto"/>
        <w:rPr>
          <w:b/>
          <w:bCs/>
        </w:rPr>
      </w:pPr>
      <w:r w:rsidRPr="003E6667">
        <w:rPr>
          <w:b/>
          <w:bCs/>
        </w:rPr>
        <w:t>Economic Viability</w:t>
      </w:r>
    </w:p>
    <w:p w14:paraId="63244EC4" w14:textId="44511818" w:rsidR="003E6667" w:rsidRDefault="003E6667" w:rsidP="003E6667">
      <w:pPr>
        <w:spacing w:after="0" w:line="480" w:lineRule="auto"/>
      </w:pPr>
      <w:r>
        <w:tab/>
      </w:r>
      <w:r>
        <w:t xml:space="preserve">The focus of economic viability is on responsible investment, local economic involvement and post event legacy planning. The infrastructure must be </w:t>
      </w:r>
      <w:r>
        <w:t>long-term,</w:t>
      </w:r>
      <w:r>
        <w:t xml:space="preserve"> and the event supply chain includes local business which is supposed to increase the economic gain. This pillar is relevant so that mega events can bring about sustainable economic growth without leaving host cities stranded in terms of assets and economic turmoil.</w:t>
      </w:r>
    </w:p>
    <w:p w14:paraId="5888C3C5" w14:textId="77777777" w:rsidR="000E0EA3" w:rsidRDefault="000E0EA3">
      <w:pPr>
        <w:rPr>
          <w:b/>
          <w:bCs/>
        </w:rPr>
      </w:pPr>
      <w:r>
        <w:rPr>
          <w:b/>
          <w:bCs/>
        </w:rPr>
        <w:br w:type="page"/>
      </w:r>
    </w:p>
    <w:p w14:paraId="18FA5C3E" w14:textId="23E663A0" w:rsidR="003E6667" w:rsidRPr="003E6667" w:rsidRDefault="003E6667" w:rsidP="003E6667">
      <w:pPr>
        <w:spacing w:after="0" w:line="480" w:lineRule="auto"/>
        <w:rPr>
          <w:b/>
          <w:bCs/>
        </w:rPr>
      </w:pPr>
      <w:r w:rsidRPr="003E6667">
        <w:rPr>
          <w:b/>
          <w:bCs/>
        </w:rPr>
        <w:lastRenderedPageBreak/>
        <w:t>Accountability and Governance</w:t>
      </w:r>
    </w:p>
    <w:p w14:paraId="3AFE2410" w14:textId="59E0B94A" w:rsidR="003E6667" w:rsidRDefault="003E6667" w:rsidP="003E6667">
      <w:pPr>
        <w:spacing w:after="0" w:line="480" w:lineRule="auto"/>
      </w:pPr>
      <w:r>
        <w:tab/>
      </w:r>
      <w:r>
        <w:t xml:space="preserve">Accountability and governance are used to make sure that sustainability commitments are not symbolic but are put into practice. This includes </w:t>
      </w:r>
      <w:r>
        <w:t>setting</w:t>
      </w:r>
      <w:r>
        <w:t xml:space="preserve"> clear sustainability targets, effective monitoring systems, and reporting. Good governance ensures sustainability values are ingrained at all levels of the </w:t>
      </w:r>
      <w:r>
        <w:t>decision-making</w:t>
      </w:r>
      <w:r>
        <w:t xml:space="preserve"> process and that the results of the </w:t>
      </w:r>
      <w:r>
        <w:t>decision-making</w:t>
      </w:r>
      <w:r>
        <w:t xml:space="preserve"> process are measured, credible and favorable to all the stakeholders.</w:t>
      </w:r>
    </w:p>
    <w:p w14:paraId="1862E136" w14:textId="77777777" w:rsidR="006609C8" w:rsidRPr="006609C8" w:rsidRDefault="006609C8" w:rsidP="006609C8">
      <w:pPr>
        <w:spacing w:after="0" w:line="480" w:lineRule="auto"/>
        <w:jc w:val="center"/>
        <w:rPr>
          <w:b/>
          <w:bCs/>
        </w:rPr>
      </w:pPr>
      <w:r w:rsidRPr="006609C8">
        <w:rPr>
          <w:b/>
          <w:bCs/>
        </w:rPr>
        <w:t>Discussion</w:t>
      </w:r>
    </w:p>
    <w:p w14:paraId="1CD24561" w14:textId="174AEA32" w:rsidR="006609C8" w:rsidRDefault="006609C8" w:rsidP="006609C8">
      <w:pPr>
        <w:spacing w:after="0" w:line="480" w:lineRule="auto"/>
      </w:pPr>
      <w:r>
        <w:tab/>
      </w:r>
      <w:r>
        <w:t>The discussion has shown that the key to the success of sustainability in mega events lies in active planning, community involvement and good governance. The case of London 2012 and Expo 2020 Dubai is a good example of the benefits of early consideration of sustainability, which has led to environmental, social, and economic legacies. On the other hand, poorly planned events may pose a threat to the environment, social collapses, and economic dysfunctions.</w:t>
      </w:r>
      <w:r>
        <w:t xml:space="preserve"> </w:t>
      </w:r>
      <w:r>
        <w:t>The planning of legacies is very imperative because the temporary infrastructures are usually a liability after the event is over. The long-term utility is guaranteed by adaptive design, modular construction and multi-purpose infrastructure. Accountability and alignment of stakeholders is facilitated by policy and governance framework and real-time monitoring of environmental impacts and improved interactions with the community is made possible through technology.</w:t>
      </w:r>
    </w:p>
    <w:p w14:paraId="2862D087" w14:textId="6C335DC3" w:rsidR="006609C8" w:rsidRDefault="006609C8" w:rsidP="006609C8">
      <w:pPr>
        <w:spacing w:after="0" w:line="480" w:lineRule="auto"/>
      </w:pPr>
      <w:r>
        <w:tab/>
      </w:r>
      <w:r>
        <w:t xml:space="preserve">The obstacles that have been encountered like high cost, political intricacy, and stakeholder misalignment are still present, but the risks are addressed by strategic planning, capacity building, and effective communication. With the increasing awareness of climate all around the planet, the process of sustainability integration will turn into a </w:t>
      </w:r>
      <w:r>
        <w:lastRenderedPageBreak/>
        <w:t>prerequisite of future mega events instead of an auxiliary goal.</w:t>
      </w:r>
      <w:r>
        <w:t xml:space="preserve"> </w:t>
      </w:r>
      <w:r>
        <w:t>The mega tourism events can create cultural exchange, economic growth and world visibility. Nevertheless, when sustainability is not considered a priority, they may also pose serious environmental, social and economic problems. As demonstrated in this paper, sustainability needs to be incorporated in all levels of planning and implementation to achieve long-term and positive results.</w:t>
      </w:r>
    </w:p>
    <w:p w14:paraId="3F0875E9" w14:textId="77777777" w:rsidR="000E0EA3" w:rsidRPr="000E0EA3" w:rsidRDefault="000E0EA3" w:rsidP="000E0EA3">
      <w:pPr>
        <w:spacing w:after="0" w:line="480" w:lineRule="auto"/>
        <w:jc w:val="center"/>
        <w:rPr>
          <w:b/>
          <w:bCs/>
        </w:rPr>
      </w:pPr>
      <w:r w:rsidRPr="000E0EA3">
        <w:rPr>
          <w:b/>
          <w:bCs/>
        </w:rPr>
        <w:t>Conclusion</w:t>
      </w:r>
    </w:p>
    <w:p w14:paraId="0A5DF003" w14:textId="2AB02D3C" w:rsidR="000E0EA3" w:rsidRDefault="000E0EA3" w:rsidP="000E0EA3">
      <w:pPr>
        <w:spacing w:after="0" w:line="480" w:lineRule="auto"/>
      </w:pPr>
      <w:r>
        <w:t>The mega tourism events can create cultural exchange, economic growth, and increased global visibility. Nevertheless, they may also pose serious environmental, social, and economic problems unless sustainability is the top priority. This paper has demonstrated that sustainability should be integrated throughout the planning and implementation process towards the achievement of positive and long-term results.</w:t>
      </w:r>
      <w:r>
        <w:t xml:space="preserve"> </w:t>
      </w:r>
      <w:r>
        <w:t>The framework of holistic sustainable event management (HSEMF) is a practical way of helping to balance this. It has four pillars, such as environmental sustainability, social inclusion, economic viability, and governance and accountability, that provide a systematic way to ensure that event organizers reduce ecological footprint, get the local communities on board, maximize economic benefits, and hold them accountable. The London 2012 Olympics, Qatar 2022 world cup, Tokyo 2020 Olympics, or Expo 2020 Dubai have taught that proper planning ahead, creative operations, and effective collaboration among stakeholders are the cornerstone of successful sustainable events.</w:t>
      </w:r>
    </w:p>
    <w:p w14:paraId="008CF613" w14:textId="106116F6" w:rsidR="000E0EA3" w:rsidRDefault="000E0EA3" w:rsidP="000E0EA3">
      <w:pPr>
        <w:spacing w:after="0" w:line="480" w:lineRule="auto"/>
      </w:pPr>
      <w:r>
        <w:tab/>
      </w:r>
      <w:r>
        <w:t xml:space="preserve">Finally, the </w:t>
      </w:r>
      <w:r>
        <w:t>focus</w:t>
      </w:r>
      <w:r>
        <w:t xml:space="preserve"> of mega-event planning must be sustainability, as opposed to the peripheral level. Using </w:t>
      </w:r>
      <w:r>
        <w:t>frameworks</w:t>
      </w:r>
      <w:r>
        <w:t xml:space="preserve">, such as the HSEMF, event organizers could develop events that are eco-friendly, socially inclusive, and economically advantageous </w:t>
      </w:r>
      <w:r>
        <w:lastRenderedPageBreak/>
        <w:t>to host communities and establish international benchmarks of responsible event organization.</w:t>
      </w:r>
    </w:p>
    <w:p w14:paraId="77BA9FEC" w14:textId="77777777" w:rsidR="000E0EA3" w:rsidRDefault="000E0EA3">
      <w:r>
        <w:br w:type="page"/>
      </w:r>
    </w:p>
    <w:p w14:paraId="3DF58E4E" w14:textId="3D00CE35" w:rsidR="00CD02EE" w:rsidRPr="000E0EA3" w:rsidRDefault="000E0EA3" w:rsidP="000E0EA3">
      <w:pPr>
        <w:spacing w:after="0" w:line="480" w:lineRule="auto"/>
        <w:jc w:val="center"/>
        <w:rPr>
          <w:b/>
          <w:bCs/>
        </w:rPr>
      </w:pPr>
      <w:r w:rsidRPr="000E0EA3">
        <w:rPr>
          <w:b/>
          <w:bCs/>
        </w:rPr>
        <w:lastRenderedPageBreak/>
        <w:t>References</w:t>
      </w:r>
    </w:p>
    <w:p w14:paraId="43196963" w14:textId="77777777" w:rsidR="006A5338" w:rsidRPr="000F4414" w:rsidRDefault="006A5338" w:rsidP="000F4414">
      <w:pPr>
        <w:spacing w:line="480" w:lineRule="auto"/>
        <w:ind w:left="720" w:hanging="720"/>
      </w:pPr>
      <w:r w:rsidRPr="000F4414">
        <w:t>Brundtland Commission. (1987). Our Common Future. Oxford University Press.</w:t>
      </w:r>
    </w:p>
    <w:p w14:paraId="40ECC286" w14:textId="77777777" w:rsidR="006A5338" w:rsidRPr="000F4414" w:rsidRDefault="006A5338" w:rsidP="000F4414">
      <w:pPr>
        <w:spacing w:line="480" w:lineRule="auto"/>
        <w:ind w:left="720" w:hanging="720"/>
      </w:pPr>
      <w:r w:rsidRPr="000F4414">
        <w:t>Elkington, J. (1997). Cannibals with forks: The triple bottom line of 21st century business. Capstone.</w:t>
      </w:r>
    </w:p>
    <w:p w14:paraId="0A7ED19C" w14:textId="77777777" w:rsidR="000F4414" w:rsidRPr="000F4414" w:rsidRDefault="000F4414" w:rsidP="000F4414">
      <w:pPr>
        <w:spacing w:line="480" w:lineRule="auto"/>
        <w:ind w:left="720" w:hanging="720"/>
      </w:pPr>
      <w:r w:rsidRPr="000F4414">
        <w:t>Expo 2020 Dubai. (2022). Sustainability Legacy Report.</w:t>
      </w:r>
    </w:p>
    <w:p w14:paraId="1D1D2684" w14:textId="2409EA9A" w:rsidR="000F4414" w:rsidRPr="000F4414" w:rsidRDefault="000F4414" w:rsidP="000F4414">
      <w:pPr>
        <w:spacing w:line="480" w:lineRule="auto"/>
        <w:ind w:left="720" w:hanging="720"/>
        <w:rPr>
          <w:highlight w:val="yellow"/>
        </w:rPr>
      </w:pPr>
      <w:r w:rsidRPr="000F4414">
        <w:t>Expo 2020 Sustainability Report. (2022). Expo 2020 Dubai Sustainability Initiatives. Expo 2020 Legacy Foundation.</w:t>
      </w:r>
    </w:p>
    <w:p w14:paraId="04542BDF" w14:textId="77777777" w:rsidR="000F4414" w:rsidRPr="000F4414" w:rsidRDefault="000F4414" w:rsidP="000F4414">
      <w:pPr>
        <w:spacing w:line="480" w:lineRule="auto"/>
        <w:ind w:left="720" w:hanging="720"/>
      </w:pPr>
      <w:r w:rsidRPr="000F4414">
        <w:t>Gaffney, C. (2016). Gentrification in pre-Olympic Rio de Janeiro. Urban Geography, 37(8), 1132–1153.</w:t>
      </w:r>
    </w:p>
    <w:p w14:paraId="62F013B9" w14:textId="77777777" w:rsidR="000F4414" w:rsidRPr="000F4414" w:rsidRDefault="000F4414" w:rsidP="000F4414">
      <w:pPr>
        <w:spacing w:line="480" w:lineRule="auto"/>
        <w:ind w:left="720" w:hanging="720"/>
      </w:pPr>
      <w:r w:rsidRPr="000F4414">
        <w:t>Gibson, O. (2018). Rio Olympics carbon emissions report. The Guardian.</w:t>
      </w:r>
    </w:p>
    <w:p w14:paraId="62E672FC" w14:textId="0AD02455" w:rsidR="000F4414" w:rsidRPr="000F4414" w:rsidRDefault="000F4414" w:rsidP="000F4414">
      <w:pPr>
        <w:spacing w:line="480" w:lineRule="auto"/>
        <w:ind w:left="720" w:hanging="720"/>
      </w:pPr>
      <w:bookmarkStart w:id="1" w:name="_Hlk212004580"/>
      <w:r w:rsidRPr="000F4414">
        <w:t>Gibson, H. J., Kaplanidou, K., &amp; Kang, S. J. (2012)</w:t>
      </w:r>
      <w:bookmarkEnd w:id="1"/>
      <w:r w:rsidRPr="000F4414">
        <w:t>. Small-scale event sport tourism: A case study in sustainable tourism. Tourism Management, 33(6), 1153–1162.</w:t>
      </w:r>
    </w:p>
    <w:p w14:paraId="6CD8F84F" w14:textId="311C85AA" w:rsidR="000F4414" w:rsidRPr="000F4414" w:rsidRDefault="000F4414" w:rsidP="000F4414">
      <w:pPr>
        <w:spacing w:line="480" w:lineRule="auto"/>
        <w:ind w:left="720" w:hanging="720"/>
      </w:pPr>
      <w:r w:rsidRPr="000F4414">
        <w:t>ISO. (2012). ISO 20121: Event Sustainability Management Systems — Requirements with Guidance for Use.</w:t>
      </w:r>
    </w:p>
    <w:p w14:paraId="2F318BA8" w14:textId="77777777" w:rsidR="000F4414" w:rsidRPr="000F4414" w:rsidRDefault="000F4414" w:rsidP="000F4414">
      <w:pPr>
        <w:spacing w:line="480" w:lineRule="auto"/>
        <w:ind w:left="720" w:hanging="720"/>
      </w:pPr>
      <w:r w:rsidRPr="000F4414">
        <w:t>Mair, J., &amp; Whitford, M. (2013). An exploration of events research: Event topics, themes and emerging trends. International Journal of Event and Festival Management, 4(1), 6–30.</w:t>
      </w:r>
    </w:p>
    <w:p w14:paraId="1FB028C6" w14:textId="77777777" w:rsidR="000F4414" w:rsidRPr="000F4414" w:rsidRDefault="000F4414" w:rsidP="000F4414">
      <w:pPr>
        <w:spacing w:line="480" w:lineRule="auto"/>
        <w:ind w:left="720" w:hanging="720"/>
      </w:pPr>
      <w:r w:rsidRPr="000F4414">
        <w:t>Misener, L., &amp; Mason, D. S. (2006). Creating community networks: Can sporting events offer meaningful sources of social capital? Managing Leisure, 11(1), 39–56.</w:t>
      </w:r>
    </w:p>
    <w:p w14:paraId="32A16C1C" w14:textId="77777777" w:rsidR="000F4414" w:rsidRPr="000F4414" w:rsidRDefault="000F4414" w:rsidP="000F4414">
      <w:pPr>
        <w:spacing w:line="480" w:lineRule="auto"/>
        <w:ind w:left="720" w:hanging="720"/>
      </w:pPr>
      <w:r w:rsidRPr="000F4414">
        <w:lastRenderedPageBreak/>
        <w:t>Müller, M. (2015). What makes an event a mega-event? Definitions and sizes. Leisure Studies, 34(6), 627–642.</w:t>
      </w:r>
    </w:p>
    <w:p w14:paraId="2C23CB80" w14:textId="02700D05" w:rsidR="000F4414" w:rsidRPr="000F4414" w:rsidRDefault="000F4414" w:rsidP="000F4414">
      <w:pPr>
        <w:spacing w:line="480" w:lineRule="auto"/>
        <w:ind w:left="720" w:hanging="720"/>
        <w:rPr>
          <w:highlight w:val="yellow"/>
        </w:rPr>
      </w:pPr>
      <w:r w:rsidRPr="000F4414">
        <w:t>Preuss, H. (2019). Event legacy framework and measurement. Event Management, 23(5), 689–703.</w:t>
      </w:r>
    </w:p>
    <w:p w14:paraId="7442BDE5" w14:textId="77777777" w:rsidR="000F4414" w:rsidRDefault="000F4414" w:rsidP="000F4414">
      <w:pPr>
        <w:spacing w:line="480" w:lineRule="auto"/>
        <w:ind w:left="720" w:hanging="720"/>
      </w:pPr>
      <w:r w:rsidRPr="000F4414">
        <w:t>Watts, J. (2016). Rio Olympics: Thousands evicted as Olympics reshapes Rio. The Guardian.</w:t>
      </w:r>
    </w:p>
    <w:p w14:paraId="7E14947D" w14:textId="76917019" w:rsidR="000F4414" w:rsidRDefault="000F4414">
      <w:r>
        <w:br w:type="page"/>
      </w:r>
    </w:p>
    <w:p w14:paraId="4486767A" w14:textId="43038181" w:rsidR="000F4414" w:rsidRDefault="000F4414" w:rsidP="000F4414">
      <w:pPr>
        <w:spacing w:line="480" w:lineRule="auto"/>
        <w:ind w:left="720" w:hanging="720"/>
        <w:jc w:val="center"/>
        <w:rPr>
          <w:b/>
          <w:bCs/>
        </w:rPr>
      </w:pPr>
      <w:r>
        <w:rPr>
          <w:b/>
          <w:bCs/>
        </w:rPr>
        <w:lastRenderedPageBreak/>
        <w:t>Appendices</w:t>
      </w:r>
    </w:p>
    <w:p w14:paraId="31E8B033" w14:textId="459D3D29" w:rsidR="000F4414" w:rsidRPr="00D91FDD" w:rsidRDefault="004F7239" w:rsidP="00D91FDD">
      <w:pPr>
        <w:spacing w:after="0" w:line="480" w:lineRule="auto"/>
        <w:ind w:left="720" w:hanging="720"/>
        <w:rPr>
          <w:b/>
          <w:bCs/>
          <w:szCs w:val="24"/>
        </w:rPr>
      </w:pPr>
      <w:r w:rsidRPr="00D91FDD">
        <w:rPr>
          <w:b/>
          <w:bCs/>
          <w:szCs w:val="24"/>
        </w:rPr>
        <w:t>Appendix A: Sustainability Indicators Table</w:t>
      </w:r>
    </w:p>
    <w:tbl>
      <w:tblPr>
        <w:tblStyle w:val="TableGrid"/>
        <w:tblW w:w="0" w:type="auto"/>
        <w:tblLook w:val="04A0" w:firstRow="1" w:lastRow="0" w:firstColumn="1" w:lastColumn="0" w:noHBand="0" w:noVBand="1"/>
      </w:tblPr>
      <w:tblGrid>
        <w:gridCol w:w="2660"/>
        <w:gridCol w:w="3135"/>
        <w:gridCol w:w="2835"/>
      </w:tblGrid>
      <w:tr w:rsidR="006603ED" w:rsidRPr="006603ED" w14:paraId="49AEA5B2" w14:textId="77777777" w:rsidTr="00247464">
        <w:tc>
          <w:tcPr>
            <w:tcW w:w="0" w:type="auto"/>
            <w:hideMark/>
          </w:tcPr>
          <w:p w14:paraId="1E807250" w14:textId="77777777" w:rsidR="006603ED" w:rsidRPr="006603ED" w:rsidRDefault="006603ED" w:rsidP="00D91FDD">
            <w:pPr>
              <w:spacing w:line="480" w:lineRule="auto"/>
              <w:jc w:val="center"/>
              <w:rPr>
                <w:rFonts w:cs="Times New Roman"/>
                <w:b/>
                <w:bCs/>
                <w:szCs w:val="24"/>
                <w:lang w:val="en-CA" w:eastAsia="en-CA"/>
              </w:rPr>
            </w:pPr>
            <w:r w:rsidRPr="006603ED">
              <w:rPr>
                <w:rFonts w:cs="Times New Roman"/>
                <w:b/>
                <w:bCs/>
                <w:szCs w:val="24"/>
                <w:lang w:val="en-CA" w:eastAsia="en-CA"/>
              </w:rPr>
              <w:t>Indicator</w:t>
            </w:r>
          </w:p>
        </w:tc>
        <w:tc>
          <w:tcPr>
            <w:tcW w:w="0" w:type="auto"/>
            <w:hideMark/>
          </w:tcPr>
          <w:p w14:paraId="40AE3C7B" w14:textId="77777777" w:rsidR="006603ED" w:rsidRPr="006603ED" w:rsidRDefault="006603ED" w:rsidP="00D91FDD">
            <w:pPr>
              <w:spacing w:line="480" w:lineRule="auto"/>
              <w:jc w:val="center"/>
              <w:rPr>
                <w:rFonts w:cs="Times New Roman"/>
                <w:b/>
                <w:bCs/>
                <w:szCs w:val="24"/>
                <w:lang w:val="en-CA" w:eastAsia="en-CA"/>
              </w:rPr>
            </w:pPr>
            <w:r w:rsidRPr="006603ED">
              <w:rPr>
                <w:rFonts w:cs="Times New Roman"/>
                <w:b/>
                <w:bCs/>
                <w:szCs w:val="24"/>
                <w:lang w:val="en-CA" w:eastAsia="en-CA"/>
              </w:rPr>
              <w:t>Description</w:t>
            </w:r>
          </w:p>
        </w:tc>
        <w:tc>
          <w:tcPr>
            <w:tcW w:w="0" w:type="auto"/>
            <w:hideMark/>
          </w:tcPr>
          <w:p w14:paraId="77531738" w14:textId="77777777" w:rsidR="006603ED" w:rsidRPr="006603ED" w:rsidRDefault="006603ED" w:rsidP="00D91FDD">
            <w:pPr>
              <w:spacing w:line="480" w:lineRule="auto"/>
              <w:jc w:val="center"/>
              <w:rPr>
                <w:rFonts w:cs="Times New Roman"/>
                <w:b/>
                <w:bCs/>
                <w:szCs w:val="24"/>
                <w:lang w:val="en-CA" w:eastAsia="en-CA"/>
              </w:rPr>
            </w:pPr>
            <w:r w:rsidRPr="006603ED">
              <w:rPr>
                <w:rFonts w:cs="Times New Roman"/>
                <w:b/>
                <w:bCs/>
                <w:szCs w:val="24"/>
                <w:lang w:val="en-CA" w:eastAsia="en-CA"/>
              </w:rPr>
              <w:t>Measurement Tool</w:t>
            </w:r>
          </w:p>
        </w:tc>
      </w:tr>
      <w:tr w:rsidR="006603ED" w:rsidRPr="006603ED" w14:paraId="0666661A" w14:textId="77777777" w:rsidTr="00247464">
        <w:tc>
          <w:tcPr>
            <w:tcW w:w="0" w:type="auto"/>
            <w:hideMark/>
          </w:tcPr>
          <w:p w14:paraId="4C177C4C" w14:textId="77777777" w:rsidR="006603ED" w:rsidRPr="006603ED" w:rsidRDefault="006603ED" w:rsidP="00D91FDD">
            <w:pPr>
              <w:spacing w:line="480" w:lineRule="auto"/>
              <w:rPr>
                <w:rFonts w:cs="Times New Roman"/>
                <w:szCs w:val="24"/>
                <w:lang w:val="en-CA" w:eastAsia="en-CA"/>
              </w:rPr>
            </w:pPr>
            <w:r w:rsidRPr="006603ED">
              <w:rPr>
                <w:rFonts w:cs="Times New Roman"/>
                <w:szCs w:val="24"/>
                <w:lang w:val="en-CA" w:eastAsia="en-CA"/>
              </w:rPr>
              <w:t>Carbon Emissions</w:t>
            </w:r>
          </w:p>
        </w:tc>
        <w:tc>
          <w:tcPr>
            <w:tcW w:w="0" w:type="auto"/>
            <w:hideMark/>
          </w:tcPr>
          <w:p w14:paraId="3C085942" w14:textId="77777777" w:rsidR="006603ED" w:rsidRPr="006603ED" w:rsidRDefault="006603ED" w:rsidP="00D91FDD">
            <w:pPr>
              <w:spacing w:line="480" w:lineRule="auto"/>
              <w:rPr>
                <w:rFonts w:cs="Times New Roman"/>
                <w:szCs w:val="24"/>
                <w:lang w:val="en-CA" w:eastAsia="en-CA"/>
              </w:rPr>
            </w:pPr>
            <w:r w:rsidRPr="006603ED">
              <w:rPr>
                <w:rFonts w:cs="Times New Roman"/>
                <w:szCs w:val="24"/>
                <w:lang w:val="en-CA" w:eastAsia="en-CA"/>
              </w:rPr>
              <w:t>CO₂ emitted during the event</w:t>
            </w:r>
          </w:p>
        </w:tc>
        <w:tc>
          <w:tcPr>
            <w:tcW w:w="0" w:type="auto"/>
            <w:hideMark/>
          </w:tcPr>
          <w:p w14:paraId="2755172A" w14:textId="77777777" w:rsidR="006603ED" w:rsidRPr="006603ED" w:rsidRDefault="006603ED" w:rsidP="00D91FDD">
            <w:pPr>
              <w:spacing w:line="480" w:lineRule="auto"/>
              <w:rPr>
                <w:rFonts w:cs="Times New Roman"/>
                <w:szCs w:val="24"/>
                <w:lang w:val="en-CA" w:eastAsia="en-CA"/>
              </w:rPr>
            </w:pPr>
            <w:r w:rsidRPr="006603ED">
              <w:rPr>
                <w:rFonts w:cs="Times New Roman"/>
                <w:szCs w:val="24"/>
                <w:lang w:val="en-CA" w:eastAsia="en-CA"/>
              </w:rPr>
              <w:t>Carbon calculators, GHG Protocol</w:t>
            </w:r>
          </w:p>
        </w:tc>
      </w:tr>
      <w:tr w:rsidR="006603ED" w:rsidRPr="006603ED" w14:paraId="03290512" w14:textId="77777777" w:rsidTr="00247464">
        <w:tc>
          <w:tcPr>
            <w:tcW w:w="0" w:type="auto"/>
            <w:hideMark/>
          </w:tcPr>
          <w:p w14:paraId="21679DA2" w14:textId="77777777" w:rsidR="006603ED" w:rsidRPr="006603ED" w:rsidRDefault="006603ED" w:rsidP="00D91FDD">
            <w:pPr>
              <w:spacing w:line="480" w:lineRule="auto"/>
              <w:rPr>
                <w:rFonts w:cs="Times New Roman"/>
                <w:szCs w:val="24"/>
                <w:lang w:val="en-CA" w:eastAsia="en-CA"/>
              </w:rPr>
            </w:pPr>
            <w:r w:rsidRPr="006603ED">
              <w:rPr>
                <w:rFonts w:cs="Times New Roman"/>
                <w:szCs w:val="24"/>
                <w:lang w:val="en-CA" w:eastAsia="en-CA"/>
              </w:rPr>
              <w:t>Waste Diversion Rate</w:t>
            </w:r>
          </w:p>
        </w:tc>
        <w:tc>
          <w:tcPr>
            <w:tcW w:w="0" w:type="auto"/>
            <w:hideMark/>
          </w:tcPr>
          <w:p w14:paraId="1F170D72" w14:textId="77777777" w:rsidR="006603ED" w:rsidRPr="006603ED" w:rsidRDefault="006603ED" w:rsidP="00D91FDD">
            <w:pPr>
              <w:spacing w:line="480" w:lineRule="auto"/>
              <w:rPr>
                <w:rFonts w:cs="Times New Roman"/>
                <w:szCs w:val="24"/>
                <w:lang w:val="en-CA" w:eastAsia="en-CA"/>
              </w:rPr>
            </w:pPr>
            <w:r w:rsidRPr="006603ED">
              <w:rPr>
                <w:rFonts w:cs="Times New Roman"/>
                <w:szCs w:val="24"/>
                <w:lang w:val="en-CA" w:eastAsia="en-CA"/>
              </w:rPr>
              <w:t>% of waste diverted from landfill</w:t>
            </w:r>
          </w:p>
        </w:tc>
        <w:tc>
          <w:tcPr>
            <w:tcW w:w="0" w:type="auto"/>
            <w:hideMark/>
          </w:tcPr>
          <w:p w14:paraId="526B8DBA" w14:textId="77777777" w:rsidR="006603ED" w:rsidRPr="006603ED" w:rsidRDefault="006603ED" w:rsidP="00D91FDD">
            <w:pPr>
              <w:spacing w:line="480" w:lineRule="auto"/>
              <w:rPr>
                <w:rFonts w:cs="Times New Roman"/>
                <w:szCs w:val="24"/>
                <w:lang w:val="en-CA" w:eastAsia="en-CA"/>
              </w:rPr>
            </w:pPr>
            <w:r w:rsidRPr="006603ED">
              <w:rPr>
                <w:rFonts w:cs="Times New Roman"/>
                <w:szCs w:val="24"/>
                <w:lang w:val="en-CA" w:eastAsia="en-CA"/>
              </w:rPr>
              <w:t>Waste audits</w:t>
            </w:r>
          </w:p>
        </w:tc>
      </w:tr>
      <w:tr w:rsidR="006603ED" w:rsidRPr="006603ED" w14:paraId="7DCE6898" w14:textId="77777777" w:rsidTr="00247464">
        <w:tc>
          <w:tcPr>
            <w:tcW w:w="0" w:type="auto"/>
            <w:hideMark/>
          </w:tcPr>
          <w:p w14:paraId="57B4379D" w14:textId="77777777" w:rsidR="006603ED" w:rsidRPr="006603ED" w:rsidRDefault="006603ED" w:rsidP="00D91FDD">
            <w:pPr>
              <w:spacing w:line="480" w:lineRule="auto"/>
              <w:rPr>
                <w:rFonts w:cs="Times New Roman"/>
                <w:szCs w:val="24"/>
                <w:lang w:val="en-CA" w:eastAsia="en-CA"/>
              </w:rPr>
            </w:pPr>
            <w:r w:rsidRPr="006603ED">
              <w:rPr>
                <w:rFonts w:cs="Times New Roman"/>
                <w:szCs w:val="24"/>
                <w:lang w:val="en-CA" w:eastAsia="en-CA"/>
              </w:rPr>
              <w:t>Energy from Renewable Sources</w:t>
            </w:r>
          </w:p>
        </w:tc>
        <w:tc>
          <w:tcPr>
            <w:tcW w:w="0" w:type="auto"/>
            <w:hideMark/>
          </w:tcPr>
          <w:p w14:paraId="37C66518" w14:textId="77777777" w:rsidR="006603ED" w:rsidRPr="006603ED" w:rsidRDefault="006603ED" w:rsidP="00D91FDD">
            <w:pPr>
              <w:spacing w:line="480" w:lineRule="auto"/>
              <w:rPr>
                <w:rFonts w:cs="Times New Roman"/>
                <w:szCs w:val="24"/>
                <w:lang w:val="en-CA" w:eastAsia="en-CA"/>
              </w:rPr>
            </w:pPr>
            <w:r w:rsidRPr="006603ED">
              <w:rPr>
                <w:rFonts w:cs="Times New Roman"/>
                <w:szCs w:val="24"/>
                <w:lang w:val="en-CA" w:eastAsia="en-CA"/>
              </w:rPr>
              <w:t>Share of energy from renewable sources</w:t>
            </w:r>
          </w:p>
        </w:tc>
        <w:tc>
          <w:tcPr>
            <w:tcW w:w="0" w:type="auto"/>
            <w:hideMark/>
          </w:tcPr>
          <w:p w14:paraId="51211924" w14:textId="77777777" w:rsidR="006603ED" w:rsidRPr="006603ED" w:rsidRDefault="006603ED" w:rsidP="00D91FDD">
            <w:pPr>
              <w:spacing w:line="480" w:lineRule="auto"/>
              <w:rPr>
                <w:rFonts w:cs="Times New Roman"/>
                <w:szCs w:val="24"/>
                <w:lang w:val="en-CA" w:eastAsia="en-CA"/>
              </w:rPr>
            </w:pPr>
            <w:r w:rsidRPr="006603ED">
              <w:rPr>
                <w:rFonts w:cs="Times New Roman"/>
                <w:szCs w:val="24"/>
                <w:lang w:val="en-CA" w:eastAsia="en-CA"/>
              </w:rPr>
              <w:t>Energy reports</w:t>
            </w:r>
          </w:p>
        </w:tc>
      </w:tr>
      <w:tr w:rsidR="006603ED" w:rsidRPr="006603ED" w14:paraId="5662440C" w14:textId="77777777" w:rsidTr="00247464">
        <w:tc>
          <w:tcPr>
            <w:tcW w:w="0" w:type="auto"/>
            <w:hideMark/>
          </w:tcPr>
          <w:p w14:paraId="728F8C59" w14:textId="77777777" w:rsidR="006603ED" w:rsidRPr="006603ED" w:rsidRDefault="006603ED" w:rsidP="00D91FDD">
            <w:pPr>
              <w:spacing w:line="480" w:lineRule="auto"/>
              <w:rPr>
                <w:rFonts w:cs="Times New Roman"/>
                <w:szCs w:val="24"/>
                <w:lang w:val="en-CA" w:eastAsia="en-CA"/>
              </w:rPr>
            </w:pPr>
            <w:r w:rsidRPr="006603ED">
              <w:rPr>
                <w:rFonts w:cs="Times New Roman"/>
                <w:szCs w:val="24"/>
                <w:lang w:val="en-CA" w:eastAsia="en-CA"/>
              </w:rPr>
              <w:t>Community Engagement</w:t>
            </w:r>
          </w:p>
        </w:tc>
        <w:tc>
          <w:tcPr>
            <w:tcW w:w="0" w:type="auto"/>
            <w:hideMark/>
          </w:tcPr>
          <w:p w14:paraId="0808195D" w14:textId="77777777" w:rsidR="006603ED" w:rsidRPr="006603ED" w:rsidRDefault="006603ED" w:rsidP="00D91FDD">
            <w:pPr>
              <w:spacing w:line="480" w:lineRule="auto"/>
              <w:rPr>
                <w:rFonts w:cs="Times New Roman"/>
                <w:szCs w:val="24"/>
                <w:lang w:val="en-CA" w:eastAsia="en-CA"/>
              </w:rPr>
            </w:pPr>
            <w:r w:rsidRPr="006603ED">
              <w:rPr>
                <w:rFonts w:cs="Times New Roman"/>
                <w:szCs w:val="24"/>
                <w:lang w:val="en-CA" w:eastAsia="en-CA"/>
              </w:rPr>
              <w:t>Number of volunteers, local partnerships</w:t>
            </w:r>
          </w:p>
        </w:tc>
        <w:tc>
          <w:tcPr>
            <w:tcW w:w="0" w:type="auto"/>
            <w:hideMark/>
          </w:tcPr>
          <w:p w14:paraId="39C1AEF8" w14:textId="77777777" w:rsidR="006603ED" w:rsidRPr="006603ED" w:rsidRDefault="006603ED" w:rsidP="00D91FDD">
            <w:pPr>
              <w:spacing w:line="480" w:lineRule="auto"/>
              <w:rPr>
                <w:rFonts w:cs="Times New Roman"/>
                <w:szCs w:val="24"/>
                <w:lang w:val="en-CA" w:eastAsia="en-CA"/>
              </w:rPr>
            </w:pPr>
            <w:r w:rsidRPr="006603ED">
              <w:rPr>
                <w:rFonts w:cs="Times New Roman"/>
                <w:szCs w:val="24"/>
                <w:lang w:val="en-CA" w:eastAsia="en-CA"/>
              </w:rPr>
              <w:t>Event participation records</w:t>
            </w:r>
          </w:p>
        </w:tc>
      </w:tr>
    </w:tbl>
    <w:p w14:paraId="69D5142B" w14:textId="77777777" w:rsidR="00050FE9" w:rsidRPr="00050FE9" w:rsidRDefault="00050FE9" w:rsidP="00D91FDD">
      <w:pPr>
        <w:spacing w:after="0" w:line="480" w:lineRule="auto"/>
        <w:outlineLvl w:val="2"/>
        <w:rPr>
          <w:rFonts w:cs="Times New Roman"/>
          <w:b/>
          <w:bCs/>
          <w:szCs w:val="24"/>
          <w:lang w:val="en-CA" w:eastAsia="en-CA"/>
        </w:rPr>
      </w:pPr>
      <w:r w:rsidRPr="00050FE9">
        <w:rPr>
          <w:rFonts w:cs="Times New Roman"/>
          <w:b/>
          <w:bCs/>
          <w:szCs w:val="24"/>
          <w:lang w:val="en-CA" w:eastAsia="en-CA"/>
        </w:rPr>
        <w:t>Appendix B: Case Study Summaries</w:t>
      </w:r>
    </w:p>
    <w:p w14:paraId="2E73B05B" w14:textId="77777777" w:rsidR="00050FE9" w:rsidRPr="00D91FDD" w:rsidRDefault="00050FE9" w:rsidP="00D91FDD">
      <w:pPr>
        <w:pStyle w:val="ListParagraph"/>
        <w:numPr>
          <w:ilvl w:val="0"/>
          <w:numId w:val="23"/>
        </w:numPr>
        <w:spacing w:after="0" w:line="480" w:lineRule="auto"/>
        <w:rPr>
          <w:rFonts w:cs="Times New Roman"/>
          <w:szCs w:val="24"/>
          <w:lang w:val="en-CA" w:eastAsia="en-CA"/>
        </w:rPr>
      </w:pPr>
      <w:r w:rsidRPr="00D91FDD">
        <w:rPr>
          <w:rFonts w:cs="Times New Roman"/>
          <w:b/>
          <w:bCs/>
          <w:szCs w:val="24"/>
          <w:lang w:val="en-CA" w:eastAsia="en-CA"/>
        </w:rPr>
        <w:t>London 2012:</w:t>
      </w:r>
      <w:r w:rsidRPr="00D91FDD">
        <w:rPr>
          <w:rFonts w:cs="Times New Roman"/>
          <w:szCs w:val="24"/>
          <w:lang w:val="en-CA" w:eastAsia="en-CA"/>
        </w:rPr>
        <w:t xml:space="preserve"> First ISO 20121-certified Olympic Games. Prioritized public transport, renewable energy, and post-event infrastructure legacy.</w:t>
      </w:r>
    </w:p>
    <w:p w14:paraId="27415AC4" w14:textId="77777777" w:rsidR="00050FE9" w:rsidRPr="00D91FDD" w:rsidRDefault="00050FE9" w:rsidP="00D91FDD">
      <w:pPr>
        <w:pStyle w:val="ListParagraph"/>
        <w:numPr>
          <w:ilvl w:val="0"/>
          <w:numId w:val="23"/>
        </w:numPr>
        <w:spacing w:after="0" w:line="480" w:lineRule="auto"/>
        <w:rPr>
          <w:rFonts w:cs="Times New Roman"/>
          <w:szCs w:val="24"/>
          <w:lang w:val="en-CA" w:eastAsia="en-CA"/>
        </w:rPr>
      </w:pPr>
      <w:r w:rsidRPr="00D91FDD">
        <w:rPr>
          <w:rFonts w:cs="Times New Roman"/>
          <w:b/>
          <w:bCs/>
          <w:szCs w:val="24"/>
          <w:lang w:val="en-CA" w:eastAsia="en-CA"/>
        </w:rPr>
        <w:t>Qatar 2022:</w:t>
      </w:r>
      <w:r w:rsidRPr="00D91FDD">
        <w:rPr>
          <w:rFonts w:cs="Times New Roman"/>
          <w:szCs w:val="24"/>
          <w:lang w:val="en-CA" w:eastAsia="en-CA"/>
        </w:rPr>
        <w:t xml:space="preserve"> Integrated solar energy, modular stadium designs, and carbon offset strategies.</w:t>
      </w:r>
    </w:p>
    <w:p w14:paraId="1143E487" w14:textId="77777777" w:rsidR="00050FE9" w:rsidRPr="00D91FDD" w:rsidRDefault="00050FE9" w:rsidP="00D91FDD">
      <w:pPr>
        <w:pStyle w:val="ListParagraph"/>
        <w:numPr>
          <w:ilvl w:val="0"/>
          <w:numId w:val="23"/>
        </w:numPr>
        <w:spacing w:after="0" w:line="480" w:lineRule="auto"/>
        <w:rPr>
          <w:rFonts w:cs="Times New Roman"/>
          <w:szCs w:val="24"/>
          <w:lang w:val="en-CA" w:eastAsia="en-CA"/>
        </w:rPr>
      </w:pPr>
      <w:r w:rsidRPr="00D91FDD">
        <w:rPr>
          <w:rFonts w:cs="Times New Roman"/>
          <w:b/>
          <w:bCs/>
          <w:szCs w:val="24"/>
          <w:lang w:val="en-CA" w:eastAsia="en-CA"/>
        </w:rPr>
        <w:t>Tokyo 2020:</w:t>
      </w:r>
      <w:r w:rsidRPr="00D91FDD">
        <w:rPr>
          <w:rFonts w:cs="Times New Roman"/>
          <w:szCs w:val="24"/>
          <w:lang w:val="en-CA" w:eastAsia="en-CA"/>
        </w:rPr>
        <w:t xml:space="preserve"> Emphasized circular economy principles, recycled materials, renewable energy, and accessible infrastructure.</w:t>
      </w:r>
    </w:p>
    <w:p w14:paraId="4BF4FB13" w14:textId="77777777" w:rsidR="00D91FDD" w:rsidRPr="00D91FDD" w:rsidRDefault="00050FE9" w:rsidP="00D91FDD">
      <w:pPr>
        <w:pStyle w:val="ListParagraph"/>
        <w:numPr>
          <w:ilvl w:val="0"/>
          <w:numId w:val="23"/>
        </w:numPr>
        <w:spacing w:after="0" w:line="480" w:lineRule="auto"/>
        <w:rPr>
          <w:rFonts w:cs="Times New Roman"/>
          <w:szCs w:val="24"/>
          <w:lang w:val="en-CA" w:eastAsia="en-CA"/>
        </w:rPr>
      </w:pPr>
      <w:r w:rsidRPr="00D91FDD">
        <w:rPr>
          <w:rFonts w:cs="Times New Roman"/>
          <w:b/>
          <w:bCs/>
          <w:szCs w:val="24"/>
          <w:lang w:val="en-CA" w:eastAsia="en-CA"/>
        </w:rPr>
        <w:t>Expo 2020 Dubai:</w:t>
      </w:r>
      <w:r w:rsidRPr="00D91FDD">
        <w:rPr>
          <w:rFonts w:cs="Times New Roman"/>
          <w:szCs w:val="24"/>
          <w:lang w:val="en-CA" w:eastAsia="en-CA"/>
        </w:rPr>
        <w:t xml:space="preserve"> Renewable energy, sustainable pavilions, smart waste management, and legacy repurposing.</w:t>
      </w:r>
    </w:p>
    <w:p w14:paraId="2714B6F8" w14:textId="46126D39" w:rsidR="00050FE9" w:rsidRPr="00050FE9" w:rsidRDefault="00D91FDD" w:rsidP="00D91FDD">
      <w:pPr>
        <w:spacing w:after="0" w:line="480" w:lineRule="auto"/>
        <w:rPr>
          <w:rFonts w:cs="Times New Roman"/>
          <w:szCs w:val="24"/>
          <w:lang w:val="en-CA" w:eastAsia="en-CA"/>
        </w:rPr>
      </w:pPr>
      <w:r w:rsidRPr="00D91FDD">
        <w:rPr>
          <w:b/>
          <w:bCs/>
          <w:szCs w:val="24"/>
        </w:rPr>
        <w:t>Appendix C: Proposed Sustainable Event Model Framework</w:t>
      </w:r>
    </w:p>
    <w:p w14:paraId="1812CC0A" w14:textId="77777777" w:rsidR="00247464" w:rsidRPr="00D91FDD" w:rsidRDefault="00247464" w:rsidP="00D91FDD">
      <w:pPr>
        <w:spacing w:after="0" w:line="480" w:lineRule="auto"/>
        <w:ind w:left="720" w:hanging="720"/>
        <w:rPr>
          <w:b/>
          <w:bCs/>
          <w:szCs w:val="24"/>
        </w:rPr>
      </w:pPr>
    </w:p>
    <w:p w14:paraId="5F143761" w14:textId="4331D297" w:rsidR="00CE3994" w:rsidRDefault="00CE3994"/>
    <w:sectPr w:rsidR="00CE3994" w:rsidSect="00034616">
      <w:head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3A47BF" w14:textId="77777777" w:rsidR="001B348E" w:rsidRDefault="001B348E" w:rsidP="00840C4C">
      <w:pPr>
        <w:spacing w:after="0" w:line="240" w:lineRule="auto"/>
      </w:pPr>
      <w:r>
        <w:separator/>
      </w:r>
    </w:p>
  </w:endnote>
  <w:endnote w:type="continuationSeparator" w:id="0">
    <w:p w14:paraId="0066A37E" w14:textId="77777777" w:rsidR="001B348E" w:rsidRDefault="001B348E" w:rsidP="00840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C05ECD" w14:textId="77777777" w:rsidR="001B348E" w:rsidRDefault="001B348E" w:rsidP="00840C4C">
      <w:pPr>
        <w:spacing w:after="0" w:line="240" w:lineRule="auto"/>
      </w:pPr>
      <w:r>
        <w:separator/>
      </w:r>
    </w:p>
  </w:footnote>
  <w:footnote w:type="continuationSeparator" w:id="0">
    <w:p w14:paraId="49BA5C30" w14:textId="77777777" w:rsidR="001B348E" w:rsidRDefault="001B348E" w:rsidP="00840C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5980773"/>
      <w:docPartObj>
        <w:docPartGallery w:val="Page Numbers (Top of Page)"/>
        <w:docPartUnique/>
      </w:docPartObj>
    </w:sdtPr>
    <w:sdtEndPr>
      <w:rPr>
        <w:noProof/>
      </w:rPr>
    </w:sdtEndPr>
    <w:sdtContent>
      <w:p w14:paraId="4250D1EB" w14:textId="7C78484C" w:rsidR="00515B87" w:rsidRDefault="00515B87">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A07B332" w14:textId="77777777" w:rsidR="00515B87" w:rsidRDefault="00515B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6F04929"/>
    <w:multiLevelType w:val="multilevel"/>
    <w:tmpl w:val="F3025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8EA1A99"/>
    <w:multiLevelType w:val="multilevel"/>
    <w:tmpl w:val="30964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4CE556A"/>
    <w:multiLevelType w:val="hybridMultilevel"/>
    <w:tmpl w:val="F29850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159B06BD"/>
    <w:multiLevelType w:val="hybridMultilevel"/>
    <w:tmpl w:val="8806BA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1B140A17"/>
    <w:multiLevelType w:val="hybridMultilevel"/>
    <w:tmpl w:val="BE9624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1F58283A"/>
    <w:multiLevelType w:val="hybridMultilevel"/>
    <w:tmpl w:val="0924F1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0790C22"/>
    <w:multiLevelType w:val="hybridMultilevel"/>
    <w:tmpl w:val="3DCAF1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2AE377D"/>
    <w:multiLevelType w:val="multilevel"/>
    <w:tmpl w:val="F9FCF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AE6759B"/>
    <w:multiLevelType w:val="hybridMultilevel"/>
    <w:tmpl w:val="2C94B8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0927CF8"/>
    <w:multiLevelType w:val="hybridMultilevel"/>
    <w:tmpl w:val="7BFAAB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B921984"/>
    <w:multiLevelType w:val="multilevel"/>
    <w:tmpl w:val="06902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C419A6"/>
    <w:multiLevelType w:val="hybridMultilevel"/>
    <w:tmpl w:val="61BE0C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3F2A6A6B"/>
    <w:multiLevelType w:val="hybridMultilevel"/>
    <w:tmpl w:val="CC8A51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05E1363"/>
    <w:multiLevelType w:val="multilevel"/>
    <w:tmpl w:val="BD5A9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B4654B"/>
    <w:multiLevelType w:val="hybridMultilevel"/>
    <w:tmpl w:val="8C9828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56985748"/>
    <w:multiLevelType w:val="hybridMultilevel"/>
    <w:tmpl w:val="BA0A91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5B7D1138"/>
    <w:multiLevelType w:val="multilevel"/>
    <w:tmpl w:val="95D49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84560902">
    <w:abstractNumId w:val="8"/>
  </w:num>
  <w:num w:numId="2" w16cid:durableId="872378130">
    <w:abstractNumId w:val="6"/>
  </w:num>
  <w:num w:numId="3" w16cid:durableId="1975406931">
    <w:abstractNumId w:val="5"/>
  </w:num>
  <w:num w:numId="4" w16cid:durableId="1593973348">
    <w:abstractNumId w:val="4"/>
  </w:num>
  <w:num w:numId="5" w16cid:durableId="1288929174">
    <w:abstractNumId w:val="7"/>
  </w:num>
  <w:num w:numId="6" w16cid:durableId="2113428839">
    <w:abstractNumId w:val="3"/>
  </w:num>
  <w:num w:numId="7" w16cid:durableId="460076478">
    <w:abstractNumId w:val="2"/>
  </w:num>
  <w:num w:numId="8" w16cid:durableId="797988274">
    <w:abstractNumId w:val="1"/>
  </w:num>
  <w:num w:numId="9" w16cid:durableId="1735008310">
    <w:abstractNumId w:val="0"/>
  </w:num>
  <w:num w:numId="10" w16cid:durableId="1245795143">
    <w:abstractNumId w:val="15"/>
  </w:num>
  <w:num w:numId="11" w16cid:durableId="1942299400">
    <w:abstractNumId w:val="13"/>
  </w:num>
  <w:num w:numId="12" w16cid:durableId="1577518299">
    <w:abstractNumId w:val="19"/>
  </w:num>
  <w:num w:numId="13" w16cid:durableId="1570725582">
    <w:abstractNumId w:val="9"/>
  </w:num>
  <w:num w:numId="14" w16cid:durableId="507215857">
    <w:abstractNumId w:val="22"/>
  </w:num>
  <w:num w:numId="15" w16cid:durableId="321278408">
    <w:abstractNumId w:val="10"/>
  </w:num>
  <w:num w:numId="16" w16cid:durableId="1506821789">
    <w:abstractNumId w:val="21"/>
  </w:num>
  <w:num w:numId="17" w16cid:durableId="1174034368">
    <w:abstractNumId w:val="18"/>
  </w:num>
  <w:num w:numId="18" w16cid:durableId="1627466351">
    <w:abstractNumId w:val="14"/>
  </w:num>
  <w:num w:numId="19" w16cid:durableId="161701204">
    <w:abstractNumId w:val="20"/>
  </w:num>
  <w:num w:numId="20" w16cid:durableId="536160361">
    <w:abstractNumId w:val="25"/>
  </w:num>
  <w:num w:numId="21" w16cid:durableId="1100878965">
    <w:abstractNumId w:val="16"/>
  </w:num>
  <w:num w:numId="22" w16cid:durableId="626469998">
    <w:abstractNumId w:val="17"/>
  </w:num>
  <w:num w:numId="23" w16cid:durableId="923993013">
    <w:abstractNumId w:val="24"/>
  </w:num>
  <w:num w:numId="24" w16cid:durableId="843085104">
    <w:abstractNumId w:val="12"/>
  </w:num>
  <w:num w:numId="25" w16cid:durableId="1038966788">
    <w:abstractNumId w:val="23"/>
  </w:num>
  <w:num w:numId="26" w16cid:durableId="27113620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2127"/>
    <w:rsid w:val="000240F6"/>
    <w:rsid w:val="00034616"/>
    <w:rsid w:val="000411D0"/>
    <w:rsid w:val="00050FE9"/>
    <w:rsid w:val="0006063C"/>
    <w:rsid w:val="000979D7"/>
    <w:rsid w:val="000A7BC5"/>
    <w:rsid w:val="000E0EA3"/>
    <w:rsid w:val="000F4414"/>
    <w:rsid w:val="000F6356"/>
    <w:rsid w:val="001060DA"/>
    <w:rsid w:val="00132992"/>
    <w:rsid w:val="0013790B"/>
    <w:rsid w:val="0015074B"/>
    <w:rsid w:val="00165C81"/>
    <w:rsid w:val="001B348E"/>
    <w:rsid w:val="001E3918"/>
    <w:rsid w:val="001E462C"/>
    <w:rsid w:val="001E4A79"/>
    <w:rsid w:val="00247464"/>
    <w:rsid w:val="002517F9"/>
    <w:rsid w:val="002728B7"/>
    <w:rsid w:val="0029639D"/>
    <w:rsid w:val="002F5420"/>
    <w:rsid w:val="00301FC0"/>
    <w:rsid w:val="00304B66"/>
    <w:rsid w:val="00321B1A"/>
    <w:rsid w:val="00326F90"/>
    <w:rsid w:val="00333B7C"/>
    <w:rsid w:val="00364374"/>
    <w:rsid w:val="00365CA4"/>
    <w:rsid w:val="00367C2E"/>
    <w:rsid w:val="00384B26"/>
    <w:rsid w:val="003D06F8"/>
    <w:rsid w:val="003E6667"/>
    <w:rsid w:val="003F4194"/>
    <w:rsid w:val="0045726E"/>
    <w:rsid w:val="00463141"/>
    <w:rsid w:val="00482B65"/>
    <w:rsid w:val="00490351"/>
    <w:rsid w:val="004D3D72"/>
    <w:rsid w:val="004D5B30"/>
    <w:rsid w:val="004F7239"/>
    <w:rsid w:val="00500027"/>
    <w:rsid w:val="00515B87"/>
    <w:rsid w:val="00537DA9"/>
    <w:rsid w:val="00547505"/>
    <w:rsid w:val="00580475"/>
    <w:rsid w:val="00582558"/>
    <w:rsid w:val="005B76EB"/>
    <w:rsid w:val="005F18FD"/>
    <w:rsid w:val="005F720B"/>
    <w:rsid w:val="00640879"/>
    <w:rsid w:val="006603ED"/>
    <w:rsid w:val="006609C8"/>
    <w:rsid w:val="006752C4"/>
    <w:rsid w:val="006A5338"/>
    <w:rsid w:val="006A6EFE"/>
    <w:rsid w:val="006B5914"/>
    <w:rsid w:val="006E57EC"/>
    <w:rsid w:val="00731B46"/>
    <w:rsid w:val="00780D33"/>
    <w:rsid w:val="007A7366"/>
    <w:rsid w:val="00840C4C"/>
    <w:rsid w:val="00851B4C"/>
    <w:rsid w:val="008A0733"/>
    <w:rsid w:val="008C4EF7"/>
    <w:rsid w:val="00900EFE"/>
    <w:rsid w:val="0091263F"/>
    <w:rsid w:val="009425F3"/>
    <w:rsid w:val="00977B63"/>
    <w:rsid w:val="009C225B"/>
    <w:rsid w:val="009F0977"/>
    <w:rsid w:val="009F788A"/>
    <w:rsid w:val="00A54FB3"/>
    <w:rsid w:val="00A83166"/>
    <w:rsid w:val="00AA1D8D"/>
    <w:rsid w:val="00AA3AF2"/>
    <w:rsid w:val="00AB721F"/>
    <w:rsid w:val="00AC7A5B"/>
    <w:rsid w:val="00B47730"/>
    <w:rsid w:val="00B726B6"/>
    <w:rsid w:val="00BC0AF9"/>
    <w:rsid w:val="00CB0664"/>
    <w:rsid w:val="00CD02EE"/>
    <w:rsid w:val="00CD4226"/>
    <w:rsid w:val="00CE3994"/>
    <w:rsid w:val="00D75724"/>
    <w:rsid w:val="00D91FDD"/>
    <w:rsid w:val="00DB5B38"/>
    <w:rsid w:val="00DD595E"/>
    <w:rsid w:val="00E66912"/>
    <w:rsid w:val="00E727AF"/>
    <w:rsid w:val="00E83AF0"/>
    <w:rsid w:val="00E9204F"/>
    <w:rsid w:val="00F17B58"/>
    <w:rsid w:val="00F46A5C"/>
    <w:rsid w:val="00F72C89"/>
    <w:rsid w:val="00FA580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A8BE5E6"/>
  <w14:defaultImageDpi w14:val="300"/>
  <w15:docId w15:val="{A4D75DBB-CF7A-4F77-8144-FF536DF6C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AB721F"/>
    <w:pPr>
      <w:spacing w:before="100" w:beforeAutospacing="1" w:after="100" w:afterAutospacing="1" w:line="240" w:lineRule="auto"/>
    </w:pPr>
    <w:rPr>
      <w:rFonts w:cs="Times New Roman"/>
      <w:szCs w:val="24"/>
      <w:lang w:val="en-CA" w:eastAsia="en-CA"/>
    </w:rPr>
  </w:style>
  <w:style w:type="character" w:customStyle="1" w:styleId="text-token-text-primary">
    <w:name w:val="text-token-text-primary"/>
    <w:basedOn w:val="DefaultParagraphFont"/>
    <w:rsid w:val="00AB721F"/>
  </w:style>
  <w:style w:type="character" w:customStyle="1" w:styleId="linestream">
    <w:name w:val="line__stream"/>
    <w:basedOn w:val="DefaultParagraphFont"/>
    <w:rsid w:val="00DD59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4054</Words>
  <Characters>28263</Characters>
  <Application>Microsoft Office Word</Application>
  <DocSecurity>0</DocSecurity>
  <Lines>554</Lines>
  <Paragraphs>237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32080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Shama Rani</cp:lastModifiedBy>
  <cp:revision>3</cp:revision>
  <dcterms:created xsi:type="dcterms:W3CDTF">2025-10-22T13:21:00Z</dcterms:created>
  <dcterms:modified xsi:type="dcterms:W3CDTF">2025-10-22T13:21:00Z</dcterms:modified>
  <cp:category/>
</cp:coreProperties>
</file>