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2A410" w14:textId="77777777" w:rsidR="0019504D" w:rsidRPr="00F20AAB" w:rsidRDefault="0019504D" w:rsidP="0019504D">
      <w:pPr>
        <w:rPr>
          <w:rFonts w:asciiTheme="majorBidi" w:hAnsiTheme="majorBidi" w:cstheme="majorBidi"/>
          <w:lang w:val="en-US"/>
        </w:rPr>
      </w:pPr>
      <w:r w:rsidRPr="00F20AAB">
        <w:rPr>
          <w:rFonts w:asciiTheme="majorBidi" w:hAnsiTheme="majorBidi" w:cstheme="majorBidi"/>
          <w:noProof/>
          <w:lang w:val="en-US"/>
        </w:rPr>
        <w:drawing>
          <wp:anchor distT="0" distB="0" distL="114300" distR="114300" simplePos="0" relativeHeight="251658240" behindDoc="1" locked="0" layoutInCell="1" allowOverlap="1" wp14:anchorId="738B2D2D" wp14:editId="3D510C63">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F1CEE40" w14:textId="77777777" w:rsidR="00661030" w:rsidRPr="00F20AAB" w:rsidRDefault="00C21EBA" w:rsidP="00661030">
      <w:pPr>
        <w:rPr>
          <w:rFonts w:asciiTheme="majorBidi" w:hAnsiTheme="majorBidi" w:cstheme="majorBidi"/>
          <w:b/>
          <w:bCs/>
          <w:lang w:val="en-US"/>
        </w:rPr>
      </w:pPr>
      <w:r w:rsidRPr="00F20AAB">
        <w:rPr>
          <w:rFonts w:asciiTheme="majorBidi" w:hAnsiTheme="majorBidi" w:cstheme="majorBidi"/>
          <w:b/>
          <w:bCs/>
          <w:lang w:val="en-US"/>
        </w:rPr>
        <w:t>Planning</w:t>
      </w:r>
      <w:r w:rsidR="00661030" w:rsidRPr="00F20AAB">
        <w:rPr>
          <w:rFonts w:asciiTheme="majorBidi" w:hAnsiTheme="majorBidi" w:cstheme="majorBidi"/>
          <w:b/>
          <w:bCs/>
          <w:lang w:val="en-US"/>
        </w:rPr>
        <w:t xml:space="preserve"> and </w:t>
      </w:r>
      <w:r w:rsidRPr="00F20AAB">
        <w:rPr>
          <w:rFonts w:asciiTheme="majorBidi" w:hAnsiTheme="majorBidi" w:cstheme="majorBidi"/>
          <w:b/>
          <w:bCs/>
          <w:lang w:val="en-US"/>
        </w:rPr>
        <w:t>Management</w:t>
      </w:r>
      <w:r w:rsidR="00661030" w:rsidRPr="00F20AAB">
        <w:rPr>
          <w:rFonts w:asciiTheme="majorBidi" w:hAnsiTheme="majorBidi" w:cstheme="majorBidi"/>
          <w:b/>
          <w:bCs/>
          <w:lang w:val="en-US"/>
        </w:rPr>
        <w:t xml:space="preserve"> </w:t>
      </w:r>
      <w:r w:rsidRPr="00F20AAB">
        <w:rPr>
          <w:rFonts w:asciiTheme="majorBidi" w:hAnsiTheme="majorBidi" w:cstheme="majorBidi"/>
          <w:b/>
          <w:bCs/>
          <w:lang w:val="en-US"/>
        </w:rPr>
        <w:t xml:space="preserve">of Sustainable </w:t>
      </w:r>
      <w:r w:rsidR="00661030" w:rsidRPr="00F20AAB">
        <w:rPr>
          <w:rFonts w:asciiTheme="majorBidi" w:hAnsiTheme="majorBidi" w:cstheme="majorBidi"/>
          <w:b/>
          <w:bCs/>
          <w:lang w:val="en-US"/>
        </w:rPr>
        <w:t>Tourism</w:t>
      </w:r>
      <w:r w:rsidRPr="00F20AAB">
        <w:rPr>
          <w:rFonts w:asciiTheme="majorBidi" w:hAnsiTheme="majorBidi" w:cstheme="majorBidi"/>
          <w:b/>
          <w:bCs/>
          <w:lang w:val="en-US"/>
        </w:rPr>
        <w:t xml:space="preserve"> Spaces</w:t>
      </w:r>
    </w:p>
    <w:p w14:paraId="73ECF193" w14:textId="77777777" w:rsidR="0019504D" w:rsidRPr="00F20AAB" w:rsidRDefault="0019504D" w:rsidP="0019504D">
      <w:pPr>
        <w:rPr>
          <w:rFonts w:asciiTheme="majorBidi" w:hAnsiTheme="majorBidi" w:cstheme="majorBidi"/>
          <w:lang w:val="en-US"/>
        </w:rPr>
      </w:pPr>
      <w:r w:rsidRPr="00F20AAB">
        <w:rPr>
          <w:rFonts w:asciiTheme="majorBidi" w:hAnsiTheme="majorBidi" w:cstheme="majorBidi"/>
          <w:lang w:val="en-US"/>
        </w:rPr>
        <w:t xml:space="preserve">Assignment </w:t>
      </w:r>
      <w:r w:rsidR="00237278" w:rsidRPr="00F20AAB">
        <w:rPr>
          <w:rFonts w:asciiTheme="majorBidi" w:hAnsiTheme="majorBidi" w:cstheme="majorBidi"/>
          <w:lang w:val="en-US"/>
        </w:rPr>
        <w:t>9</w:t>
      </w:r>
    </w:p>
    <w:p w14:paraId="63FC9CEB" w14:textId="77777777" w:rsidR="00637F36" w:rsidRPr="00F20AAB" w:rsidRDefault="009673A4" w:rsidP="0019504D">
      <w:pPr>
        <w:rPr>
          <w:rFonts w:asciiTheme="majorBidi" w:hAnsiTheme="majorBidi" w:cstheme="majorBidi"/>
          <w:lang w:val="en-US"/>
        </w:rPr>
      </w:pPr>
      <w:r w:rsidRPr="00F20AAB">
        <w:rPr>
          <w:rFonts w:asciiTheme="majorBidi" w:hAnsiTheme="majorBidi" w:cstheme="majorBidi"/>
          <w:lang w:val="en-US"/>
        </w:rPr>
        <w:t>03</w:t>
      </w:r>
      <w:r w:rsidR="0019504D" w:rsidRPr="00F20AAB">
        <w:rPr>
          <w:rFonts w:asciiTheme="majorBidi" w:hAnsiTheme="majorBidi" w:cstheme="majorBidi"/>
          <w:lang w:val="en-US"/>
        </w:rPr>
        <w:t>.</w:t>
      </w:r>
      <w:r w:rsidR="006F6FA4" w:rsidRPr="00F20AAB">
        <w:rPr>
          <w:rFonts w:asciiTheme="majorBidi" w:hAnsiTheme="majorBidi" w:cstheme="majorBidi"/>
          <w:lang w:val="en-US"/>
        </w:rPr>
        <w:t>1</w:t>
      </w:r>
      <w:r w:rsidR="0019504D" w:rsidRPr="00F20AAB">
        <w:rPr>
          <w:rFonts w:asciiTheme="majorBidi" w:hAnsiTheme="majorBidi" w:cstheme="majorBidi"/>
          <w:lang w:val="en-US"/>
        </w:rPr>
        <w:t>.2025</w:t>
      </w:r>
    </w:p>
    <w:p w14:paraId="080E532F" w14:textId="0A5097C7" w:rsidR="0019504D" w:rsidRPr="008B267D" w:rsidRDefault="00637F36">
      <w:pPr>
        <w:rPr>
          <w:rFonts w:asciiTheme="majorBidi" w:hAnsiTheme="majorBidi" w:cstheme="majorBidi"/>
          <w:lang w:val="en-US"/>
        </w:rPr>
      </w:pPr>
      <w:r w:rsidRPr="00F20AAB">
        <w:rPr>
          <w:rFonts w:asciiTheme="majorBidi" w:hAnsiTheme="majorBidi" w:cstheme="majorBidi"/>
          <w:lang w:val="en-US"/>
        </w:rPr>
        <w:br/>
        <w:t>Student Name:</w:t>
      </w:r>
      <w:r w:rsidR="008B267D">
        <w:rPr>
          <w:rFonts w:asciiTheme="majorBidi" w:hAnsiTheme="majorBidi" w:cstheme="majorBidi"/>
          <w:lang w:val="en-US"/>
        </w:rPr>
        <w:t xml:space="preserve"> Hardyal </w:t>
      </w:r>
      <w:proofErr w:type="spellStart"/>
      <w:r w:rsidR="008B267D">
        <w:rPr>
          <w:rFonts w:asciiTheme="majorBidi" w:hAnsiTheme="majorBidi" w:cstheme="majorBidi"/>
          <w:lang w:val="en-US"/>
        </w:rPr>
        <w:t>Hardyal</w:t>
      </w:r>
      <w:proofErr w:type="spellEnd"/>
    </w:p>
    <w:p w14:paraId="2899D511" w14:textId="77777777" w:rsidR="0019504D" w:rsidRPr="00F20AAB" w:rsidRDefault="0019504D">
      <w:pPr>
        <w:rPr>
          <w:rFonts w:asciiTheme="majorBidi" w:hAnsiTheme="majorBidi" w:cstheme="majorBidi"/>
        </w:rPr>
      </w:pPr>
    </w:p>
    <w:p w14:paraId="308FC059" w14:textId="77777777" w:rsidR="0019504D" w:rsidRPr="00F20AAB" w:rsidRDefault="0019504D">
      <w:pPr>
        <w:rPr>
          <w:rFonts w:asciiTheme="majorBidi" w:hAnsiTheme="majorBidi" w:cstheme="majorBidi"/>
        </w:rPr>
      </w:pPr>
    </w:p>
    <w:p w14:paraId="15D2E1A3" w14:textId="77777777" w:rsidR="00CD620A" w:rsidRPr="00F20AAB" w:rsidRDefault="00CD620A">
      <w:pPr>
        <w:rPr>
          <w:rFonts w:asciiTheme="majorBidi" w:hAnsiTheme="majorBidi" w:cstheme="majorBidi"/>
        </w:rPr>
      </w:pPr>
    </w:p>
    <w:p w14:paraId="5626F2BF" w14:textId="77777777" w:rsidR="009673A4" w:rsidRPr="00F20AAB" w:rsidRDefault="009673A4">
      <w:pPr>
        <w:rPr>
          <w:rFonts w:asciiTheme="majorBidi" w:hAnsiTheme="majorBidi" w:cstheme="majorBidi"/>
        </w:rPr>
      </w:pPr>
    </w:p>
    <w:p w14:paraId="2F3B5CA2" w14:textId="77777777" w:rsidR="009673A4" w:rsidRPr="00F20AAB" w:rsidRDefault="009673A4">
      <w:pPr>
        <w:rPr>
          <w:rFonts w:asciiTheme="majorBidi" w:hAnsiTheme="majorBidi" w:cstheme="majorBidi"/>
        </w:rPr>
      </w:pPr>
    </w:p>
    <w:p w14:paraId="135D8520" w14:textId="77777777" w:rsidR="009673A4" w:rsidRPr="00F20AAB" w:rsidRDefault="009673A4">
      <w:pPr>
        <w:rPr>
          <w:rFonts w:asciiTheme="majorBidi" w:hAnsiTheme="majorBidi" w:cstheme="majorBidi"/>
        </w:rPr>
      </w:pPr>
    </w:p>
    <w:p w14:paraId="05C8E10A" w14:textId="77777777" w:rsidR="009673A4" w:rsidRPr="00F20AAB" w:rsidRDefault="009673A4">
      <w:pPr>
        <w:rPr>
          <w:rFonts w:asciiTheme="majorBidi" w:hAnsiTheme="majorBidi" w:cstheme="majorBidi"/>
        </w:rPr>
      </w:pPr>
    </w:p>
    <w:p w14:paraId="066DE9E5" w14:textId="77777777" w:rsidR="009673A4" w:rsidRPr="00F20AAB" w:rsidRDefault="009673A4">
      <w:pPr>
        <w:rPr>
          <w:rFonts w:asciiTheme="majorBidi" w:hAnsiTheme="majorBidi" w:cstheme="majorBidi"/>
        </w:rPr>
      </w:pPr>
    </w:p>
    <w:p w14:paraId="41B29E94" w14:textId="77777777" w:rsidR="009673A4" w:rsidRPr="00F20AAB" w:rsidRDefault="009673A4">
      <w:pPr>
        <w:rPr>
          <w:rFonts w:asciiTheme="majorBidi" w:hAnsiTheme="majorBidi" w:cstheme="majorBidi"/>
        </w:rPr>
      </w:pPr>
    </w:p>
    <w:p w14:paraId="7C7A69EE" w14:textId="77777777" w:rsidR="009673A4" w:rsidRPr="00F20AAB" w:rsidRDefault="009673A4">
      <w:pPr>
        <w:rPr>
          <w:rFonts w:asciiTheme="majorBidi" w:hAnsiTheme="majorBidi" w:cstheme="majorBidi"/>
        </w:rPr>
      </w:pPr>
    </w:p>
    <w:p w14:paraId="7F3ECB50" w14:textId="77777777" w:rsidR="00237278" w:rsidRPr="00F20AAB" w:rsidRDefault="00CD620A" w:rsidP="00237278">
      <w:pPr>
        <w:spacing w:line="276" w:lineRule="auto"/>
        <w:rPr>
          <w:rFonts w:asciiTheme="majorBidi" w:hAnsiTheme="majorBidi" w:cstheme="majorBidi"/>
          <w:b/>
          <w:bCs/>
          <w:lang w:val="en-US"/>
        </w:rPr>
      </w:pPr>
      <w:r w:rsidRPr="00F20AAB">
        <w:rPr>
          <w:rFonts w:asciiTheme="majorBidi" w:hAnsiTheme="majorBidi" w:cstheme="majorBidi"/>
          <w:b/>
          <w:bCs/>
          <w:lang w:val="en-US"/>
        </w:rPr>
        <w:t xml:space="preserve">In no more than </w:t>
      </w:r>
      <w:r w:rsidR="00D92F0A" w:rsidRPr="00F20AAB">
        <w:rPr>
          <w:rFonts w:asciiTheme="majorBidi" w:hAnsiTheme="majorBidi" w:cstheme="majorBidi"/>
          <w:b/>
          <w:bCs/>
          <w:lang w:val="en-US"/>
        </w:rPr>
        <w:t>1</w:t>
      </w:r>
      <w:r w:rsidR="00795108" w:rsidRPr="00F20AAB">
        <w:rPr>
          <w:rFonts w:asciiTheme="majorBidi" w:hAnsiTheme="majorBidi" w:cstheme="majorBidi"/>
          <w:b/>
          <w:bCs/>
          <w:lang w:val="en-US"/>
        </w:rPr>
        <w:t>000</w:t>
      </w:r>
      <w:r w:rsidRPr="00F20AAB">
        <w:rPr>
          <w:rFonts w:asciiTheme="majorBidi" w:hAnsiTheme="majorBidi" w:cstheme="majorBidi"/>
          <w:b/>
          <w:bCs/>
          <w:lang w:val="en-US"/>
        </w:rPr>
        <w:t xml:space="preserve"> words,</w:t>
      </w:r>
      <w:r w:rsidR="00795108" w:rsidRPr="00F20AAB">
        <w:rPr>
          <w:rFonts w:asciiTheme="majorBidi" w:hAnsiTheme="majorBidi" w:cstheme="majorBidi"/>
          <w:b/>
          <w:bCs/>
          <w:lang w:val="en-US"/>
        </w:rPr>
        <w:t xml:space="preserve"> and 2-3 refer</w:t>
      </w:r>
      <w:r w:rsidR="009673A4" w:rsidRPr="00F20AAB">
        <w:rPr>
          <w:rFonts w:asciiTheme="majorBidi" w:hAnsiTheme="majorBidi" w:cstheme="majorBidi"/>
          <w:b/>
          <w:bCs/>
          <w:lang w:val="en-US"/>
        </w:rPr>
        <w:t>e</w:t>
      </w:r>
      <w:r w:rsidR="00795108" w:rsidRPr="00F20AAB">
        <w:rPr>
          <w:rFonts w:asciiTheme="majorBidi" w:hAnsiTheme="majorBidi" w:cstheme="majorBidi"/>
          <w:b/>
          <w:bCs/>
          <w:lang w:val="en-US"/>
        </w:rPr>
        <w:t>nces,</w:t>
      </w:r>
      <w:r w:rsidRPr="00F20AAB">
        <w:rPr>
          <w:rFonts w:asciiTheme="majorBidi" w:hAnsiTheme="majorBidi" w:cstheme="majorBidi"/>
          <w:b/>
          <w:bCs/>
          <w:lang w:val="en-US"/>
        </w:rPr>
        <w:t xml:space="preserve"> </w:t>
      </w:r>
      <w:r w:rsidR="00237278" w:rsidRPr="00F20AAB">
        <w:rPr>
          <w:rFonts w:asciiTheme="majorBidi" w:hAnsiTheme="majorBidi" w:cstheme="majorBidi"/>
          <w:b/>
          <w:bCs/>
          <w:lang w:val="en-US"/>
        </w:rPr>
        <w:t>explain</w:t>
      </w:r>
      <w:r w:rsidR="009673A4" w:rsidRPr="00F20AAB">
        <w:rPr>
          <w:rFonts w:asciiTheme="majorBidi" w:hAnsiTheme="majorBidi" w:cstheme="majorBidi"/>
          <w:b/>
          <w:bCs/>
          <w:lang w:val="en-US"/>
        </w:rPr>
        <w:t xml:space="preserve"> one of the two following questions</w:t>
      </w:r>
      <w:r w:rsidR="00237278" w:rsidRPr="00F20AAB">
        <w:rPr>
          <w:rFonts w:asciiTheme="majorBidi" w:hAnsiTheme="majorBidi" w:cstheme="majorBidi"/>
          <w:b/>
          <w:bCs/>
          <w:lang w:val="en-US"/>
        </w:rPr>
        <w:t>:</w:t>
      </w:r>
    </w:p>
    <w:p w14:paraId="270AC602" w14:textId="77777777" w:rsidR="00237278" w:rsidRPr="00F20AAB" w:rsidRDefault="00237278" w:rsidP="00237278">
      <w:pPr>
        <w:spacing w:line="276" w:lineRule="auto"/>
        <w:rPr>
          <w:rFonts w:asciiTheme="majorBidi" w:hAnsiTheme="majorBidi" w:cstheme="majorBidi"/>
          <w:b/>
          <w:bCs/>
          <w:lang w:val="en-US"/>
        </w:rPr>
      </w:pPr>
    </w:p>
    <w:p w14:paraId="635AFDA3" w14:textId="77777777" w:rsidR="009673A4" w:rsidRPr="00F20AAB" w:rsidRDefault="009673A4" w:rsidP="009673A4">
      <w:pPr>
        <w:pStyle w:val="ListParagraph"/>
        <w:numPr>
          <w:ilvl w:val="0"/>
          <w:numId w:val="11"/>
        </w:numPr>
        <w:spacing w:line="276" w:lineRule="auto"/>
        <w:rPr>
          <w:rFonts w:asciiTheme="majorBidi" w:hAnsiTheme="majorBidi" w:cstheme="majorBidi"/>
          <w:lang w:val="en-US"/>
        </w:rPr>
      </w:pPr>
      <w:r w:rsidRPr="00F20AAB">
        <w:rPr>
          <w:rFonts w:asciiTheme="majorBidi" w:hAnsiTheme="majorBidi" w:cstheme="majorBidi"/>
          <w:lang w:val="en-US"/>
        </w:rPr>
        <w:t>How can tourism accelerate cultural homogenization in host communities?</w:t>
      </w:r>
    </w:p>
    <w:p w14:paraId="34C137EC" w14:textId="77777777" w:rsidR="00795108" w:rsidRPr="00F20AAB" w:rsidRDefault="009673A4" w:rsidP="009673A4">
      <w:pPr>
        <w:pStyle w:val="ListParagraph"/>
        <w:numPr>
          <w:ilvl w:val="0"/>
          <w:numId w:val="11"/>
        </w:numPr>
        <w:spacing w:line="276" w:lineRule="auto"/>
        <w:rPr>
          <w:rFonts w:asciiTheme="majorBidi" w:hAnsiTheme="majorBidi" w:cstheme="majorBidi"/>
          <w:lang w:val="en-US"/>
        </w:rPr>
      </w:pPr>
      <w:r w:rsidRPr="00F20AAB">
        <w:rPr>
          <w:rFonts w:asciiTheme="majorBidi" w:hAnsiTheme="majorBidi" w:cstheme="majorBidi"/>
          <w:lang w:val="en-US"/>
        </w:rPr>
        <w:t>What strategies can tourism businesses use to survive during commercial disruptions (pandemics, recessions)?</w:t>
      </w:r>
    </w:p>
    <w:p w14:paraId="06F33996" w14:textId="77777777" w:rsidR="00F20AAB" w:rsidRPr="00F20AAB" w:rsidRDefault="00F20AAB" w:rsidP="00F20AAB">
      <w:pPr>
        <w:pStyle w:val="ListParagraph"/>
        <w:spacing w:line="276" w:lineRule="auto"/>
        <w:rPr>
          <w:rFonts w:asciiTheme="majorBidi" w:hAnsiTheme="majorBidi" w:cstheme="majorBidi"/>
          <w:lang w:val="en-US"/>
        </w:rPr>
      </w:pPr>
    </w:p>
    <w:p w14:paraId="3C6F18DF" w14:textId="77777777" w:rsidR="00F20AAB" w:rsidRPr="00F20AAB" w:rsidRDefault="00F20AAB" w:rsidP="00F20AAB">
      <w:pPr>
        <w:pStyle w:val="ListParagraph"/>
        <w:spacing w:line="276" w:lineRule="auto"/>
        <w:rPr>
          <w:rFonts w:asciiTheme="majorBidi" w:hAnsiTheme="majorBidi" w:cstheme="majorBidi"/>
          <w:lang w:val="en-US"/>
        </w:rPr>
      </w:pPr>
    </w:p>
    <w:p w14:paraId="3687E594" w14:textId="77777777" w:rsidR="00F20AAB" w:rsidRPr="00F20AAB" w:rsidRDefault="00F20AAB" w:rsidP="00F20AAB">
      <w:pPr>
        <w:pStyle w:val="ListParagraph"/>
        <w:spacing w:line="276" w:lineRule="auto"/>
        <w:rPr>
          <w:rFonts w:asciiTheme="majorBidi" w:hAnsiTheme="majorBidi" w:cstheme="majorBidi"/>
          <w:lang w:val="en-US"/>
        </w:rPr>
      </w:pPr>
    </w:p>
    <w:p w14:paraId="28B9EED8" w14:textId="77777777" w:rsidR="00F20AAB" w:rsidRPr="00F20AAB" w:rsidRDefault="00F20AAB" w:rsidP="00F20AAB">
      <w:pPr>
        <w:pStyle w:val="ListParagraph"/>
        <w:spacing w:line="276" w:lineRule="auto"/>
        <w:rPr>
          <w:rFonts w:asciiTheme="majorBidi" w:hAnsiTheme="majorBidi" w:cstheme="majorBidi"/>
          <w:lang w:val="en-US"/>
        </w:rPr>
      </w:pPr>
    </w:p>
    <w:p w14:paraId="01991D99" w14:textId="77777777" w:rsidR="00F20AAB" w:rsidRPr="00F20AAB" w:rsidRDefault="00F20AAB" w:rsidP="00F20AAB">
      <w:pPr>
        <w:pStyle w:val="ListParagraph"/>
        <w:spacing w:line="276" w:lineRule="auto"/>
        <w:rPr>
          <w:rFonts w:asciiTheme="majorBidi" w:hAnsiTheme="majorBidi" w:cstheme="majorBidi"/>
          <w:lang w:val="en-US"/>
        </w:rPr>
      </w:pPr>
    </w:p>
    <w:p w14:paraId="31814A04" w14:textId="77777777" w:rsidR="00F20AAB" w:rsidRPr="00F20AAB" w:rsidRDefault="00F20AAB" w:rsidP="00F20AAB">
      <w:pPr>
        <w:pStyle w:val="ListParagraph"/>
        <w:spacing w:line="276" w:lineRule="auto"/>
        <w:rPr>
          <w:rFonts w:asciiTheme="majorBidi" w:hAnsiTheme="majorBidi" w:cstheme="majorBidi"/>
          <w:lang w:val="en-US"/>
        </w:rPr>
      </w:pPr>
    </w:p>
    <w:p w14:paraId="741B47F8" w14:textId="77777777" w:rsidR="00F20AAB" w:rsidRPr="00F20AAB" w:rsidRDefault="00F20AAB" w:rsidP="00F20AAB">
      <w:pPr>
        <w:pStyle w:val="ListParagraph"/>
        <w:spacing w:line="276" w:lineRule="auto"/>
        <w:rPr>
          <w:rFonts w:asciiTheme="majorBidi" w:hAnsiTheme="majorBidi" w:cstheme="majorBidi"/>
          <w:lang w:val="en-US"/>
        </w:rPr>
      </w:pPr>
    </w:p>
    <w:p w14:paraId="3435386D" w14:textId="77777777" w:rsidR="00F20AAB" w:rsidRPr="00F20AAB" w:rsidRDefault="00F20AAB" w:rsidP="00F20AAB">
      <w:pPr>
        <w:pStyle w:val="ListParagraph"/>
        <w:spacing w:line="276" w:lineRule="auto"/>
        <w:rPr>
          <w:rFonts w:asciiTheme="majorBidi" w:hAnsiTheme="majorBidi" w:cstheme="majorBidi"/>
          <w:lang w:val="en-US"/>
        </w:rPr>
      </w:pPr>
    </w:p>
    <w:p w14:paraId="592ECCBB" w14:textId="77777777" w:rsidR="00F20AAB" w:rsidRPr="00F20AAB" w:rsidRDefault="00F20AAB" w:rsidP="00F20AAB">
      <w:pPr>
        <w:pStyle w:val="ListParagraph"/>
        <w:spacing w:line="276" w:lineRule="auto"/>
        <w:rPr>
          <w:rFonts w:asciiTheme="majorBidi" w:hAnsiTheme="majorBidi" w:cstheme="majorBidi"/>
          <w:lang w:val="en-US"/>
        </w:rPr>
      </w:pPr>
    </w:p>
    <w:p w14:paraId="511E651A" w14:textId="77777777" w:rsidR="00F20AAB" w:rsidRPr="00F20AAB" w:rsidRDefault="00F20AAB" w:rsidP="00F20AAB">
      <w:pPr>
        <w:pStyle w:val="ListParagraph"/>
        <w:spacing w:line="276" w:lineRule="auto"/>
        <w:rPr>
          <w:rFonts w:asciiTheme="majorBidi" w:hAnsiTheme="majorBidi" w:cstheme="majorBidi"/>
          <w:lang w:val="en-US"/>
        </w:rPr>
      </w:pPr>
    </w:p>
    <w:p w14:paraId="6791023A" w14:textId="77777777" w:rsidR="00F20AAB" w:rsidRPr="00F20AAB" w:rsidRDefault="00F20AAB" w:rsidP="00F20AAB">
      <w:pPr>
        <w:pStyle w:val="ListParagraph"/>
        <w:spacing w:line="276" w:lineRule="auto"/>
        <w:rPr>
          <w:rFonts w:asciiTheme="majorBidi" w:hAnsiTheme="majorBidi" w:cstheme="majorBidi"/>
          <w:lang w:val="en-US"/>
        </w:rPr>
      </w:pPr>
    </w:p>
    <w:p w14:paraId="03999BE3" w14:textId="77777777" w:rsidR="00F20AAB" w:rsidRPr="00F20AAB" w:rsidRDefault="00F20AAB" w:rsidP="00F20AAB">
      <w:pPr>
        <w:pStyle w:val="ListParagraph"/>
        <w:spacing w:line="276" w:lineRule="auto"/>
        <w:rPr>
          <w:rFonts w:asciiTheme="majorBidi" w:hAnsiTheme="majorBidi" w:cstheme="majorBidi"/>
          <w:lang w:val="en-US"/>
        </w:rPr>
      </w:pPr>
    </w:p>
    <w:p w14:paraId="4A741C30" w14:textId="77777777" w:rsidR="00F20AAB" w:rsidRPr="00F20AAB" w:rsidRDefault="00F20AAB" w:rsidP="00F20AAB">
      <w:pPr>
        <w:pStyle w:val="ListParagraph"/>
        <w:spacing w:line="276" w:lineRule="auto"/>
        <w:rPr>
          <w:rFonts w:asciiTheme="majorBidi" w:hAnsiTheme="majorBidi" w:cstheme="majorBidi"/>
          <w:lang w:val="en-US"/>
        </w:rPr>
      </w:pPr>
    </w:p>
    <w:p w14:paraId="7D9527ED" w14:textId="77777777" w:rsidR="00F20AAB" w:rsidRPr="00F20AAB" w:rsidRDefault="00F20AAB" w:rsidP="00F20AAB">
      <w:pPr>
        <w:pStyle w:val="ListParagraph"/>
        <w:spacing w:line="276" w:lineRule="auto"/>
        <w:rPr>
          <w:rFonts w:asciiTheme="majorBidi" w:hAnsiTheme="majorBidi" w:cstheme="majorBidi"/>
          <w:lang w:val="en-US"/>
        </w:rPr>
      </w:pPr>
    </w:p>
    <w:p w14:paraId="7FA17571" w14:textId="77777777" w:rsidR="00F20AAB" w:rsidRPr="00F20AAB" w:rsidRDefault="00F20AAB" w:rsidP="00F20AAB">
      <w:pPr>
        <w:pStyle w:val="ListParagraph"/>
        <w:spacing w:line="276" w:lineRule="auto"/>
        <w:rPr>
          <w:rFonts w:asciiTheme="majorBidi" w:hAnsiTheme="majorBidi" w:cstheme="majorBidi"/>
          <w:lang w:val="en-US"/>
        </w:rPr>
      </w:pPr>
    </w:p>
    <w:p w14:paraId="192EEF9A" w14:textId="77777777" w:rsidR="00F20AAB" w:rsidRDefault="00F20AAB" w:rsidP="00F20AAB">
      <w:pPr>
        <w:pStyle w:val="ListParagraph"/>
        <w:spacing w:line="276" w:lineRule="auto"/>
        <w:rPr>
          <w:rFonts w:asciiTheme="majorBidi" w:hAnsiTheme="majorBidi" w:cstheme="majorBidi"/>
          <w:lang w:val="en-US"/>
        </w:rPr>
      </w:pPr>
    </w:p>
    <w:p w14:paraId="6B469467" w14:textId="77777777" w:rsidR="00F20AAB" w:rsidRDefault="00F20AAB" w:rsidP="00F20AAB">
      <w:pPr>
        <w:pStyle w:val="ListParagraph"/>
        <w:spacing w:line="276" w:lineRule="auto"/>
        <w:rPr>
          <w:rFonts w:asciiTheme="majorBidi" w:hAnsiTheme="majorBidi" w:cstheme="majorBidi"/>
          <w:lang w:val="en-US"/>
        </w:rPr>
      </w:pPr>
    </w:p>
    <w:p w14:paraId="0FC2CCCC" w14:textId="77777777" w:rsidR="00234527" w:rsidRDefault="00234527" w:rsidP="00F20AAB">
      <w:pPr>
        <w:pStyle w:val="ListParagraph"/>
        <w:spacing w:line="276" w:lineRule="auto"/>
        <w:rPr>
          <w:rFonts w:asciiTheme="majorBidi" w:hAnsiTheme="majorBidi" w:cstheme="majorBidi"/>
          <w:lang w:val="en-US"/>
        </w:rPr>
      </w:pPr>
    </w:p>
    <w:p w14:paraId="6E1452EB" w14:textId="77777777" w:rsidR="00F20AAB" w:rsidRDefault="00F20AAB" w:rsidP="00F20AAB">
      <w:pPr>
        <w:pStyle w:val="ListParagraph"/>
        <w:spacing w:line="276" w:lineRule="auto"/>
        <w:rPr>
          <w:rFonts w:asciiTheme="majorBidi" w:hAnsiTheme="majorBidi" w:cstheme="majorBidi"/>
          <w:lang w:val="en-US"/>
        </w:rPr>
      </w:pPr>
    </w:p>
    <w:p w14:paraId="3E18EFB4" w14:textId="77777777" w:rsidR="00F20AAB" w:rsidRPr="00F20AAB" w:rsidRDefault="00F20AAB" w:rsidP="00F20AAB">
      <w:pPr>
        <w:pStyle w:val="ListParagraph"/>
        <w:spacing w:line="276" w:lineRule="auto"/>
        <w:rPr>
          <w:rFonts w:asciiTheme="majorBidi" w:hAnsiTheme="majorBidi" w:cstheme="majorBidi"/>
          <w:lang w:val="en-US"/>
        </w:rPr>
      </w:pPr>
    </w:p>
    <w:p w14:paraId="0870BF2E" w14:textId="77777777" w:rsidR="00F20AAB" w:rsidRDefault="00F20AAB" w:rsidP="00F20AAB">
      <w:pPr>
        <w:pStyle w:val="ListParagraph"/>
        <w:spacing w:line="276" w:lineRule="auto"/>
        <w:rPr>
          <w:rFonts w:asciiTheme="majorBidi" w:hAnsiTheme="majorBidi" w:cstheme="majorBidi"/>
          <w:lang w:val="en-US"/>
        </w:rPr>
      </w:pPr>
    </w:p>
    <w:p w14:paraId="2F8B7E4E" w14:textId="77777777" w:rsidR="00234527" w:rsidRPr="00F20AAB" w:rsidRDefault="00234527" w:rsidP="00F20AAB">
      <w:pPr>
        <w:pStyle w:val="ListParagraph"/>
        <w:spacing w:line="276" w:lineRule="auto"/>
        <w:rPr>
          <w:rFonts w:asciiTheme="majorBidi" w:hAnsiTheme="majorBidi" w:cstheme="majorBidi"/>
          <w:lang w:val="en-US"/>
        </w:rPr>
      </w:pPr>
    </w:p>
    <w:p w14:paraId="3867F0D1" w14:textId="77777777" w:rsidR="00F20AAB" w:rsidRPr="00F20AAB" w:rsidRDefault="00F20AAB" w:rsidP="00F20AAB">
      <w:pPr>
        <w:pStyle w:val="ListParagraph"/>
        <w:spacing w:line="276" w:lineRule="auto"/>
        <w:rPr>
          <w:rFonts w:asciiTheme="majorBidi" w:hAnsiTheme="majorBidi" w:cstheme="majorBidi"/>
          <w:lang w:val="en-US"/>
        </w:rPr>
      </w:pPr>
    </w:p>
    <w:p w14:paraId="72F3B300" w14:textId="4795C3A3" w:rsidR="00C52269" w:rsidRPr="00C52269" w:rsidRDefault="00F92B2A" w:rsidP="00F20AAB">
      <w:pPr>
        <w:pStyle w:val="ListParagraph"/>
        <w:spacing w:line="276" w:lineRule="auto"/>
        <w:rPr>
          <w:rFonts w:asciiTheme="majorBidi" w:hAnsiTheme="majorBidi" w:cstheme="majorBidi"/>
          <w:lang w:val="en-US"/>
        </w:rPr>
      </w:pPr>
      <w:r w:rsidRPr="00F92B2A">
        <w:rPr>
          <w:rFonts w:asciiTheme="majorBidi" w:hAnsiTheme="majorBidi" w:cstheme="majorBidi"/>
          <w:b/>
          <w:bCs/>
        </w:rPr>
        <w:t>Tourism as a Driver of Cultural Homogenization in Host Communities</w:t>
      </w:r>
    </w:p>
    <w:p w14:paraId="5C1E79AF" w14:textId="77777777" w:rsidR="00F92B2A" w:rsidRPr="00F92B2A" w:rsidRDefault="00F92B2A" w:rsidP="00F92B2A">
      <w:pPr>
        <w:pStyle w:val="ListParagraph"/>
        <w:spacing w:line="276" w:lineRule="auto"/>
        <w:rPr>
          <w:rFonts w:asciiTheme="majorBidi" w:hAnsiTheme="majorBidi" w:cstheme="majorBidi"/>
        </w:rPr>
      </w:pPr>
      <w:r w:rsidRPr="00F92B2A">
        <w:rPr>
          <w:rFonts w:asciiTheme="majorBidi" w:hAnsiTheme="majorBidi" w:cstheme="majorBidi"/>
        </w:rPr>
        <w:lastRenderedPageBreak/>
        <w:t xml:space="preserve">Tourism promotes global mobility and cultural interaction, yet it also plays a major role in advancing </w:t>
      </w:r>
      <w:r w:rsidRPr="00F92B2A">
        <w:rPr>
          <w:rFonts w:asciiTheme="majorBidi" w:hAnsiTheme="majorBidi" w:cstheme="majorBidi"/>
          <w:b/>
          <w:bCs/>
        </w:rPr>
        <w:t>cultural homogenization</w:t>
      </w:r>
      <w:r w:rsidRPr="00F92B2A">
        <w:rPr>
          <w:rFonts w:asciiTheme="majorBidi" w:hAnsiTheme="majorBidi" w:cstheme="majorBidi"/>
        </w:rPr>
        <w:t>—a process through which unique cultural identities become increasingly similar across regions. As tourist flows surge and global consumer expectations intensify, local traditions, social practices, and built environments begin to resemble standardized global patterns. This essay examines how tourism accelerates cultural homogenization through cultural commodification, foreign investment pressures, lifestyle changes, and digital marketing influences.</w:t>
      </w:r>
    </w:p>
    <w:p w14:paraId="182F1202" w14:textId="77777777" w:rsidR="00F92B2A" w:rsidRPr="00F92B2A" w:rsidRDefault="00F92B2A" w:rsidP="00F92B2A">
      <w:pPr>
        <w:pStyle w:val="ListParagraph"/>
        <w:spacing w:line="276" w:lineRule="auto"/>
        <w:rPr>
          <w:rFonts w:asciiTheme="majorBidi" w:hAnsiTheme="majorBidi" w:cstheme="majorBidi"/>
        </w:rPr>
      </w:pPr>
      <w:r w:rsidRPr="00F92B2A">
        <w:rPr>
          <w:rFonts w:asciiTheme="majorBidi" w:hAnsiTheme="majorBidi" w:cstheme="majorBidi"/>
        </w:rPr>
        <w:t xml:space="preserve">A central driver of homogenization is the </w:t>
      </w:r>
      <w:r w:rsidRPr="00F92B2A">
        <w:rPr>
          <w:rFonts w:asciiTheme="majorBidi" w:hAnsiTheme="majorBidi" w:cstheme="majorBidi"/>
          <w:b/>
          <w:bCs/>
        </w:rPr>
        <w:t>commodification of culture</w:t>
      </w:r>
      <w:r w:rsidRPr="00F92B2A">
        <w:rPr>
          <w:rFonts w:asciiTheme="majorBidi" w:hAnsiTheme="majorBidi" w:cstheme="majorBidi"/>
        </w:rPr>
        <w:t>. As destinations develop tourism as an economic strategy, cultural symbols—rituals, dances, clothing, food, and crafts—are converted into products for sale. According to Greenwood (2019), when cultural elements become commodities, they often lose their original meaning and transform into simplified versions intended for tourist consumption. Communities alter performances to fit tourist schedules, shorten religious rituals, or mass-produce handicrafts. Over time, these altered versions become dominant, and authentic cultural expressions fade. In places like Kenya’s Maasai villages or Peru’s Andean communities, traditional dances have evolved into stylized shows, designed less for cultural continuity and more for visitor entertainment (Smith &amp; Robinson, 2020).</w:t>
      </w:r>
    </w:p>
    <w:p w14:paraId="60D28BA0" w14:textId="77777777" w:rsidR="00F92B2A" w:rsidRPr="00F92B2A" w:rsidRDefault="00F92B2A" w:rsidP="00F92B2A">
      <w:pPr>
        <w:pStyle w:val="ListParagraph"/>
        <w:spacing w:line="276" w:lineRule="auto"/>
        <w:rPr>
          <w:rFonts w:asciiTheme="majorBidi" w:hAnsiTheme="majorBidi" w:cstheme="majorBidi"/>
        </w:rPr>
      </w:pPr>
      <w:r w:rsidRPr="00F92B2A">
        <w:rPr>
          <w:rFonts w:asciiTheme="majorBidi" w:hAnsiTheme="majorBidi" w:cstheme="majorBidi"/>
        </w:rPr>
        <w:t xml:space="preserve">The global tourism industry also introduces </w:t>
      </w:r>
      <w:r w:rsidRPr="00F92B2A">
        <w:rPr>
          <w:rFonts w:asciiTheme="majorBidi" w:hAnsiTheme="majorBidi" w:cstheme="majorBidi"/>
          <w:b/>
          <w:bCs/>
        </w:rPr>
        <w:t>international brands and corporate structures</w:t>
      </w:r>
      <w:r w:rsidRPr="00F92B2A">
        <w:rPr>
          <w:rFonts w:asciiTheme="majorBidi" w:hAnsiTheme="majorBidi" w:cstheme="majorBidi"/>
        </w:rPr>
        <w:t>, which reduce local commercial diversity. Hotels, resorts, transportation companies, and restaurant chains replicate the same services worldwide. As multinational businesses expand, local firms often adopt similar branding strategies, interior designs, and service models to remain competitive. Edensor (2018) argues that this creates a predictable “global tourism aesthetic,” leading destinations to resemble one another regardless of geography. For example, the rise of chain cafés, American fast-food restaurants, and standardized souvenir shops in cities such as Phuket, Cancún, and Barcelona demonstrates how globalized consumerism overshadows local commerce. As locals increasingly consume these global products, traditional foodways, markets, and small artisanal shops decline.</w:t>
      </w:r>
    </w:p>
    <w:p w14:paraId="08435C1C" w14:textId="77777777" w:rsidR="00F92B2A" w:rsidRPr="00F92B2A" w:rsidRDefault="00F92B2A" w:rsidP="00F92B2A">
      <w:pPr>
        <w:pStyle w:val="ListParagraph"/>
        <w:spacing w:line="276" w:lineRule="auto"/>
        <w:rPr>
          <w:rFonts w:asciiTheme="majorBidi" w:hAnsiTheme="majorBidi" w:cstheme="majorBidi"/>
        </w:rPr>
      </w:pPr>
      <w:r w:rsidRPr="00F92B2A">
        <w:rPr>
          <w:rFonts w:asciiTheme="majorBidi" w:hAnsiTheme="majorBidi" w:cstheme="majorBidi"/>
        </w:rPr>
        <w:t xml:space="preserve">Tourism influences cultural homogenization through </w:t>
      </w:r>
      <w:r w:rsidRPr="00F92B2A">
        <w:rPr>
          <w:rFonts w:asciiTheme="majorBidi" w:hAnsiTheme="majorBidi" w:cstheme="majorBidi"/>
          <w:b/>
          <w:bCs/>
        </w:rPr>
        <w:t>changes in local lifestyle and identity</w:t>
      </w:r>
      <w:r w:rsidRPr="00F92B2A">
        <w:rPr>
          <w:rFonts w:asciiTheme="majorBidi" w:hAnsiTheme="majorBidi" w:cstheme="majorBidi"/>
        </w:rPr>
        <w:t xml:space="preserve">. Constant interaction with tourists encourages residents—especially young people—to adopt new fashion trends, languages, leisure activities, and technological habits. Research by </w:t>
      </w:r>
      <w:proofErr w:type="spellStart"/>
      <w:r w:rsidRPr="00F92B2A">
        <w:rPr>
          <w:rFonts w:asciiTheme="majorBidi" w:hAnsiTheme="majorBidi" w:cstheme="majorBidi"/>
        </w:rPr>
        <w:t>Mbaiwa</w:t>
      </w:r>
      <w:proofErr w:type="spellEnd"/>
      <w:r w:rsidRPr="00F92B2A">
        <w:rPr>
          <w:rFonts w:asciiTheme="majorBidi" w:hAnsiTheme="majorBidi" w:cstheme="majorBidi"/>
        </w:rPr>
        <w:t xml:space="preserve"> (2022) reveals that host communities exposed to high levels of tourism gradually shift toward Westernized consumer values, reducing reliance on traditional practices. These changes affect music preferences, clothing styles, gender norms, and social aspirations. For instance, youth in Bali, Jamaica, and Morocco increasingly adopt Western fashion brands, nightlife culture, and social media aesthetics inspired by tourism workers and visitors. This shift contributes to a weaker connection to heritage, as younger generations prioritize global modernity over cultural continuity.</w:t>
      </w:r>
    </w:p>
    <w:p w14:paraId="1B314FA1" w14:textId="77777777" w:rsidR="00F92B2A" w:rsidRPr="00F92B2A" w:rsidRDefault="00F92B2A" w:rsidP="00F92B2A">
      <w:pPr>
        <w:pStyle w:val="ListParagraph"/>
        <w:spacing w:line="276" w:lineRule="auto"/>
        <w:rPr>
          <w:rFonts w:asciiTheme="majorBidi" w:hAnsiTheme="majorBidi" w:cstheme="majorBidi"/>
        </w:rPr>
      </w:pPr>
      <w:r w:rsidRPr="00F92B2A">
        <w:rPr>
          <w:rFonts w:asciiTheme="majorBidi" w:hAnsiTheme="majorBidi" w:cstheme="majorBidi"/>
        </w:rPr>
        <w:t xml:space="preserve">Physical spaces also undergo homogenization. Tourism development reshapes </w:t>
      </w:r>
      <w:r w:rsidRPr="00F92B2A">
        <w:rPr>
          <w:rFonts w:asciiTheme="majorBidi" w:hAnsiTheme="majorBidi" w:cstheme="majorBidi"/>
          <w:b/>
          <w:bCs/>
        </w:rPr>
        <w:t>landscapes and architectural identities</w:t>
      </w:r>
      <w:r w:rsidRPr="00F92B2A">
        <w:rPr>
          <w:rFonts w:asciiTheme="majorBidi" w:hAnsiTheme="majorBidi" w:cstheme="majorBidi"/>
        </w:rPr>
        <w:t xml:space="preserve">, replacing traditional structures with modern buildings that follow global standards. Investments in resorts, shopping complexes, and entertainment districts often disregard local architectural forms. As Saarinen </w:t>
      </w:r>
      <w:r w:rsidRPr="00F92B2A">
        <w:rPr>
          <w:rFonts w:asciiTheme="majorBidi" w:hAnsiTheme="majorBidi" w:cstheme="majorBidi"/>
        </w:rPr>
        <w:lastRenderedPageBreak/>
        <w:t>(2020) notes, the built environment in many tourism-heavy regions now follows standardized resort-style models—luxury villas, glass-front hotels, and themed shopping streets—resembling destinations worldwide. Traditional houses, rural villages, and heritage sites may be reconstructed or repurposed to appeal to tourists, further blurring cultural distinctiveness. This type of “placeless architecture” contributes to the sense that many popular destinations feel interchangeable.</w:t>
      </w:r>
    </w:p>
    <w:p w14:paraId="4DC88278" w14:textId="77777777" w:rsidR="00F92B2A" w:rsidRPr="00F92B2A" w:rsidRDefault="00F92B2A" w:rsidP="00F92B2A">
      <w:pPr>
        <w:pStyle w:val="ListParagraph"/>
        <w:spacing w:line="276" w:lineRule="auto"/>
        <w:rPr>
          <w:rFonts w:asciiTheme="majorBidi" w:hAnsiTheme="majorBidi" w:cstheme="majorBidi"/>
        </w:rPr>
      </w:pPr>
      <w:r w:rsidRPr="00F92B2A">
        <w:rPr>
          <w:rFonts w:asciiTheme="majorBidi" w:hAnsiTheme="majorBidi" w:cstheme="majorBidi"/>
        </w:rPr>
        <w:t xml:space="preserve">Digital technologies intensify homogenization by promoting uniform global tastes. Social media platforms—especially Instagram, TikTok, and YouTube—frame certain visual aesthetics as desirable. Destinations replicate </w:t>
      </w:r>
      <w:proofErr w:type="gramStart"/>
      <w:r w:rsidRPr="00F92B2A">
        <w:rPr>
          <w:rFonts w:asciiTheme="majorBidi" w:hAnsiTheme="majorBidi" w:cstheme="majorBidi"/>
        </w:rPr>
        <w:t>these aesthetics</w:t>
      </w:r>
      <w:proofErr w:type="gramEnd"/>
      <w:r w:rsidRPr="00F92B2A">
        <w:rPr>
          <w:rFonts w:asciiTheme="majorBidi" w:hAnsiTheme="majorBidi" w:cstheme="majorBidi"/>
        </w:rPr>
        <w:t xml:space="preserve"> to attract online visibility, which then shapes how communities present their culture. According to Zeng and Gerritsen (2014), digital media portrays similar images of beaches, cafés, festivals, and cultural activities, contributing to standardized tourist expectations. As local businesses adapt to these global trends, they may redesign their cultural spaces—restaurants, boutique hotels, cultural </w:t>
      </w:r>
      <w:proofErr w:type="spellStart"/>
      <w:r w:rsidRPr="00F92B2A">
        <w:rPr>
          <w:rFonts w:asciiTheme="majorBidi" w:hAnsiTheme="majorBidi" w:cstheme="majorBidi"/>
        </w:rPr>
        <w:t>centers</w:t>
      </w:r>
      <w:proofErr w:type="spellEnd"/>
      <w:r w:rsidRPr="00F92B2A">
        <w:rPr>
          <w:rFonts w:asciiTheme="majorBidi" w:hAnsiTheme="majorBidi" w:cstheme="majorBidi"/>
        </w:rPr>
        <w:t>—to match international visual standards. This prioritizes global appeal over local identity.</w:t>
      </w:r>
    </w:p>
    <w:p w14:paraId="20420B2A" w14:textId="77777777" w:rsidR="00F92B2A" w:rsidRPr="00F92B2A" w:rsidRDefault="00F92B2A" w:rsidP="00F92B2A">
      <w:pPr>
        <w:pStyle w:val="ListParagraph"/>
        <w:spacing w:line="276" w:lineRule="auto"/>
        <w:rPr>
          <w:rFonts w:asciiTheme="majorBidi" w:hAnsiTheme="majorBidi" w:cstheme="majorBidi"/>
        </w:rPr>
      </w:pPr>
      <w:r w:rsidRPr="00F92B2A">
        <w:rPr>
          <w:rFonts w:asciiTheme="majorBidi" w:hAnsiTheme="majorBidi" w:cstheme="majorBidi"/>
        </w:rPr>
        <w:t>Although cultural homogenization poses risks, it is not irreversible. Sustainable tourism strategies—such as community-based tourism, heritage protection, and locally controlled businesses—can protect cultural diversity. Governments can implement zoning regulations, support traditional artisans, and limit the spread of global franchises. Education programs that emphasize cultural pride and heritage skills can also counterbalance global influences. When tourism planning involves local communities, cultural preservation can coexist with economic benefits.</w:t>
      </w:r>
    </w:p>
    <w:p w14:paraId="20B30E5F" w14:textId="77777777" w:rsidR="00F92B2A" w:rsidRDefault="00F92B2A" w:rsidP="00F92B2A">
      <w:pPr>
        <w:pStyle w:val="ListParagraph"/>
        <w:spacing w:line="276" w:lineRule="auto"/>
        <w:rPr>
          <w:rFonts w:asciiTheme="majorBidi" w:hAnsiTheme="majorBidi" w:cstheme="majorBidi"/>
        </w:rPr>
      </w:pPr>
      <w:r w:rsidRPr="00F92B2A">
        <w:rPr>
          <w:rFonts w:asciiTheme="majorBidi" w:hAnsiTheme="majorBidi" w:cstheme="majorBidi"/>
        </w:rPr>
        <w:t>In conclusion, tourism accelerates cultural homogenization through the commercialization of culture, the dominance of multinational brands, shifts in lifestyle and identity, physical landscape transformation, and social media-driven aesthetic trends. These factors gradually standardize cultural expressions across destinations, weakening local uniqueness. However, with proactive cultural preservation policies, host communities can balance tourism growth with the protection of their heritage. Ensuring that tourism development is locally controlled and culturally sensitive remains essential to preventing the erosion of global cultural diversity.</w:t>
      </w:r>
    </w:p>
    <w:p w14:paraId="2F21A61E" w14:textId="77777777" w:rsidR="00F92B2A" w:rsidRDefault="00F92B2A" w:rsidP="00F92B2A">
      <w:pPr>
        <w:pStyle w:val="ListParagraph"/>
        <w:spacing w:line="276" w:lineRule="auto"/>
        <w:rPr>
          <w:rFonts w:asciiTheme="majorBidi" w:hAnsiTheme="majorBidi" w:cstheme="majorBidi"/>
        </w:rPr>
      </w:pPr>
    </w:p>
    <w:p w14:paraId="3617F6FD" w14:textId="77777777" w:rsidR="00F92B2A" w:rsidRDefault="00F92B2A" w:rsidP="00F92B2A">
      <w:pPr>
        <w:pStyle w:val="ListParagraph"/>
        <w:spacing w:line="276" w:lineRule="auto"/>
        <w:rPr>
          <w:rFonts w:asciiTheme="majorBidi" w:hAnsiTheme="majorBidi" w:cstheme="majorBidi"/>
        </w:rPr>
      </w:pPr>
    </w:p>
    <w:p w14:paraId="3825DDFE" w14:textId="77777777" w:rsidR="00F92B2A" w:rsidRDefault="00F92B2A" w:rsidP="00F92B2A">
      <w:pPr>
        <w:pStyle w:val="ListParagraph"/>
        <w:spacing w:line="276" w:lineRule="auto"/>
        <w:rPr>
          <w:rFonts w:asciiTheme="majorBidi" w:hAnsiTheme="majorBidi" w:cstheme="majorBidi"/>
        </w:rPr>
      </w:pPr>
    </w:p>
    <w:p w14:paraId="77D3B558" w14:textId="77777777" w:rsidR="00F92B2A" w:rsidRDefault="00F92B2A" w:rsidP="00F92B2A">
      <w:pPr>
        <w:pStyle w:val="ListParagraph"/>
        <w:spacing w:line="276" w:lineRule="auto"/>
        <w:rPr>
          <w:rFonts w:asciiTheme="majorBidi" w:hAnsiTheme="majorBidi" w:cstheme="majorBidi"/>
        </w:rPr>
      </w:pPr>
    </w:p>
    <w:p w14:paraId="4043DCC1" w14:textId="77777777" w:rsidR="00F92B2A" w:rsidRDefault="00F92B2A" w:rsidP="00F92B2A">
      <w:pPr>
        <w:pStyle w:val="ListParagraph"/>
        <w:spacing w:line="276" w:lineRule="auto"/>
        <w:rPr>
          <w:rFonts w:asciiTheme="majorBidi" w:hAnsiTheme="majorBidi" w:cstheme="majorBidi"/>
        </w:rPr>
      </w:pPr>
    </w:p>
    <w:p w14:paraId="5DE29FBC" w14:textId="77777777" w:rsidR="00F92B2A" w:rsidRDefault="00F92B2A" w:rsidP="00F92B2A">
      <w:pPr>
        <w:pStyle w:val="ListParagraph"/>
        <w:spacing w:line="276" w:lineRule="auto"/>
        <w:rPr>
          <w:rFonts w:asciiTheme="majorBidi" w:hAnsiTheme="majorBidi" w:cstheme="majorBidi"/>
        </w:rPr>
      </w:pPr>
    </w:p>
    <w:p w14:paraId="3ACF8B9D" w14:textId="77777777" w:rsidR="00F92B2A" w:rsidRDefault="00F92B2A" w:rsidP="00F92B2A">
      <w:pPr>
        <w:pStyle w:val="ListParagraph"/>
        <w:spacing w:line="276" w:lineRule="auto"/>
        <w:rPr>
          <w:rFonts w:asciiTheme="majorBidi" w:hAnsiTheme="majorBidi" w:cstheme="majorBidi"/>
        </w:rPr>
      </w:pPr>
    </w:p>
    <w:p w14:paraId="7AE4B2C6" w14:textId="77777777" w:rsidR="00F92B2A" w:rsidRDefault="00F92B2A" w:rsidP="00F92B2A">
      <w:pPr>
        <w:pStyle w:val="ListParagraph"/>
        <w:spacing w:line="276" w:lineRule="auto"/>
        <w:rPr>
          <w:rFonts w:asciiTheme="majorBidi" w:hAnsiTheme="majorBidi" w:cstheme="majorBidi"/>
        </w:rPr>
      </w:pPr>
    </w:p>
    <w:p w14:paraId="71FA4956" w14:textId="77777777" w:rsidR="00F92B2A" w:rsidRDefault="00F92B2A" w:rsidP="00F92B2A">
      <w:pPr>
        <w:pStyle w:val="ListParagraph"/>
        <w:spacing w:line="276" w:lineRule="auto"/>
        <w:rPr>
          <w:rFonts w:asciiTheme="majorBidi" w:hAnsiTheme="majorBidi" w:cstheme="majorBidi"/>
        </w:rPr>
      </w:pPr>
    </w:p>
    <w:p w14:paraId="03B47C60" w14:textId="77777777" w:rsidR="00F92B2A" w:rsidRDefault="00F92B2A" w:rsidP="00F92B2A">
      <w:pPr>
        <w:pStyle w:val="ListParagraph"/>
        <w:spacing w:line="276" w:lineRule="auto"/>
        <w:rPr>
          <w:rFonts w:asciiTheme="majorBidi" w:hAnsiTheme="majorBidi" w:cstheme="majorBidi"/>
        </w:rPr>
      </w:pPr>
    </w:p>
    <w:p w14:paraId="248DD2D8" w14:textId="77777777" w:rsidR="00F92B2A" w:rsidRDefault="00F92B2A" w:rsidP="00F92B2A">
      <w:pPr>
        <w:pStyle w:val="ListParagraph"/>
        <w:spacing w:line="276" w:lineRule="auto"/>
        <w:rPr>
          <w:rFonts w:asciiTheme="majorBidi" w:hAnsiTheme="majorBidi" w:cstheme="majorBidi"/>
        </w:rPr>
      </w:pPr>
    </w:p>
    <w:p w14:paraId="4470D6EF" w14:textId="77777777" w:rsidR="00F92B2A" w:rsidRPr="00F92B2A" w:rsidRDefault="00F92B2A" w:rsidP="00F92B2A">
      <w:pPr>
        <w:pStyle w:val="ListParagraph"/>
        <w:spacing w:line="276" w:lineRule="auto"/>
        <w:rPr>
          <w:rFonts w:asciiTheme="majorBidi" w:hAnsiTheme="majorBidi" w:cstheme="majorBidi"/>
        </w:rPr>
      </w:pPr>
    </w:p>
    <w:p w14:paraId="103B0A43" w14:textId="77777777" w:rsidR="00F92B2A" w:rsidRPr="00F92B2A" w:rsidRDefault="00F92B2A" w:rsidP="00F92B2A">
      <w:pPr>
        <w:pStyle w:val="ListParagraph"/>
        <w:spacing w:line="276" w:lineRule="auto"/>
        <w:rPr>
          <w:rFonts w:asciiTheme="majorBidi" w:hAnsiTheme="majorBidi" w:cstheme="majorBidi"/>
          <w:b/>
          <w:bCs/>
        </w:rPr>
      </w:pPr>
      <w:r w:rsidRPr="00F92B2A">
        <w:rPr>
          <w:rFonts w:asciiTheme="majorBidi" w:hAnsiTheme="majorBidi" w:cstheme="majorBidi"/>
          <w:b/>
          <w:bCs/>
        </w:rPr>
        <w:t>References (APA)</w:t>
      </w:r>
    </w:p>
    <w:p w14:paraId="44056536" w14:textId="77777777" w:rsidR="00F92B2A" w:rsidRPr="00F92B2A" w:rsidRDefault="00F92B2A" w:rsidP="00F92B2A">
      <w:pPr>
        <w:pStyle w:val="ListParagraph"/>
        <w:spacing w:line="276" w:lineRule="auto"/>
        <w:rPr>
          <w:rFonts w:asciiTheme="majorBidi" w:hAnsiTheme="majorBidi" w:cstheme="majorBidi"/>
        </w:rPr>
      </w:pPr>
      <w:r w:rsidRPr="00F92B2A">
        <w:rPr>
          <w:rFonts w:asciiTheme="majorBidi" w:hAnsiTheme="majorBidi" w:cstheme="majorBidi"/>
        </w:rPr>
        <w:lastRenderedPageBreak/>
        <w:t xml:space="preserve">Edensor, T. (2018). </w:t>
      </w:r>
      <w:r w:rsidRPr="00F92B2A">
        <w:rPr>
          <w:rFonts w:asciiTheme="majorBidi" w:hAnsiTheme="majorBidi" w:cstheme="majorBidi"/>
          <w:i/>
          <w:iCs/>
        </w:rPr>
        <w:t>Tourism, performance and modernity</w:t>
      </w:r>
      <w:r w:rsidRPr="00F92B2A">
        <w:rPr>
          <w:rFonts w:asciiTheme="majorBidi" w:hAnsiTheme="majorBidi" w:cstheme="majorBidi"/>
        </w:rPr>
        <w:t>. Routledge.</w:t>
      </w:r>
      <w:r w:rsidRPr="00F92B2A">
        <w:rPr>
          <w:rFonts w:asciiTheme="majorBidi" w:hAnsiTheme="majorBidi" w:cstheme="majorBidi"/>
        </w:rPr>
        <w:br/>
        <w:t xml:space="preserve">Greenwood, D. (2019). Culture by the pound: Tourism and cultural commodification revisited. </w:t>
      </w:r>
      <w:r w:rsidRPr="00F92B2A">
        <w:rPr>
          <w:rFonts w:asciiTheme="majorBidi" w:hAnsiTheme="majorBidi" w:cstheme="majorBidi"/>
          <w:i/>
          <w:iCs/>
        </w:rPr>
        <w:t>Tourism Recreation Research, 44</w:t>
      </w:r>
      <w:r w:rsidRPr="00F92B2A">
        <w:rPr>
          <w:rFonts w:asciiTheme="majorBidi" w:hAnsiTheme="majorBidi" w:cstheme="majorBidi"/>
        </w:rPr>
        <w:t>(2), 129–139.</w:t>
      </w:r>
      <w:r w:rsidRPr="00F92B2A">
        <w:rPr>
          <w:rFonts w:asciiTheme="majorBidi" w:hAnsiTheme="majorBidi" w:cstheme="majorBidi"/>
        </w:rPr>
        <w:br/>
      </w:r>
      <w:proofErr w:type="spellStart"/>
      <w:r w:rsidRPr="00F92B2A">
        <w:rPr>
          <w:rFonts w:asciiTheme="majorBidi" w:hAnsiTheme="majorBidi" w:cstheme="majorBidi"/>
        </w:rPr>
        <w:t>Mbaiwa</w:t>
      </w:r>
      <w:proofErr w:type="spellEnd"/>
      <w:r w:rsidRPr="00F92B2A">
        <w:rPr>
          <w:rFonts w:asciiTheme="majorBidi" w:hAnsiTheme="majorBidi" w:cstheme="majorBidi"/>
        </w:rPr>
        <w:t xml:space="preserve">, J. (2022). Tourism’s impact on cultural identity in developing societies. </w:t>
      </w:r>
      <w:r w:rsidRPr="00F92B2A">
        <w:rPr>
          <w:rFonts w:asciiTheme="majorBidi" w:hAnsiTheme="majorBidi" w:cstheme="majorBidi"/>
          <w:i/>
          <w:iCs/>
        </w:rPr>
        <w:t>Journal of Sustainable Tourism, 30</w:t>
      </w:r>
      <w:r w:rsidRPr="00F92B2A">
        <w:rPr>
          <w:rFonts w:asciiTheme="majorBidi" w:hAnsiTheme="majorBidi" w:cstheme="majorBidi"/>
        </w:rPr>
        <w:t>(1), 112–128.</w:t>
      </w:r>
      <w:r w:rsidRPr="00F92B2A">
        <w:rPr>
          <w:rFonts w:asciiTheme="majorBidi" w:hAnsiTheme="majorBidi" w:cstheme="majorBidi"/>
        </w:rPr>
        <w:br/>
        <w:t xml:space="preserve">Saarinen, J. (2020). Tourism development and landscape change. </w:t>
      </w:r>
      <w:r w:rsidRPr="00F92B2A">
        <w:rPr>
          <w:rFonts w:asciiTheme="majorBidi" w:hAnsiTheme="majorBidi" w:cstheme="majorBidi"/>
          <w:i/>
          <w:iCs/>
        </w:rPr>
        <w:t>Annals of Tourism Research, 85</w:t>
      </w:r>
      <w:r w:rsidRPr="00F92B2A">
        <w:rPr>
          <w:rFonts w:asciiTheme="majorBidi" w:hAnsiTheme="majorBidi" w:cstheme="majorBidi"/>
        </w:rPr>
        <w:t>, 103–119.</w:t>
      </w:r>
      <w:r w:rsidRPr="00F92B2A">
        <w:rPr>
          <w:rFonts w:asciiTheme="majorBidi" w:hAnsiTheme="majorBidi" w:cstheme="majorBidi"/>
        </w:rPr>
        <w:br/>
        <w:t xml:space="preserve">Smith, M., &amp; Robinson, M. (2020). </w:t>
      </w:r>
      <w:r w:rsidRPr="00F92B2A">
        <w:rPr>
          <w:rFonts w:asciiTheme="majorBidi" w:hAnsiTheme="majorBidi" w:cstheme="majorBidi"/>
          <w:i/>
          <w:iCs/>
        </w:rPr>
        <w:t>Cultural tourism in a changing world</w:t>
      </w:r>
      <w:r w:rsidRPr="00F92B2A">
        <w:rPr>
          <w:rFonts w:asciiTheme="majorBidi" w:hAnsiTheme="majorBidi" w:cstheme="majorBidi"/>
        </w:rPr>
        <w:t>. Channel View Publications.</w:t>
      </w:r>
    </w:p>
    <w:p w14:paraId="650ECFE4" w14:textId="0D3BD657" w:rsidR="00D658A3" w:rsidRPr="00F20AAB" w:rsidRDefault="00D658A3" w:rsidP="00F92B2A">
      <w:pPr>
        <w:pStyle w:val="ListParagraph"/>
        <w:spacing w:line="276" w:lineRule="auto"/>
        <w:rPr>
          <w:rFonts w:asciiTheme="majorBidi" w:hAnsiTheme="majorBidi" w:cstheme="majorBidi"/>
          <w:lang w:val="en-US"/>
        </w:rPr>
      </w:pPr>
    </w:p>
    <w:sectPr w:rsidR="00D658A3" w:rsidRPr="00F20A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9FCE044B-A979-4667-9114-CE43C0CBE67A}"/>
    <w:embedBold r:id="rId2" w:fontKey="{EC69E077-E8AA-4654-BCDE-A1D9B6F672BD}"/>
    <w:embedItalic r:id="rId3" w:fontKey="{05594434-8672-449E-8667-2390AD6ED8C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04193275-B0A1-4E27-9338-FA08DF3D9B99}"/>
  </w:font>
  <w:font w:name="Calibri Light">
    <w:panose1 w:val="020F0302020204030204"/>
    <w:charset w:val="00"/>
    <w:family w:val="swiss"/>
    <w:pitch w:val="variable"/>
    <w:sig w:usb0="E4002EFF" w:usb1="C000247B" w:usb2="00000009" w:usb3="00000000" w:csb0="000001FF" w:csb1="00000000"/>
    <w:embedRegular r:id="rId5" w:fontKey="{BEC80465-8E1A-4933-BB65-87BF2C68807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4"/>
  </w:num>
  <w:num w:numId="3" w16cid:durableId="1814520150">
    <w:abstractNumId w:val="10"/>
  </w:num>
  <w:num w:numId="4" w16cid:durableId="296228824">
    <w:abstractNumId w:val="8"/>
  </w:num>
  <w:num w:numId="5" w16cid:durableId="1736779591">
    <w:abstractNumId w:val="0"/>
  </w:num>
  <w:num w:numId="6" w16cid:durableId="1214926310">
    <w:abstractNumId w:val="3"/>
  </w:num>
  <w:num w:numId="7" w16cid:durableId="807013827">
    <w:abstractNumId w:val="2"/>
  </w:num>
  <w:num w:numId="8" w16cid:durableId="593786412">
    <w:abstractNumId w:val="7"/>
  </w:num>
  <w:num w:numId="9" w16cid:durableId="1210144451">
    <w:abstractNumId w:val="5"/>
  </w:num>
  <w:num w:numId="10" w16cid:durableId="1219441154">
    <w:abstractNumId w:val="6"/>
  </w:num>
  <w:num w:numId="11" w16cid:durableId="28889989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34527"/>
    <w:rsid w:val="00237278"/>
    <w:rsid w:val="002F4AE0"/>
    <w:rsid w:val="00384E8A"/>
    <w:rsid w:val="003D1074"/>
    <w:rsid w:val="00426865"/>
    <w:rsid w:val="00477CAA"/>
    <w:rsid w:val="00502E29"/>
    <w:rsid w:val="005D6F0D"/>
    <w:rsid w:val="005E458B"/>
    <w:rsid w:val="00637F36"/>
    <w:rsid w:val="00661030"/>
    <w:rsid w:val="006F6FA4"/>
    <w:rsid w:val="00722741"/>
    <w:rsid w:val="00795108"/>
    <w:rsid w:val="007E7023"/>
    <w:rsid w:val="00844EC2"/>
    <w:rsid w:val="008516FE"/>
    <w:rsid w:val="008B267D"/>
    <w:rsid w:val="00903466"/>
    <w:rsid w:val="009673A4"/>
    <w:rsid w:val="009C1D0A"/>
    <w:rsid w:val="00A044F7"/>
    <w:rsid w:val="00A813A5"/>
    <w:rsid w:val="00A8150E"/>
    <w:rsid w:val="00AE0FD2"/>
    <w:rsid w:val="00B20343"/>
    <w:rsid w:val="00B85EA7"/>
    <w:rsid w:val="00BE65DD"/>
    <w:rsid w:val="00C21EBA"/>
    <w:rsid w:val="00C52269"/>
    <w:rsid w:val="00C612A4"/>
    <w:rsid w:val="00CC6AD1"/>
    <w:rsid w:val="00CD620A"/>
    <w:rsid w:val="00D658A3"/>
    <w:rsid w:val="00D92F0A"/>
    <w:rsid w:val="00E23344"/>
    <w:rsid w:val="00E6778A"/>
    <w:rsid w:val="00EA737F"/>
    <w:rsid w:val="00F20AAB"/>
    <w:rsid w:val="00F25F5B"/>
    <w:rsid w:val="00F837B1"/>
    <w:rsid w:val="00F92B2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D8A4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1038</Words>
  <Characters>5917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2026-02-10T02:24:00Z</dcterms:created>
  <dcterms:modified xsi:type="dcterms:W3CDTF">2026-02-10T02:24:00Z</dcterms:modified>
</cp:coreProperties>
</file>