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38C5" w14:textId="77777777" w:rsidR="000A598D" w:rsidRDefault="000A598D" w:rsidP="000A598D">
      <w:pPr>
        <w:jc w:val="center"/>
        <w:rPr>
          <w:b/>
        </w:rPr>
      </w:pPr>
      <w:bookmarkStart w:id="0" w:name="_k1fgdpbj26ma" w:colFirst="0" w:colLast="0"/>
      <w:bookmarkEnd w:id="0"/>
      <w:r w:rsidRPr="001F4957">
        <w:rPr>
          <w:b/>
          <w:noProof/>
        </w:rPr>
        <w:drawing>
          <wp:inline distT="0" distB="0" distL="0" distR="0" wp14:anchorId="6A4A0A2A" wp14:editId="3574D077">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5"/>
                    <a:stretch>
                      <a:fillRect/>
                    </a:stretch>
                  </pic:blipFill>
                  <pic:spPr>
                    <a:xfrm>
                      <a:off x="0" y="0"/>
                      <a:ext cx="2343477" cy="1924319"/>
                    </a:xfrm>
                    <a:prstGeom prst="rect">
                      <a:avLst/>
                    </a:prstGeom>
                  </pic:spPr>
                </pic:pic>
              </a:graphicData>
            </a:graphic>
          </wp:inline>
        </w:drawing>
      </w:r>
    </w:p>
    <w:p w14:paraId="3603AF64" w14:textId="77777777" w:rsidR="000A598D" w:rsidRDefault="000A598D" w:rsidP="000A598D">
      <w:pPr>
        <w:rPr>
          <w:b/>
        </w:rPr>
      </w:pPr>
    </w:p>
    <w:p w14:paraId="466C504A" w14:textId="77777777" w:rsidR="000A598D" w:rsidRDefault="000A598D" w:rsidP="000A598D">
      <w:pPr>
        <w:jc w:val="center"/>
        <w:rPr>
          <w:b/>
        </w:rPr>
      </w:pPr>
    </w:p>
    <w:p w14:paraId="4451133B" w14:textId="77777777" w:rsidR="000A598D" w:rsidRPr="004F773F" w:rsidRDefault="000A598D" w:rsidP="000A598D">
      <w:pPr>
        <w:jc w:val="center"/>
        <w:rPr>
          <w:b/>
          <w:sz w:val="32"/>
          <w:szCs w:val="32"/>
        </w:rPr>
      </w:pPr>
      <w:r w:rsidRPr="004F773F">
        <w:rPr>
          <w:b/>
          <w:sz w:val="32"/>
          <w:szCs w:val="32"/>
        </w:rPr>
        <w:t>PLANNING AND MANAGEMENT OF SUSTAINABLE TOURISM SPACES</w:t>
      </w:r>
    </w:p>
    <w:p w14:paraId="755B8AEF" w14:textId="77777777" w:rsidR="000A598D" w:rsidRDefault="000A598D" w:rsidP="000A598D">
      <w:pPr>
        <w:jc w:val="center"/>
        <w:rPr>
          <w:b/>
          <w:sz w:val="32"/>
          <w:szCs w:val="32"/>
        </w:rPr>
      </w:pPr>
    </w:p>
    <w:p w14:paraId="53EDDE1F" w14:textId="77777777" w:rsidR="000A598D" w:rsidRDefault="000A598D" w:rsidP="000A598D">
      <w:pPr>
        <w:jc w:val="center"/>
        <w:rPr>
          <w:b/>
          <w:sz w:val="32"/>
          <w:szCs w:val="32"/>
        </w:rPr>
      </w:pPr>
    </w:p>
    <w:p w14:paraId="676F294B" w14:textId="77777777" w:rsidR="000A598D" w:rsidRPr="004F773F" w:rsidRDefault="000A598D" w:rsidP="000A598D">
      <w:pPr>
        <w:jc w:val="center"/>
        <w:rPr>
          <w:b/>
          <w:sz w:val="32"/>
          <w:szCs w:val="32"/>
        </w:rPr>
      </w:pPr>
      <w:r>
        <w:rPr>
          <w:b/>
          <w:sz w:val="32"/>
          <w:szCs w:val="32"/>
        </w:rPr>
        <w:t>ASSIGNMENT 2</w:t>
      </w:r>
    </w:p>
    <w:p w14:paraId="2E9020E0" w14:textId="77777777" w:rsidR="000A598D" w:rsidRPr="00423B56" w:rsidRDefault="000A598D" w:rsidP="000A598D">
      <w:pPr>
        <w:rPr>
          <w:b/>
          <w:lang w:val="en-GB"/>
        </w:rPr>
      </w:pPr>
      <w:r w:rsidRPr="00423B56">
        <w:rPr>
          <w:lang w:val="en-GB"/>
        </w:rPr>
        <w:br w:type="page"/>
      </w:r>
    </w:p>
    <w:p w14:paraId="266A8AC2" w14:textId="77777777" w:rsidR="00973BD9" w:rsidRDefault="00973BD9" w:rsidP="001E5335">
      <w:pPr>
        <w:jc w:val="center"/>
        <w:rPr>
          <w:rFonts w:cs="Times New Roman"/>
          <w:b/>
          <w:bCs/>
        </w:rPr>
      </w:pPr>
    </w:p>
    <w:p w14:paraId="34722EAF" w14:textId="77777777" w:rsidR="00DA44E7" w:rsidRDefault="00DA44E7" w:rsidP="00DA44E7">
      <w:pPr>
        <w:pStyle w:val="Heading1"/>
      </w:pPr>
      <w:r>
        <w:t>1. Applying the United Nations Sustainable Development Goals (SDGs) to a Tourism Destination: Costa Rica</w:t>
      </w:r>
    </w:p>
    <w:p w14:paraId="2F755D53" w14:textId="374547F7" w:rsidR="008A380A" w:rsidRDefault="008A380A" w:rsidP="008A380A">
      <w:r>
        <w:t>Costa Rica is an ideal sustainable tourism example in as far as it can meet some of the United Nations Sustainable Development Goals (SDGs)</w:t>
      </w:r>
      <w:r w:rsidR="00541008">
        <w:t xml:space="preserve"> </w:t>
      </w:r>
      <w:r w:rsidR="00541008" w:rsidRPr="00541008">
        <w:t>(Green Business Benchmark, 2022)</w:t>
      </w:r>
      <w:r>
        <w:t>.</w:t>
      </w:r>
    </w:p>
    <w:p w14:paraId="4489FA7D" w14:textId="77777777" w:rsidR="008A380A" w:rsidRDefault="008A380A" w:rsidP="008A380A">
      <w:r>
        <w:t>Relevant SDGs</w:t>
      </w:r>
    </w:p>
    <w:p w14:paraId="7C5B763B" w14:textId="77777777" w:rsidR="008A380A" w:rsidRDefault="008A380A" w:rsidP="008A380A">
      <w:pPr>
        <w:pStyle w:val="ListParagraph"/>
        <w:numPr>
          <w:ilvl w:val="0"/>
          <w:numId w:val="2"/>
        </w:numPr>
      </w:pPr>
      <w:r>
        <w:t>SDG 13: Climate Action: Costa Rica intends to go carbon neutral by the year 2050, and eco-tourism will be crucial towards this goal. The Corporate Social Responsibility of the tourism industry such as a sustainable accommodation and the carbon offset program assists in minimizing the carbon footprint of the tourism industry.</w:t>
      </w:r>
    </w:p>
    <w:p w14:paraId="5BD3BA0E" w14:textId="77777777" w:rsidR="008A380A" w:rsidRDefault="008A380A" w:rsidP="008A380A">
      <w:pPr>
        <w:pStyle w:val="ListParagraph"/>
        <w:numPr>
          <w:ilvl w:val="0"/>
          <w:numId w:val="2"/>
        </w:numPr>
      </w:pPr>
      <w:r>
        <w:t>SDG 14: Life Below Water: Costa Rica encourages conservation of the oceans via sustainable tours such as responsive whale watching and conservation of reefs.</w:t>
      </w:r>
    </w:p>
    <w:p w14:paraId="64959868" w14:textId="77777777" w:rsidR="008A380A" w:rsidRDefault="008A380A" w:rsidP="008A380A">
      <w:pPr>
        <w:pStyle w:val="ListParagraph"/>
        <w:numPr>
          <w:ilvl w:val="0"/>
          <w:numId w:val="2"/>
        </w:numPr>
      </w:pPr>
      <w:r>
        <w:t>SDG 15: Life on Land: The state has a great national park system that preserves the biodiversity. By providing a source of income to these conservation zones, tourism helps in conservation.</w:t>
      </w:r>
    </w:p>
    <w:p w14:paraId="735FC5C4" w14:textId="5A04A825" w:rsidR="00DA44E7" w:rsidRDefault="008A380A" w:rsidP="008A380A">
      <w:pPr>
        <w:pStyle w:val="ListParagraph"/>
        <w:numPr>
          <w:ilvl w:val="0"/>
          <w:numId w:val="2"/>
        </w:numPr>
      </w:pPr>
      <w:r>
        <w:t xml:space="preserve">SDG 8: Decent Work and Economic Growth: Costa Rica aims to make sure that tourism gives back to the communities by practicing fair </w:t>
      </w:r>
      <w:proofErr w:type="spellStart"/>
      <w:r>
        <w:t>labor</w:t>
      </w:r>
      <w:proofErr w:type="spellEnd"/>
      <w:r>
        <w:t xml:space="preserve"> and sustainable business strategies, bringing economic benefits and protecting the natural and cultural resources.</w:t>
      </w:r>
    </w:p>
    <w:p w14:paraId="083AE32C" w14:textId="77777777" w:rsidR="00DA44E7" w:rsidRDefault="00DA44E7" w:rsidP="00DA44E7">
      <w:pPr>
        <w:pStyle w:val="Heading2"/>
      </w:pPr>
      <w:r>
        <w:t>Aligning Strategies</w:t>
      </w:r>
    </w:p>
    <w:p w14:paraId="5629BC3D" w14:textId="7531591D" w:rsidR="00DA44E7" w:rsidRDefault="006E06AC" w:rsidP="00DA44E7">
      <w:r w:rsidRPr="006E06AC">
        <w:t xml:space="preserve">Further ways through which Costa Rica can make its strategies to conform to the SDGs include developing more eco-tourism projects, enhancing community participation and endorsing carbon-neutral tourism initiatives. Locals must continue to take </w:t>
      </w:r>
      <w:proofErr w:type="spellStart"/>
      <w:r w:rsidRPr="006E06AC">
        <w:t>center</w:t>
      </w:r>
      <w:proofErr w:type="spellEnd"/>
      <w:r w:rsidRPr="006E06AC">
        <w:t xml:space="preserve"> stage in the development of tourism with economic gains shared to a large population.</w:t>
      </w:r>
    </w:p>
    <w:p w14:paraId="74650498" w14:textId="77777777" w:rsidR="00DA44E7" w:rsidRDefault="00DA44E7" w:rsidP="00B3647A">
      <w:pPr>
        <w:pStyle w:val="Heading1"/>
      </w:pPr>
      <w:r>
        <w:t>2. Sustainable Tourism and Local Heritage Protection</w:t>
      </w:r>
    </w:p>
    <w:p w14:paraId="70B832BA" w14:textId="1C704B01" w:rsidR="00376F1C" w:rsidRDefault="00376F1C" w:rsidP="00376F1C">
      <w:r>
        <w:t>By concentrating on authenticity, community engagement and education, sustainable tourism will be able to conserve the local heritage without cultural commodification</w:t>
      </w:r>
      <w:r w:rsidR="0080189F" w:rsidRPr="0080189F">
        <w:t xml:space="preserve"> (Daniel, 2023)</w:t>
      </w:r>
      <w:r>
        <w:t>.</w:t>
      </w:r>
    </w:p>
    <w:p w14:paraId="54173494" w14:textId="77777777" w:rsidR="00376F1C" w:rsidRPr="00376F1C" w:rsidRDefault="00376F1C" w:rsidP="00376F1C">
      <w:pPr>
        <w:rPr>
          <w:b/>
          <w:bCs/>
        </w:rPr>
      </w:pPr>
      <w:r w:rsidRPr="00376F1C">
        <w:rPr>
          <w:b/>
          <w:bCs/>
        </w:rPr>
        <w:t>Preserving Authenticity</w:t>
      </w:r>
    </w:p>
    <w:p w14:paraId="1948E889" w14:textId="77777777" w:rsidR="00376F1C" w:rsidRDefault="00376F1C" w:rsidP="00376F1C">
      <w:r>
        <w:t>authentic cultural experiences should be observed and represented in tourism. Tourism in Bhutan is strictly managed in such a way that it does not excessively interfere with the local customs and traditions and the visiting tourists can experience the culture in its original state.</w:t>
      </w:r>
    </w:p>
    <w:p w14:paraId="2C65030F" w14:textId="77777777" w:rsidR="00376F1C" w:rsidRPr="00376F1C" w:rsidRDefault="00376F1C" w:rsidP="00376F1C">
      <w:pPr>
        <w:rPr>
          <w:b/>
          <w:bCs/>
        </w:rPr>
      </w:pPr>
      <w:r w:rsidRPr="00376F1C">
        <w:rPr>
          <w:b/>
          <w:bCs/>
        </w:rPr>
        <w:lastRenderedPageBreak/>
        <w:t>Community Involvement</w:t>
      </w:r>
    </w:p>
    <w:p w14:paraId="3A331551" w14:textId="77777777" w:rsidR="00376F1C" w:rsidRDefault="00376F1C" w:rsidP="00376F1C">
      <w:r>
        <w:t>The presentation of the culture of local communities should include the central role of the local communities to avoid exploitation or commercialization of the culture. In New Zealand, indigenous tourism models enable local people to present their heritage in a way that is relevant to their values and enable the tourists to experience the culture directly whilst preserving its identity.</w:t>
      </w:r>
    </w:p>
    <w:p w14:paraId="38DD3056" w14:textId="77777777" w:rsidR="00376F1C" w:rsidRPr="00376F1C" w:rsidRDefault="00376F1C" w:rsidP="00376F1C">
      <w:pPr>
        <w:rPr>
          <w:b/>
          <w:bCs/>
        </w:rPr>
      </w:pPr>
      <w:r w:rsidRPr="00376F1C">
        <w:rPr>
          <w:b/>
          <w:bCs/>
        </w:rPr>
        <w:t>Education</w:t>
      </w:r>
    </w:p>
    <w:p w14:paraId="47296FC2" w14:textId="4CD0279E" w:rsidR="001E5335" w:rsidRDefault="00376F1C" w:rsidP="00376F1C">
      <w:r>
        <w:t xml:space="preserve">It is important to educate the tourists about the importance of the local heritage. When this knowledge is passed about the historical, spiritual and cultural significance of the traditions, the tourists will value them more, rather than turning them into commodities to be consumed. This strategy will ensure that tourism resources sustain local people as well as preserve the cultural </w:t>
      </w:r>
      <w:r w:rsidR="00862BCC">
        <w:t>behaviours</w:t>
      </w:r>
      <w:r w:rsidR="00DF71A6" w:rsidRPr="00DF71A6">
        <w:t xml:space="preserve"> (</w:t>
      </w:r>
      <w:proofErr w:type="spellStart"/>
      <w:r w:rsidR="00DF71A6" w:rsidRPr="00DF71A6">
        <w:t>Dadizadeh</w:t>
      </w:r>
      <w:proofErr w:type="spellEnd"/>
      <w:r w:rsidR="00DF71A6" w:rsidRPr="00DF71A6">
        <w:t xml:space="preserve"> and Doğan, 2024)</w:t>
      </w:r>
      <w:r>
        <w:t>.</w:t>
      </w:r>
    </w:p>
    <w:p w14:paraId="347DF28B" w14:textId="3469A76D" w:rsidR="00D9524C" w:rsidRDefault="00D9524C" w:rsidP="00D9524C">
      <w:pPr>
        <w:spacing w:after="160" w:line="259" w:lineRule="auto"/>
        <w:jc w:val="left"/>
      </w:pPr>
    </w:p>
    <w:p w14:paraId="09FF2BB7" w14:textId="6FF4ACE3" w:rsidR="00D9524C" w:rsidRDefault="00D9524C" w:rsidP="007E0CD2">
      <w:pPr>
        <w:pStyle w:val="Heading1"/>
      </w:pPr>
      <w:r>
        <w:t>References</w:t>
      </w:r>
    </w:p>
    <w:p w14:paraId="49020335" w14:textId="54859E4C" w:rsidR="00D9524C" w:rsidRDefault="00D9524C" w:rsidP="00D9524C">
      <w:proofErr w:type="spellStart"/>
      <w:r>
        <w:t>Dadizadeh</w:t>
      </w:r>
      <w:proofErr w:type="spellEnd"/>
      <w:r>
        <w:t xml:space="preserve">, N.A. and Doğan, E. (2024). Community Engagement and Sustainable Heritage Tourism: Mediating Role of Archaeological Heritage Interpretation. </w:t>
      </w:r>
      <w:r>
        <w:rPr>
          <w:i/>
          <w:iCs/>
        </w:rPr>
        <w:t>Conservation and Management of Archaeological Sites</w:t>
      </w:r>
      <w:r>
        <w:t xml:space="preserve">, [online] pp.1–32. </w:t>
      </w:r>
      <w:proofErr w:type="spellStart"/>
      <w:r>
        <w:t>doi</w:t>
      </w:r>
      <w:proofErr w:type="spellEnd"/>
      <w:r>
        <w:t xml:space="preserve">: </w:t>
      </w:r>
      <w:hyperlink r:id="rId6" w:history="1">
        <w:r w:rsidRPr="00B71B3D">
          <w:rPr>
            <w:rStyle w:val="Hyperlink"/>
          </w:rPr>
          <w:t>https://doi.org/10.1080/13505033.2024.2400627</w:t>
        </w:r>
      </w:hyperlink>
      <w:r>
        <w:t>.</w:t>
      </w:r>
    </w:p>
    <w:p w14:paraId="6D41DA26" w14:textId="75B05B1D" w:rsidR="00D9524C" w:rsidRDefault="00D9524C" w:rsidP="00D9524C">
      <w:r>
        <w:t xml:space="preserve">Daniel (2023). </w:t>
      </w:r>
      <w:r>
        <w:rPr>
          <w:i/>
          <w:iCs/>
        </w:rPr>
        <w:t>Sustainable Tourism: Preserving Heritage Sites &amp; Ecosystems</w:t>
      </w:r>
      <w:r>
        <w:t xml:space="preserve">. [online] Frontenac Arch Biosphere. Available at: </w:t>
      </w:r>
      <w:hyperlink r:id="rId7" w:history="1">
        <w:r w:rsidRPr="00B71B3D">
          <w:rPr>
            <w:rStyle w:val="Hyperlink"/>
          </w:rPr>
          <w:t>https://frontenacarchbiosphere.ca/sustainable-tourism-preserving-heritage-sites-ecosystems/</w:t>
        </w:r>
      </w:hyperlink>
      <w:r>
        <w:t xml:space="preserve"> [Accessed 30 Sep. 2025].</w:t>
      </w:r>
    </w:p>
    <w:p w14:paraId="125AD21A" w14:textId="72E7BE37" w:rsidR="00D9524C" w:rsidRDefault="00D9524C" w:rsidP="00D9524C">
      <w:r>
        <w:t xml:space="preserve">Green Business Benchmark (2022). </w:t>
      </w:r>
      <w:r>
        <w:rPr>
          <w:i/>
          <w:iCs/>
        </w:rPr>
        <w:t>Costa Rica Sustainability: How Costa Rica Became a Sustainability Pioneer in Latin America | Green Business Benchmark°</w:t>
      </w:r>
      <w:r>
        <w:t xml:space="preserve">. [online] www.greenbusinessbenchmark.com. Available at: </w:t>
      </w:r>
      <w:hyperlink r:id="rId8" w:history="1">
        <w:r w:rsidRPr="00B71B3D">
          <w:rPr>
            <w:rStyle w:val="Hyperlink"/>
          </w:rPr>
          <w:t>https://www.greenbusinessbenchmark.com/archive/costa-rica-sustainability</w:t>
        </w:r>
      </w:hyperlink>
      <w:r>
        <w:t xml:space="preserve"> [Accessed 30 Sep. 2025].</w:t>
      </w:r>
    </w:p>
    <w:sectPr w:rsidR="00D952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D77AE5"/>
    <w:multiLevelType w:val="hybridMultilevel"/>
    <w:tmpl w:val="FF08A3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6A065A9"/>
    <w:multiLevelType w:val="hybridMultilevel"/>
    <w:tmpl w:val="B90A61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36634386">
    <w:abstractNumId w:val="0"/>
  </w:num>
  <w:num w:numId="2" w16cid:durableId="1851479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azNDQ3MjE0sjQ1MjNW0lEKTi0uzszPAykwrAUAA44qGSwAAAA="/>
  </w:docVars>
  <w:rsids>
    <w:rsidRoot w:val="001E5335"/>
    <w:rsid w:val="00073886"/>
    <w:rsid w:val="000A598D"/>
    <w:rsid w:val="001117C6"/>
    <w:rsid w:val="001E5335"/>
    <w:rsid w:val="002C7478"/>
    <w:rsid w:val="00376F1C"/>
    <w:rsid w:val="003A4472"/>
    <w:rsid w:val="003A75D3"/>
    <w:rsid w:val="003E0C2E"/>
    <w:rsid w:val="003F1B4A"/>
    <w:rsid w:val="00541008"/>
    <w:rsid w:val="005430CC"/>
    <w:rsid w:val="006A41E0"/>
    <w:rsid w:val="006C38F4"/>
    <w:rsid w:val="006E06AC"/>
    <w:rsid w:val="00702393"/>
    <w:rsid w:val="0071352C"/>
    <w:rsid w:val="00747DFD"/>
    <w:rsid w:val="007A0E85"/>
    <w:rsid w:val="007E0CD2"/>
    <w:rsid w:val="0080189F"/>
    <w:rsid w:val="00815733"/>
    <w:rsid w:val="00862BCC"/>
    <w:rsid w:val="008773BF"/>
    <w:rsid w:val="008944C2"/>
    <w:rsid w:val="008A380A"/>
    <w:rsid w:val="008A4C6A"/>
    <w:rsid w:val="008F7BDE"/>
    <w:rsid w:val="0090429D"/>
    <w:rsid w:val="00950DB3"/>
    <w:rsid w:val="00953A4E"/>
    <w:rsid w:val="00964063"/>
    <w:rsid w:val="00973BD9"/>
    <w:rsid w:val="009E0BC2"/>
    <w:rsid w:val="009E210F"/>
    <w:rsid w:val="00AB2AC2"/>
    <w:rsid w:val="00B3647A"/>
    <w:rsid w:val="00C87A08"/>
    <w:rsid w:val="00CE1557"/>
    <w:rsid w:val="00D9524C"/>
    <w:rsid w:val="00DA344A"/>
    <w:rsid w:val="00DA44E7"/>
    <w:rsid w:val="00DE3047"/>
    <w:rsid w:val="00DF71A6"/>
    <w:rsid w:val="00E5684C"/>
    <w:rsid w:val="00E5795A"/>
    <w:rsid w:val="00F02A9D"/>
    <w:rsid w:val="00F44C3A"/>
    <w:rsid w:val="00F87F8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62521"/>
  <w15:chartTrackingRefBased/>
  <w15:docId w15:val="{AAE075CE-3D0E-4C69-A65C-55D41F305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335"/>
    <w:pPr>
      <w:spacing w:after="0" w:line="360" w:lineRule="auto"/>
      <w:jc w:val="both"/>
    </w:pPr>
    <w:rPr>
      <w:rFonts w:ascii="Times New Roman" w:hAnsi="Times New Roman"/>
      <w:sz w:val="24"/>
      <w:szCs w:val="24"/>
      <w:lang w:bidi="ar-SA"/>
    </w:rPr>
  </w:style>
  <w:style w:type="paragraph" w:styleId="Heading1">
    <w:name w:val="heading 1"/>
    <w:basedOn w:val="Normal"/>
    <w:next w:val="Normal"/>
    <w:link w:val="Heading1Char"/>
    <w:autoRedefine/>
    <w:uiPriority w:val="9"/>
    <w:qFormat/>
    <w:rsid w:val="00DA344A"/>
    <w:pPr>
      <w:keepNext/>
      <w:keepLines/>
      <w:spacing w:before="240"/>
      <w:outlineLvl w:val="0"/>
    </w:pPr>
    <w:rPr>
      <w:rFonts w:eastAsiaTheme="majorEastAsia" w:cs="Mangal"/>
      <w:b/>
      <w:kern w:val="0"/>
      <w:sz w:val="32"/>
      <w:szCs w:val="29"/>
      <w:lang w:bidi="hi-IN"/>
      <w14:ligatures w14:val="none"/>
    </w:rPr>
  </w:style>
  <w:style w:type="paragraph" w:styleId="Heading2">
    <w:name w:val="heading 2"/>
    <w:basedOn w:val="Normal"/>
    <w:next w:val="Normal"/>
    <w:link w:val="Heading2Char"/>
    <w:autoRedefine/>
    <w:uiPriority w:val="9"/>
    <w:unhideWhenUsed/>
    <w:qFormat/>
    <w:rsid w:val="001E5335"/>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autoRedefine/>
    <w:uiPriority w:val="9"/>
    <w:semiHidden/>
    <w:unhideWhenUsed/>
    <w:qFormat/>
    <w:rsid w:val="00F02A9D"/>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1E53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53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533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33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33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33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44A"/>
    <w:rPr>
      <w:rFonts w:eastAsiaTheme="majorEastAsia" w:cs="Mangal"/>
      <w:b/>
      <w:kern w:val="0"/>
      <w:sz w:val="32"/>
      <w:szCs w:val="29"/>
      <w14:ligatures w14:val="none"/>
    </w:rPr>
  </w:style>
  <w:style w:type="paragraph" w:styleId="Title">
    <w:name w:val="Title"/>
    <w:basedOn w:val="Normal"/>
    <w:next w:val="Normal"/>
    <w:link w:val="TitleChar"/>
    <w:autoRedefine/>
    <w:uiPriority w:val="10"/>
    <w:qFormat/>
    <w:rsid w:val="00953A4E"/>
    <w:pPr>
      <w:contextualSpacing/>
      <w:jc w:val="center"/>
    </w:pPr>
    <w:rPr>
      <w:rFonts w:eastAsiaTheme="majorEastAsia" w:cstheme="majorBidi"/>
      <w:spacing w:val="-10"/>
      <w:kern w:val="28"/>
      <w:sz w:val="48"/>
      <w:szCs w:val="50"/>
    </w:rPr>
  </w:style>
  <w:style w:type="character" w:customStyle="1" w:styleId="TitleChar">
    <w:name w:val="Title Char"/>
    <w:basedOn w:val="DefaultParagraphFont"/>
    <w:link w:val="Title"/>
    <w:uiPriority w:val="10"/>
    <w:rsid w:val="00953A4E"/>
    <w:rPr>
      <w:rFonts w:eastAsiaTheme="majorEastAsia" w:cstheme="majorBidi"/>
      <w:spacing w:val="-10"/>
      <w:kern w:val="28"/>
      <w:sz w:val="48"/>
      <w:szCs w:val="50"/>
    </w:rPr>
  </w:style>
  <w:style w:type="paragraph" w:styleId="Subtitle">
    <w:name w:val="Subtitle"/>
    <w:basedOn w:val="Normal"/>
    <w:next w:val="Normal"/>
    <w:link w:val="SubtitleChar"/>
    <w:autoRedefine/>
    <w:uiPriority w:val="11"/>
    <w:qFormat/>
    <w:rsid w:val="00953A4E"/>
    <w:pPr>
      <w:numPr>
        <w:ilvl w:val="1"/>
      </w:numPr>
      <w:ind w:left="720"/>
    </w:pPr>
    <w:rPr>
      <w:rFonts w:eastAsiaTheme="minorEastAsia"/>
      <w:spacing w:val="15"/>
      <w:sz w:val="28"/>
    </w:rPr>
  </w:style>
  <w:style w:type="character" w:customStyle="1" w:styleId="SubtitleChar">
    <w:name w:val="Subtitle Char"/>
    <w:basedOn w:val="DefaultParagraphFont"/>
    <w:link w:val="Subtitle"/>
    <w:uiPriority w:val="11"/>
    <w:rsid w:val="00953A4E"/>
    <w:rPr>
      <w:rFonts w:eastAsiaTheme="minorEastAsia"/>
      <w:color w:val="000000" w:themeColor="text1"/>
      <w:spacing w:val="15"/>
      <w:sz w:val="28"/>
    </w:rPr>
  </w:style>
  <w:style w:type="character" w:customStyle="1" w:styleId="Heading3Char">
    <w:name w:val="Heading 3 Char"/>
    <w:basedOn w:val="DefaultParagraphFont"/>
    <w:link w:val="Heading3"/>
    <w:uiPriority w:val="9"/>
    <w:semiHidden/>
    <w:rsid w:val="00F02A9D"/>
    <w:rPr>
      <w:rFonts w:ascii="Times New Roman" w:eastAsiaTheme="majorEastAsia" w:hAnsi="Times New Roman" w:cstheme="majorBidi"/>
      <w:b/>
      <w:sz w:val="24"/>
      <w:szCs w:val="24"/>
      <w:lang w:bidi="ar-SA"/>
    </w:rPr>
  </w:style>
  <w:style w:type="character" w:customStyle="1" w:styleId="Heading2Char">
    <w:name w:val="Heading 2 Char"/>
    <w:basedOn w:val="DefaultParagraphFont"/>
    <w:link w:val="Heading2"/>
    <w:uiPriority w:val="9"/>
    <w:rsid w:val="001E5335"/>
    <w:rPr>
      <w:rFonts w:ascii="Times New Roman" w:eastAsiaTheme="majorEastAsia" w:hAnsi="Times New Roman" w:cstheme="majorBidi"/>
      <w:b/>
      <w:sz w:val="28"/>
      <w:szCs w:val="32"/>
      <w:lang w:bidi="ar-SA"/>
    </w:rPr>
  </w:style>
  <w:style w:type="character" w:customStyle="1" w:styleId="Heading4Char">
    <w:name w:val="Heading 4 Char"/>
    <w:basedOn w:val="DefaultParagraphFont"/>
    <w:link w:val="Heading4"/>
    <w:uiPriority w:val="9"/>
    <w:semiHidden/>
    <w:rsid w:val="001E5335"/>
    <w:rPr>
      <w:rFonts w:eastAsiaTheme="majorEastAsia" w:cstheme="majorBidi"/>
      <w:i/>
      <w:iCs/>
      <w:color w:val="2F5496" w:themeColor="accent1" w:themeShade="BF"/>
      <w:sz w:val="24"/>
      <w:szCs w:val="24"/>
      <w:lang w:bidi="ar-SA"/>
    </w:rPr>
  </w:style>
  <w:style w:type="character" w:customStyle="1" w:styleId="Heading5Char">
    <w:name w:val="Heading 5 Char"/>
    <w:basedOn w:val="DefaultParagraphFont"/>
    <w:link w:val="Heading5"/>
    <w:uiPriority w:val="9"/>
    <w:semiHidden/>
    <w:rsid w:val="001E5335"/>
    <w:rPr>
      <w:rFonts w:eastAsiaTheme="majorEastAsia" w:cstheme="majorBidi"/>
      <w:color w:val="2F5496" w:themeColor="accent1" w:themeShade="BF"/>
      <w:sz w:val="24"/>
      <w:szCs w:val="24"/>
      <w:lang w:bidi="ar-SA"/>
    </w:rPr>
  </w:style>
  <w:style w:type="character" w:customStyle="1" w:styleId="Heading6Char">
    <w:name w:val="Heading 6 Char"/>
    <w:basedOn w:val="DefaultParagraphFont"/>
    <w:link w:val="Heading6"/>
    <w:uiPriority w:val="9"/>
    <w:semiHidden/>
    <w:rsid w:val="001E5335"/>
    <w:rPr>
      <w:rFonts w:eastAsiaTheme="majorEastAsia" w:cstheme="majorBidi"/>
      <w:i/>
      <w:iCs/>
      <w:color w:val="595959" w:themeColor="text1" w:themeTint="A6"/>
      <w:sz w:val="24"/>
      <w:szCs w:val="24"/>
      <w:lang w:bidi="ar-SA"/>
    </w:rPr>
  </w:style>
  <w:style w:type="character" w:customStyle="1" w:styleId="Heading7Char">
    <w:name w:val="Heading 7 Char"/>
    <w:basedOn w:val="DefaultParagraphFont"/>
    <w:link w:val="Heading7"/>
    <w:uiPriority w:val="9"/>
    <w:semiHidden/>
    <w:rsid w:val="001E5335"/>
    <w:rPr>
      <w:rFonts w:eastAsiaTheme="majorEastAsia" w:cstheme="majorBidi"/>
      <w:color w:val="595959" w:themeColor="text1" w:themeTint="A6"/>
      <w:sz w:val="24"/>
      <w:szCs w:val="24"/>
      <w:lang w:bidi="ar-SA"/>
    </w:rPr>
  </w:style>
  <w:style w:type="character" w:customStyle="1" w:styleId="Heading8Char">
    <w:name w:val="Heading 8 Char"/>
    <w:basedOn w:val="DefaultParagraphFont"/>
    <w:link w:val="Heading8"/>
    <w:uiPriority w:val="9"/>
    <w:semiHidden/>
    <w:rsid w:val="001E5335"/>
    <w:rPr>
      <w:rFonts w:eastAsiaTheme="majorEastAsia" w:cstheme="majorBidi"/>
      <w:i/>
      <w:iCs/>
      <w:color w:val="272727" w:themeColor="text1" w:themeTint="D8"/>
      <w:sz w:val="24"/>
      <w:szCs w:val="24"/>
      <w:lang w:bidi="ar-SA"/>
    </w:rPr>
  </w:style>
  <w:style w:type="character" w:customStyle="1" w:styleId="Heading9Char">
    <w:name w:val="Heading 9 Char"/>
    <w:basedOn w:val="DefaultParagraphFont"/>
    <w:link w:val="Heading9"/>
    <w:uiPriority w:val="9"/>
    <w:semiHidden/>
    <w:rsid w:val="001E5335"/>
    <w:rPr>
      <w:rFonts w:eastAsiaTheme="majorEastAsia" w:cstheme="majorBidi"/>
      <w:color w:val="272727" w:themeColor="text1" w:themeTint="D8"/>
      <w:sz w:val="24"/>
      <w:szCs w:val="24"/>
      <w:lang w:bidi="ar-SA"/>
    </w:rPr>
  </w:style>
  <w:style w:type="paragraph" w:styleId="Quote">
    <w:name w:val="Quote"/>
    <w:basedOn w:val="Normal"/>
    <w:next w:val="Normal"/>
    <w:link w:val="QuoteChar"/>
    <w:uiPriority w:val="29"/>
    <w:qFormat/>
    <w:rsid w:val="001E533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E5335"/>
    <w:rPr>
      <w:i/>
      <w:iCs/>
      <w:color w:val="404040" w:themeColor="text1" w:themeTint="BF"/>
      <w:sz w:val="24"/>
      <w:szCs w:val="24"/>
      <w:lang w:bidi="ar-SA"/>
    </w:rPr>
  </w:style>
  <w:style w:type="paragraph" w:styleId="ListParagraph">
    <w:name w:val="List Paragraph"/>
    <w:basedOn w:val="Normal"/>
    <w:uiPriority w:val="34"/>
    <w:qFormat/>
    <w:rsid w:val="001E5335"/>
    <w:pPr>
      <w:ind w:left="720"/>
      <w:contextualSpacing/>
    </w:pPr>
  </w:style>
  <w:style w:type="character" w:styleId="IntenseEmphasis">
    <w:name w:val="Intense Emphasis"/>
    <w:basedOn w:val="DefaultParagraphFont"/>
    <w:uiPriority w:val="21"/>
    <w:qFormat/>
    <w:rsid w:val="001E5335"/>
    <w:rPr>
      <w:i/>
      <w:iCs/>
      <w:color w:val="2F5496" w:themeColor="accent1" w:themeShade="BF"/>
    </w:rPr>
  </w:style>
  <w:style w:type="paragraph" w:styleId="IntenseQuote">
    <w:name w:val="Intense Quote"/>
    <w:basedOn w:val="Normal"/>
    <w:next w:val="Normal"/>
    <w:link w:val="IntenseQuoteChar"/>
    <w:uiPriority w:val="30"/>
    <w:qFormat/>
    <w:rsid w:val="001E53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5335"/>
    <w:rPr>
      <w:i/>
      <w:iCs/>
      <w:color w:val="2F5496" w:themeColor="accent1" w:themeShade="BF"/>
      <w:sz w:val="24"/>
      <w:szCs w:val="24"/>
      <w:lang w:bidi="ar-SA"/>
    </w:rPr>
  </w:style>
  <w:style w:type="character" w:styleId="IntenseReference">
    <w:name w:val="Intense Reference"/>
    <w:basedOn w:val="DefaultParagraphFont"/>
    <w:uiPriority w:val="32"/>
    <w:qFormat/>
    <w:rsid w:val="001E5335"/>
    <w:rPr>
      <w:b/>
      <w:bCs/>
      <w:smallCaps/>
      <w:color w:val="2F5496" w:themeColor="accent1" w:themeShade="BF"/>
      <w:spacing w:val="5"/>
    </w:rPr>
  </w:style>
  <w:style w:type="paragraph" w:styleId="NormalWeb">
    <w:name w:val="Normal (Web)"/>
    <w:basedOn w:val="Normal"/>
    <w:uiPriority w:val="99"/>
    <w:semiHidden/>
    <w:unhideWhenUsed/>
    <w:rsid w:val="00D9524C"/>
    <w:pPr>
      <w:spacing w:before="100" w:beforeAutospacing="1" w:after="100" w:afterAutospacing="1" w:line="240" w:lineRule="auto"/>
      <w:jc w:val="left"/>
    </w:pPr>
    <w:rPr>
      <w:rFonts w:eastAsia="Times New Roman" w:cs="Times New Roman"/>
      <w:kern w:val="0"/>
      <w:lang w:eastAsia="en-IN"/>
      <w14:ligatures w14:val="none"/>
    </w:rPr>
  </w:style>
  <w:style w:type="character" w:styleId="Hyperlink">
    <w:name w:val="Hyperlink"/>
    <w:basedOn w:val="DefaultParagraphFont"/>
    <w:uiPriority w:val="99"/>
    <w:unhideWhenUsed/>
    <w:rsid w:val="00D9524C"/>
    <w:rPr>
      <w:color w:val="0563C1" w:themeColor="hyperlink"/>
      <w:u w:val="single"/>
    </w:rPr>
  </w:style>
  <w:style w:type="character" w:styleId="UnresolvedMention">
    <w:name w:val="Unresolved Mention"/>
    <w:basedOn w:val="DefaultParagraphFont"/>
    <w:uiPriority w:val="99"/>
    <w:semiHidden/>
    <w:unhideWhenUsed/>
    <w:rsid w:val="00D95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enbusinessbenchmark.com/archive/costa-rica-sustainability" TargetMode="External"/><Relationship Id="rId3" Type="http://schemas.openxmlformats.org/officeDocument/2006/relationships/settings" Target="settings.xml"/><Relationship Id="rId7" Type="http://schemas.openxmlformats.org/officeDocument/2006/relationships/hyperlink" Target="https://frontenacarchbiosphere.ca/sustainable-tourism-preserving-heritage-sites-ecosyste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3505033.2024.2400627"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617</Words>
  <Characters>3518</Characters>
  <Application>Microsoft Office Word</Application>
  <DocSecurity>0</DocSecurity>
  <Lines>29</Lines>
  <Paragraphs>8</Paragraphs>
  <ScaleCrop>false</ScaleCrop>
  <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User123</dc:creator>
  <cp:keywords/>
  <dc:description/>
  <cp:lastModifiedBy>Microsoft Office User</cp:lastModifiedBy>
  <cp:revision>24</cp:revision>
  <dcterms:created xsi:type="dcterms:W3CDTF">2025-09-30T07:42:00Z</dcterms:created>
  <dcterms:modified xsi:type="dcterms:W3CDTF">2025-09-30T09:22:00Z</dcterms:modified>
</cp:coreProperties>
</file>