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800"/>
        <w:jc w:val="center"/>
      </w:pPr>
      <w:r>
        <w:rPr>
          <w:rFonts w:ascii="Times New Roman" w:hAnsi="Times New Roman"/>
          <w:b/>
          <w:sz w:val="32"/>
        </w:rPr>
        <w:t>M13 – GLOBAL BUSINESS ENVIRONMENT</w:t>
      </w:r>
    </w:p>
    <w:p>
      <w:pPr>
        <w:spacing w:line="480" w:lineRule="auto"/>
        <w:jc w:val="center"/>
      </w:pPr>
      <w:r>
        <w:rPr>
          <w:rFonts w:ascii="Times New Roman" w:hAnsi="Times New Roman"/>
          <w:b/>
          <w:sz w:val="28"/>
        </w:rPr>
        <w:t>Assignment: Globalisation and International Business Strategy</w:t>
      </w:r>
    </w:p>
    <w:p>
      <w:pPr>
        <w:spacing w:line="480" w:lineRule="auto"/>
        <w:jc w:val="center"/>
      </w:pPr>
      <w:r>
        <w:rPr>
          <w:rFonts w:ascii="Times New Roman" w:hAnsi="Times New Roman"/>
          <w:b/>
          <w:sz w:val="32"/>
        </w:rPr>
        <w:t>Strategic Analysis of Unilever PLC</w:t>
      </w:r>
    </w:p>
    <w:p>
      <w:pPr>
        <w:spacing w:line="480" w:lineRule="auto"/>
        <w:jc w:val="center"/>
      </w:pPr>
      <w:r>
        <w:rPr>
          <w:rFonts w:ascii="Times New Roman" w:hAnsi="Times New Roman"/>
          <w:b w:val="0"/>
          <w:sz w:val="24"/>
        </w:rPr>
      </w:r>
    </w:p>
    <w:p>
      <w:pPr>
        <w:spacing w:line="480" w:lineRule="auto"/>
        <w:jc w:val="center"/>
      </w:pPr>
      <w:r>
        <w:rPr>
          <w:rFonts w:ascii="Times New Roman" w:hAnsi="Times New Roman"/>
          <w:b w:val="0"/>
          <w:sz w:val="24"/>
        </w:rPr>
        <w:t>Student Name: Divya</w:t>
      </w:r>
    </w:p>
    <w:p>
      <w:pPr>
        <w:spacing w:line="480" w:lineRule="auto"/>
        <w:jc w:val="center"/>
      </w:pPr>
      <w:r>
        <w:rPr>
          <w:rFonts w:ascii="Times New Roman" w:hAnsi="Times New Roman"/>
          <w:b w:val="0"/>
          <w:sz w:val="24"/>
        </w:rPr>
        <w:t>Student ID: PMB26001</w:t>
      </w:r>
    </w:p>
    <w:p>
      <w:pPr>
        <w:spacing w:line="480" w:lineRule="auto"/>
        <w:jc w:val="center"/>
      </w:pPr>
      <w:r>
        <w:rPr>
          <w:rFonts w:ascii="Times New Roman" w:hAnsi="Times New Roman"/>
          <w:b w:val="0"/>
          <w:sz w:val="24"/>
        </w:rPr>
        <w:t>Module: M13 – Global Business Environment</w:t>
      </w:r>
    </w:p>
    <w:p>
      <w:pPr>
        <w:spacing w:line="480" w:lineRule="auto"/>
        <w:jc w:val="center"/>
      </w:pPr>
      <w:r>
        <w:rPr>
          <w:rFonts w:ascii="Times New Roman" w:hAnsi="Times New Roman"/>
          <w:b w:val="0"/>
          <w:sz w:val="24"/>
        </w:rPr>
        <w:t>Submission Date: 4th September 2026</w:t>
      </w:r>
    </w:p>
    <w:p>
      <w:pPr>
        <w:spacing w:line="480" w:lineRule="auto"/>
        <w:jc w:val="center"/>
      </w:pPr>
      <w:r>
        <w:rPr>
          <w:rFonts w:ascii="Times New Roman" w:hAnsi="Times New Roman"/>
          <w:b w:val="0"/>
          <w:sz w:val="24"/>
        </w:rPr>
        <w:t>Word Count: Approximately 4,500 words (excluding references and appendices)</w:t>
      </w:r>
    </w:p>
    <w:p>
      <w:r>
        <w:br w:type="page"/>
      </w:r>
    </w:p>
    <w:p>
      <w:pPr>
        <w:jc w:val="center"/>
      </w:pPr>
      <w:r>
        <w:rPr>
          <w:rFonts w:ascii="Times New Roman" w:hAnsi="Times New Roman"/>
          <w:b/>
          <w:sz w:val="28"/>
        </w:rPr>
        <w:t>TABLE OF CONTENTS</w:t>
      </w:r>
    </w:p>
    <w:p>
      <w:pPr>
        <w:spacing w:line="480" w:lineRule="auto"/>
      </w:pPr>
      <w:r>
        <w:t>Abstract</w:t>
      </w:r>
    </w:p>
    <w:p>
      <w:pPr>
        <w:spacing w:line="480" w:lineRule="auto"/>
      </w:pPr>
      <w:r>
        <w:t>1. Introduction</w:t>
      </w:r>
    </w:p>
    <w:p>
      <w:pPr>
        <w:spacing w:line="480" w:lineRule="auto"/>
      </w:pPr>
      <w:r>
        <w:t>2. Literature Review</w:t>
      </w:r>
    </w:p>
    <w:p>
      <w:pPr>
        <w:spacing w:line="480" w:lineRule="auto"/>
      </w:pPr>
      <w:r>
        <w:t xml:space="preserve">   2.1 Globalisation and international business strategy</w:t>
      </w:r>
    </w:p>
    <w:p>
      <w:pPr>
        <w:spacing w:line="480" w:lineRule="auto"/>
      </w:pPr>
      <w:r>
        <w:t xml:space="preserve">   2.2 Dunning’s eclectic paradigm</w:t>
      </w:r>
    </w:p>
    <w:p>
      <w:pPr>
        <w:spacing w:line="480" w:lineRule="auto"/>
      </w:pPr>
      <w:r>
        <w:t xml:space="preserve">   2.3 Uppsala internationalisation model</w:t>
      </w:r>
    </w:p>
    <w:p>
      <w:pPr>
        <w:spacing w:line="480" w:lineRule="auto"/>
      </w:pPr>
      <w:r>
        <w:t xml:space="preserve">   2.4 Culture and local responsiveness</w:t>
      </w:r>
    </w:p>
    <w:p>
      <w:pPr>
        <w:spacing w:line="480" w:lineRule="auto"/>
      </w:pPr>
      <w:r>
        <w:t xml:space="preserve">   2.5 Competitive strategy and value creation</w:t>
      </w:r>
    </w:p>
    <w:p>
      <w:pPr>
        <w:spacing w:line="480" w:lineRule="auto"/>
      </w:pPr>
      <w:r>
        <w:t>3. Methodology</w:t>
      </w:r>
    </w:p>
    <w:p>
      <w:pPr>
        <w:spacing w:line="480" w:lineRule="auto"/>
      </w:pPr>
      <w:r>
        <w:t>4. Findings and Analysis</w:t>
      </w:r>
    </w:p>
    <w:p>
      <w:pPr>
        <w:spacing w:line="480" w:lineRule="auto"/>
      </w:pPr>
      <w:r>
        <w:t xml:space="preserve">   4.1 Unilever’s international position</w:t>
      </w:r>
    </w:p>
    <w:p>
      <w:pPr>
        <w:spacing w:line="480" w:lineRule="auto"/>
      </w:pPr>
      <w:r>
        <w:t xml:space="preserve">   4.2 PESTEL analysis</w:t>
      </w:r>
    </w:p>
    <w:p>
      <w:pPr>
        <w:spacing w:line="480" w:lineRule="auto"/>
      </w:pPr>
      <w:r>
        <w:t xml:space="preserve">   4.3 Integration-responsiveness analysis</w:t>
      </w:r>
    </w:p>
    <w:p>
      <w:pPr>
        <w:spacing w:line="480" w:lineRule="auto"/>
      </w:pPr>
      <w:r>
        <w:t xml:space="preserve">   4.4 OLI analysis</w:t>
      </w:r>
    </w:p>
    <w:p>
      <w:pPr>
        <w:spacing w:line="480" w:lineRule="auto"/>
      </w:pPr>
      <w:r>
        <w:t xml:space="preserve">   4.5 Global value chains and supply-chain resilience</w:t>
      </w:r>
    </w:p>
    <w:p>
      <w:pPr>
        <w:spacing w:line="480" w:lineRule="auto"/>
      </w:pPr>
      <w:r>
        <w:t xml:space="preserve">   4.6 Digital commerce and AI</w:t>
      </w:r>
    </w:p>
    <w:p>
      <w:pPr>
        <w:spacing w:line="480" w:lineRule="auto"/>
      </w:pPr>
      <w:r>
        <w:t xml:space="preserve">   4.7 Sustainability as a strategic issue</w:t>
      </w:r>
    </w:p>
    <w:p>
      <w:pPr>
        <w:spacing w:line="480" w:lineRule="auto"/>
      </w:pPr>
      <w:r>
        <w:t xml:space="preserve">   4.8 SWOT analysis</w:t>
      </w:r>
    </w:p>
    <w:p>
      <w:pPr>
        <w:spacing w:line="480" w:lineRule="auto"/>
      </w:pPr>
      <w:r>
        <w:t>5. Discussion</w:t>
      </w:r>
    </w:p>
    <w:p>
      <w:pPr>
        <w:spacing w:line="480" w:lineRule="auto"/>
      </w:pPr>
      <w:r>
        <w:t>6. Strategic Recommendations</w:t>
      </w:r>
    </w:p>
    <w:p>
      <w:pPr>
        <w:spacing w:line="480" w:lineRule="auto"/>
      </w:pPr>
      <w:r>
        <w:t>7. Conclusion</w:t>
      </w:r>
    </w:p>
    <w:p>
      <w:pPr>
        <w:spacing w:line="480" w:lineRule="auto"/>
      </w:pPr>
      <w:r>
        <w:t>References</w:t>
      </w:r>
    </w:p>
    <w:p>
      <w:pPr>
        <w:spacing w:line="480" w:lineRule="auto"/>
      </w:pPr>
      <w:r>
        <w:t>Appendix A: PESTEL analytical summary</w:t>
      </w:r>
    </w:p>
    <w:p>
      <w:pPr>
        <w:spacing w:line="480" w:lineRule="auto"/>
      </w:pPr>
      <w:r>
        <w:t>Appendix B: Integration-responsiveness summary</w:t>
      </w:r>
    </w:p>
    <w:p>
      <w:r>
        <w:br w:type="page"/>
      </w:r>
    </w:p>
    <w:p>
      <w:pPr>
        <w:pStyle w:val="Heading1"/>
        <w:pageBreakBefore w:val="0"/>
      </w:pPr>
      <w:r>
        <w:t>Abstract</w:t>
      </w:r>
    </w:p>
    <w:p>
      <w:pPr>
        <w:spacing w:line="480" w:lineRule="auto"/>
        <w:ind w:firstLine="720"/>
        <w:jc w:val="both"/>
      </w:pPr>
      <w:r>
        <w:t>Globalisation has transformed the competitive environment in which multinational enterprises operate. Firms increasingly combine international scale, global brands, cross-border supply networks, digital channels and local market adaptation. This report analyses how globalisation influences the international business strategy of Unilever PLC, a multinational consumer-goods company whose products are sold in more than 190 countries. The analysis applies the integration-responsiveness framework, Dunning’s eclectic paradigm, the Uppsala internationalisation model, PESTEL, SWOT and Porter’s value-chain logic to evaluate Unilever’s international position. Evidence from Unilever’s 2025 Annual Report, its sustainability disclosures and international trade institutions shows that the company operates in an environment characterised by growth opportunities in emerging markets, currency volatility, changing consumer preferences, digital commerce, geopolitical uncertainty, supply-chain disruption and rising environmental expectations. Unilever’s current strategy combines global scale with local execution, a focused portfolio, premiumisation, digital commerce and increased use of technology and AI. The report argues that the strategic challenge is not simply whether Unilever should globalise, but how it should coordinate global capabilities while retaining enough local responsiveness to remain relevant across diverse markets. Strategic recommendations therefore focus on a disciplined transnational approach, regional supply-chain resilience, data-driven localisation, responsible AI and digital commerce, and measurable sustainability integration. The report concludes that effective international strategy requires continuous balancing of standardisation, adaptation, efficiency, resilience and responsible growth.</w:t>
      </w:r>
    </w:p>
    <w:p>
      <w:pPr>
        <w:pStyle w:val="Heading1"/>
        <w:pageBreakBefore/>
      </w:pPr>
      <w:r>
        <w:t>1. Introduction</w:t>
      </w:r>
    </w:p>
    <w:p>
      <w:pPr>
        <w:spacing w:line="480" w:lineRule="auto"/>
        <w:ind w:firstLine="720"/>
        <w:jc w:val="both"/>
      </w:pPr>
      <w:r>
        <w:t>Globalisation has altered the structure of international business by increasing the movement of goods, services, capital, knowledge, technology and organisational capabilities across national borders. Contemporary multinational enterprises (MNEs) do not operate simply as exporters selling standardised products overseas. They coordinate networks of subsidiaries, suppliers, distributors, digital platforms and strategic partners across multiple institutional environments. The World Trade Organization (WTO, 2026) reports that world trade in goods and commercial services reached US$34.89 trillion in 2025, while the share of services in global trade reached 27.5%. The Organisation for Economic Co-operation and Development (OECD, 2026) similarly reports that global value chains remained at historically high levels in 2024, with trade linked to global value chains accounting for about 17% of global GDP. These trends illustrate why international strategy has become increasingly concerned with both market opportunities and the resilience of cross-border networks.</w:t>
      </w:r>
    </w:p>
    <w:p>
      <w:pPr>
        <w:spacing w:line="480" w:lineRule="auto"/>
        <w:ind w:hanging="720" w:left="720"/>
        <w:jc w:val="both"/>
      </w:pPr>
      <w:r>
        <w:t>Unilever PLC provides a useful case for analysing these issues. The company sells consumer products in more than 190 countries and reported turnover of €50.5 billion in 2025. Approximately 59% of turnover came from emerging markets, demonstrating the importance of international diversification to the business (Unilever PLC, 2026a). Unilever’s portfolio includes brands in Beauty &amp; Wellbeing, Personal Care, Home Care and Foods, although the portfolio has been undergoing significant reshaping. In 2025, Power Brands generated 78% of turnover, while the company emphasised seven growth priorities: Beauty, Wellbeing, Personal Care, Premium, Digital Commerce, the United States and India (Unilever PLC, 2026a, 2026b). In 2026, Unilever also announced a transaction to combine its Foods business with McCormick, illustrating the continuing strategic importance of portfolio focus (Unilever PLC, 2026e).</w:t>
      </w:r>
    </w:p>
    <w:p>
      <w:pPr>
        <w:spacing w:line="480" w:lineRule="auto"/>
        <w:ind w:firstLine="720"/>
        <w:jc w:val="both"/>
      </w:pPr>
      <w:r>
        <w:t>This report examines how globalisation shapes Unilever’s international business strategy. It asks four central questions. First, what major global business-environment forces influence Unilever? Second, which international business theories best explain its international strategy? Third, how does Unilever balance global integration with local responsiveness? Fourth, what strategic actions could strengthen its competitiveness and resilience in the international environment?</w:t>
      </w:r>
    </w:p>
    <w:p>
      <w:pPr>
        <w:spacing w:line="480" w:lineRule="auto"/>
        <w:ind w:firstLine="720"/>
        <w:jc w:val="both"/>
      </w:pPr>
      <w:r>
        <w:t>The report uses secondary research and applies established international-business and strategy frameworks. The analysis distinguishes between documented company strategy and the report’s strategic interpretation. It focuses primarily on information available through Unilever’s 2025 reporting and relevant international-business literature, while recognising that the global environment continues to change rapidly.</w:t>
      </w:r>
    </w:p>
    <w:p>
      <w:pPr>
        <w:pStyle w:val="Heading1"/>
        <w:pageBreakBefore/>
      </w:pPr>
      <w:r>
        <w:t>2. Literature Review</w:t>
      </w:r>
    </w:p>
    <w:p>
      <w:pPr>
        <w:pStyle w:val="Heading2"/>
      </w:pPr>
      <w:r>
        <w:t>2.1 Globalisation and international business strategy</w:t>
      </w:r>
    </w:p>
    <w:p>
      <w:pPr>
        <w:spacing w:line="480" w:lineRule="auto"/>
        <w:ind w:firstLine="720"/>
        <w:jc w:val="both"/>
      </w:pPr>
      <w:r>
        <w:t>Globalisation creates both efficiency opportunities and strategic complexity. Firms can spread fixed costs across larger markets, access international talent and suppliers, locate activities where capabilities are strongest and transfer knowledge between subsidiaries. At the same time, differences in regulation, culture, purchasing power, infrastructure and consumer behaviour prevent a purely standardised approach from being universally effective. The central strategic problem for many MNEs is therefore how to capture economies of scale without losing local relevance.</w:t>
      </w:r>
    </w:p>
    <w:p>
      <w:pPr>
        <w:spacing w:line="480" w:lineRule="auto"/>
        <w:ind w:firstLine="720"/>
        <w:jc w:val="both"/>
      </w:pPr>
      <w:r>
        <w:t>The integration-responsiveness (I-R) framework is particularly useful for this problem. The framework distinguishes global integration, which involves coordination and standardisation across countries, from local responsiveness, which involves adaptation to national market requirements. International strategies can be understood in terms of different balances between these pressures. A transnational orientation attempts to combine the advantages of global integration with the benefits of local responsiveness (Bartlett &amp; Ghoshal, 1989). Contemporary research notes, however, that this balance is organisationally demanding and cannot be assumed to produce the same results in every subsidiary (Meyer et al., 2015).</w:t>
      </w:r>
    </w:p>
    <w:p>
      <w:pPr>
        <w:spacing w:line="480" w:lineRule="auto"/>
        <w:ind w:firstLine="720"/>
        <w:jc w:val="both"/>
      </w:pPr>
      <w:r>
        <w:t>For a company such as Unilever, global integration can involve common brand platforms, global research and development, procurement scale, data systems and shared manufacturing capabilities. Local responsiveness can involve product formulations, pack sizes, pricing, advertising, distribution channels and cultural communication. The strategic issue is therefore not standardisation versus adaptation as an absolute choice, but deciding which elements should be global, regional or local.</w:t>
      </w:r>
    </w:p>
    <w:p>
      <w:pPr>
        <w:pStyle w:val="Heading2"/>
      </w:pPr>
      <w:r>
        <w:t>2.2 Dunning’s eclectic paradigm</w:t>
      </w:r>
    </w:p>
    <w:p>
      <w:pPr>
        <w:spacing w:line="480" w:lineRule="auto"/>
        <w:ind w:firstLine="720"/>
        <w:jc w:val="both"/>
      </w:pPr>
      <w:r>
        <w:t>Dunning’s (1988) eclectic paradigm explains foreign production through three categories of advantage: ownership (O), location (L) and internalisation (I). Ownership advantages refer to firm-specific resources such as brands, technology, managerial knowledge and organisational capabilities. Location advantages refer to the characteristics of particular countries or regions that make them attractive for business activity. Internalisation advantages explain why a firm may prefer to control activities internally rather than rely entirely on market contracts.</w:t>
      </w:r>
    </w:p>
    <w:p>
      <w:pPr>
        <w:spacing w:line="480" w:lineRule="auto"/>
        <w:ind w:firstLine="720"/>
        <w:jc w:val="both"/>
      </w:pPr>
      <w:r>
        <w:t>The OLI perspective is relevant to Unilever because its international expansion depends heavily on transferable intangible assets. Strong brands, marketing capabilities, R&amp;D, consumer insights, distribution expertise and supply-chain knowledge can be transferred across countries. Location considerations then influence where products are manufactured, where innovation is developed and where investment is allocated. Internalisation can protect brand knowledge, quality standards and strategic know-how while allowing Unilever to coordinate activities across its global network.</w:t>
      </w:r>
    </w:p>
    <w:p>
      <w:pPr>
        <w:pStyle w:val="Heading2"/>
      </w:pPr>
      <w:r>
        <w:t>2.3 Uppsala internationalisation model</w:t>
      </w:r>
    </w:p>
    <w:p>
      <w:pPr>
        <w:spacing w:line="480" w:lineRule="auto"/>
        <w:ind w:firstLine="720"/>
        <w:jc w:val="both"/>
      </w:pPr>
      <w:r>
        <w:t>The Uppsala model explains internationalisation as an evolving process in which firms develop market knowledge and commitment over time. The revised model emphasises networks and argues that being an insider in relevant business relationships can be more important than simple geographical distance. Johanson and Vahlne (2009) therefore highlight knowledge development, trust-building and network relationships as important parts of internationalisation.</w:t>
      </w:r>
    </w:p>
    <w:p>
      <w:pPr>
        <w:spacing w:line="480" w:lineRule="auto"/>
        <w:ind w:firstLine="720"/>
        <w:jc w:val="both"/>
      </w:pPr>
      <w:r>
        <w:t>For a mature MNE such as Unilever, the model is useful not because the company is gradually becoming international for the first time, but because international success still depends on continuous learning. New markets require knowledge of consumers, regulators, retailers, suppliers and local institutions. Digital channels can accelerate learning, but they do not eliminate the need for relationships and market-specific knowledge.</w:t>
      </w:r>
    </w:p>
    <w:p>
      <w:pPr>
        <w:pStyle w:val="Heading2"/>
      </w:pPr>
      <w:r>
        <w:t>2.4 Culture and local responsiveness</w:t>
      </w:r>
    </w:p>
    <w:p>
      <w:pPr>
        <w:spacing w:line="480" w:lineRule="auto"/>
        <w:ind w:firstLine="720"/>
        <w:jc w:val="both"/>
      </w:pPr>
      <w:r>
        <w:t>Culture affects consumer preferences, communication, management practices and the interpretation of brands. Hofstede-inspired research has contributed to international business by identifying national-level cultural patterns, although later scholarship has questioned the assumption that countries are internally homogeneous or culturally static (Beugelsdijk et al., 2017). For strategic purposes, culture should therefore be treated as one source of market variation rather than as a rigid prediction of consumer behaviour.</w:t>
      </w:r>
    </w:p>
    <w:p>
      <w:pPr>
        <w:spacing w:line="480" w:lineRule="auto"/>
        <w:ind w:firstLine="720"/>
        <w:jc w:val="both"/>
      </w:pPr>
      <w:r>
        <w:t>Unilever’s broad product portfolio makes cultural responsiveness particularly important. Personal-care products, food products and household products are embedded in everyday routines and can be strongly affected by local habits, religious considerations, climate, income and social norms. Global brands therefore need a coherent identity while allowing local teams to adjust execution.</w:t>
      </w:r>
    </w:p>
    <w:p>
      <w:pPr>
        <w:pStyle w:val="Heading2"/>
      </w:pPr>
      <w:r>
        <w:t>2.5 Competitive strategy and value creation</w:t>
      </w:r>
    </w:p>
    <w:p>
      <w:pPr>
        <w:spacing w:line="480" w:lineRule="auto"/>
        <w:ind w:firstLine="720"/>
        <w:jc w:val="both"/>
      </w:pPr>
      <w:r>
        <w:t>Porter’s (1985) value-chain perspective suggests that competitive advantage emerges from the configuration and coordination of activities such as inbound logistics, operations, outbound logistics, marketing and sales, service, procurement, technology development and human-resource management. For an international consumer-goods company, globalisation can create value by coordinating these activities across countries.</w:t>
      </w:r>
    </w:p>
    <w:p>
      <w:pPr>
        <w:spacing w:line="480" w:lineRule="auto"/>
        <w:ind w:firstLine="720"/>
        <w:jc w:val="both"/>
      </w:pPr>
      <w:r>
        <w:t>Unilever’s international scale can support purchasing power, R&amp;D efficiency, manufacturing learning and brand investment. However, scale can also create complexity. Too many SKUs, duplicated processes or poorly coordinated local activities can raise costs. The company’s recent simplification agenda, including the reduction of SKUs and concentration on Power Brands, can therefore be interpreted as an attempt to capture more value from global scale (Unilever PLC, 2026a).</w:t>
      </w:r>
    </w:p>
    <w:p>
      <w:pPr>
        <w:pStyle w:val="Heading1"/>
        <w:pageBreakBefore/>
      </w:pPr>
      <w:r>
        <w:t>3. Methodology</w:t>
      </w:r>
    </w:p>
    <w:p>
      <w:pPr>
        <w:spacing w:line="480" w:lineRule="auto"/>
        <w:ind w:firstLine="720"/>
        <w:jc w:val="both"/>
      </w:pPr>
      <w:r>
        <w:t>This report uses a qualitative secondary-research case-study approach. Unilever PLC was selected because its international footprint, diversified markets, strong consumer brands and supply-chain exposure make it appropriate for analysing globalisation and international strategy. The main corporate evidence comes from Unilever’s 2025 Annual Report and Accounts, its strategy disclosures and sustainability statement. External contextual evidence comes from the WTO and OECD, while academic literature provides the theoretical foundations.</w:t>
      </w:r>
    </w:p>
    <w:p>
      <w:pPr>
        <w:spacing w:line="480" w:lineRule="auto"/>
        <w:ind w:firstLine="720"/>
        <w:jc w:val="both"/>
      </w:pPr>
      <w:r>
        <w:t>The analysis applies five strategic lenses. PESTEL is used to identify external political, economic, social, technological, environmental and legal pressures. The integration-responsiveness framework is used to examine the balance between standardisation and adaptation. Dunning’s OLI framework is used to interpret international production and investment. The Uppsala model is used to examine knowledge, networks and market learning. SWOT and value-chain analysis are then used to integrate the findings and translate them into strategic recommendations.</w:t>
      </w:r>
    </w:p>
    <w:p>
      <w:pPr>
        <w:spacing w:line="480" w:lineRule="auto"/>
        <w:ind w:firstLine="720"/>
        <w:jc w:val="both"/>
      </w:pPr>
      <w:r>
        <w:t>A limitation of the methodology is that the report relies on public secondary sources rather than interviews with managers, consumers or suppliers. Corporate reports also represent management’s perspective and may emphasise strategic progress. Therefore, company claims are treated as evidence of stated strategy and reported performance rather than as independent proof of every underlying outcome.</w:t>
      </w:r>
    </w:p>
    <w:p>
      <w:pPr>
        <w:pStyle w:val="Heading1"/>
        <w:pageBreakBefore/>
      </w:pPr>
      <w:r>
        <w:t>4. Findings and Analysis</w:t>
      </w:r>
    </w:p>
    <w:p>
      <w:pPr>
        <w:pStyle w:val="Heading2"/>
      </w:pPr>
      <w:r>
        <w:t>4.1 Unilever’s international position</w:t>
      </w:r>
    </w:p>
    <w:p>
      <w:pPr>
        <w:spacing w:line="480" w:lineRule="auto"/>
        <w:ind w:firstLine="720"/>
        <w:jc w:val="both"/>
      </w:pPr>
      <w:r>
        <w:t>Unilever’s international scale is a central component of its business model. The company reports that its products are sold in 190 countries and used by 3.7 billion people each day. In 2025, turnover was €50.5 billion, with 59% generated in emerging markets and 41% in developed markets. The United States was the largest individual market, while India was another major market and a stated strategic priority (Unilever PLC, 2026a, 2026d).</w:t>
      </w:r>
    </w:p>
    <w:p>
      <w:pPr>
        <w:spacing w:line="480" w:lineRule="auto"/>
        <w:ind w:firstLine="720"/>
        <w:jc w:val="both"/>
      </w:pPr>
      <w:r>
        <w:t>This geographic distribution creates diversification benefits because the company is not dependent on one national economy. It also creates exposure to different currencies, regulations, economic cycles and consumer trends. In 2025, Unilever reported a 5.9% negative currency impact on turnover, illustrating how international diversification can increase financial volatility even when underlying sales growth remains positive. Underlying sales growth was 3.5%, consisting of 1.5% volume growth and 2.0% price growth (Unilever PLC, 2026a).</w:t>
      </w:r>
    </w:p>
    <w:p>
      <w:pPr>
        <w:spacing w:line="480" w:lineRule="auto"/>
        <w:ind w:firstLine="720"/>
        <w:jc w:val="both"/>
      </w:pPr>
      <w:r>
        <w:t>The company’s strategic response has been greater focus. Power Brands accounted for 78% of turnover in 2025, and Unilever has concentrated resources on four business groups and seven growth priorities. This suggests a move away from managing a highly dispersed portfolio towards a smaller number of scalable growth platforms.</w:t>
      </w:r>
    </w:p>
    <w:p>
      <w:pPr>
        <w:pStyle w:val="Heading2"/>
      </w:pPr>
      <w:r>
        <w:t>4.2 PESTEL analysis</w:t>
      </w:r>
    </w:p>
    <w:p>
      <w:pPr>
        <w:spacing w:line="480" w:lineRule="auto"/>
      </w:pPr>
      <w:r>
        <w:rPr>
          <w:rFonts w:ascii="Times New Roman" w:hAnsi="Times New Roman"/>
          <w:b/>
          <w:sz w:val="24"/>
        </w:rPr>
        <w:t>Political factors</w:t>
      </w:r>
    </w:p>
    <w:p>
      <w:pPr>
        <w:spacing w:line="480" w:lineRule="auto"/>
        <w:ind w:firstLine="720"/>
        <w:jc w:val="both"/>
      </w:pPr>
      <w:r>
        <w:t>Unilever operates across countries with different political systems, trade policies, tax structures and regulatory environments. Geopolitical tensions can affect shipping routes, commodity costs, foreign-exchange markets and investment decisions. The company’s exposure to emerging markets means that political and economic uncertainty in regions such as Latin America can directly affect performance. In 2025, Unilever reported that Latin America experienced challenging conditions and that economic and political uncertainty affected performance (Unilever PLC, 2026a).</w:t>
      </w:r>
    </w:p>
    <w:p>
      <w:pPr>
        <w:spacing w:line="480" w:lineRule="auto"/>
        <w:ind w:firstLine="720"/>
        <w:jc w:val="both"/>
      </w:pPr>
      <w:r>
        <w:t>The strategic implication is that international diversification should be combined with scenario planning. A global firm cannot eliminate geopolitical risk, but it can reduce concentration risk by diversifying suppliers, manufacturing locations, logistics routes and market exposures.</w:t>
      </w:r>
    </w:p>
    <w:p>
      <w:pPr>
        <w:spacing w:line="480" w:lineRule="auto"/>
      </w:pPr>
      <w:r>
        <w:rPr>
          <w:rFonts w:ascii="Times New Roman" w:hAnsi="Times New Roman"/>
          <w:b/>
          <w:sz w:val="24"/>
        </w:rPr>
        <w:t>Economic factors</w:t>
      </w:r>
    </w:p>
    <w:p>
      <w:pPr>
        <w:spacing w:line="480" w:lineRule="auto"/>
        <w:ind w:firstLine="720"/>
        <w:jc w:val="both"/>
      </w:pPr>
      <w:r>
        <w:t>Inflation, interest rates, exchange rates and consumer purchasing power affect consumer-goods demand. Unilever’s 2025 results demonstrate the importance of foreign exchange: turnover declined 3.8% on a reported basis even though underlying sales grew 3.5%, partly because of currency effects. Emerging markets remain important growth sources, but they can also be more volatile (Unilever PLC, 2026a).</w:t>
      </w:r>
    </w:p>
    <w:p>
      <w:pPr>
        <w:spacing w:line="480" w:lineRule="auto"/>
        <w:ind w:firstLine="720"/>
        <w:jc w:val="both"/>
      </w:pPr>
      <w:r>
        <w:t>The economic environment also affects premiumisation. Higher-income consumers may support premium beauty and wellbeing products, while cost-conscious consumers may trade down or seek smaller pack sizes during economic pressure. Unilever therefore needs a portfolio that can address different income levels without weakening brand equity.</w:t>
      </w:r>
    </w:p>
    <w:p>
      <w:pPr>
        <w:spacing w:line="480" w:lineRule="auto"/>
      </w:pPr>
      <w:r>
        <w:rPr>
          <w:rFonts w:ascii="Times New Roman" w:hAnsi="Times New Roman"/>
          <w:b/>
          <w:sz w:val="24"/>
        </w:rPr>
        <w:t>Social factors</w:t>
      </w:r>
    </w:p>
    <w:p>
      <w:pPr>
        <w:spacing w:line="480" w:lineRule="auto"/>
        <w:ind w:firstLine="720"/>
        <w:jc w:val="both"/>
      </w:pPr>
      <w:r>
        <w:t>Consumer expectations are changing around health, wellbeing, inclusion, convenience and sustainability. Social-media platforms have also changed how consumers discover brands and interact with companies. Unilever’s emphasis on Beauty, Wellbeing, Personal Care and digital commerce reflects these shifts (Unilever PLC, 2026b).</w:t>
      </w:r>
    </w:p>
    <w:p>
      <w:pPr>
        <w:spacing w:line="480" w:lineRule="auto"/>
        <w:ind w:firstLine="720"/>
        <w:jc w:val="both"/>
      </w:pPr>
      <w:r>
        <w:t>Cultural diversity makes local execution important. A product concept that succeeds in one country may need a different formulation, packaging format, price point or communication approach elsewhere. The implication is that Unilever should maintain global brand principles but give local teams authority over culturally sensitive execution.</w:t>
      </w:r>
    </w:p>
    <w:p>
      <w:pPr>
        <w:spacing w:line="480" w:lineRule="auto"/>
      </w:pPr>
      <w:r>
        <w:rPr>
          <w:rFonts w:ascii="Times New Roman" w:hAnsi="Times New Roman"/>
          <w:b/>
          <w:sz w:val="24"/>
        </w:rPr>
        <w:t>Technological factors</w:t>
      </w:r>
    </w:p>
    <w:p>
      <w:pPr>
        <w:spacing w:line="480" w:lineRule="auto"/>
        <w:ind w:firstLine="720"/>
        <w:jc w:val="both"/>
      </w:pPr>
      <w:r>
        <w:t>Technology is changing R&amp;D, marketing, supply chains and consumer engagement. Unilever’s 2025 strategy identifies being “Fit for the AI Age” as one of its three fundamental shifts and highlights AI and technology as tools for creativity, growth and margin expansion. The company also reports using AI-powered simulations in R&amp;D to accelerate innovation (Unilever PLC, 2026a, 2026b).</w:t>
      </w:r>
    </w:p>
    <w:p>
      <w:pPr>
        <w:spacing w:line="480" w:lineRule="auto"/>
        <w:ind w:firstLine="720"/>
        <w:jc w:val="both"/>
      </w:pPr>
      <w:r>
        <w:t>Digital commerce creates another major opportunity. It can provide direct consumer data, faster experimentation and new routes to market. However, digital channels also increase price transparency and competition, making brand differentiation and data capabilities more important.</w:t>
      </w:r>
    </w:p>
    <w:p>
      <w:pPr>
        <w:spacing w:line="480" w:lineRule="auto"/>
      </w:pPr>
      <w:r>
        <w:rPr>
          <w:rFonts w:ascii="Times New Roman" w:hAnsi="Times New Roman"/>
          <w:b/>
          <w:sz w:val="24"/>
        </w:rPr>
        <w:t>Environmental factors</w:t>
      </w:r>
    </w:p>
    <w:p>
      <w:pPr>
        <w:spacing w:line="480" w:lineRule="auto"/>
        <w:ind w:firstLine="720"/>
        <w:jc w:val="both"/>
      </w:pPr>
      <w:r>
        <w:t>Consumer-goods companies face environmental pressures from climate change, packaging waste, water use, agriculture and supply-chain emissions. Unilever’s sustainability strategy focuses on climate, nature, plastics and livelihoods. Its climate targets include a 100% reduction in Scope 1 and 2 emissions by 2030 from a 2015 baseline and a 42% reduction in specified Scope 3 energy and industrial emissions by 2030 from a 2021 baseline. Its longer-term ambition is net-zero greenhouse-gas emissions by 2039 (Unilever PLC, 2026c).</w:t>
      </w:r>
    </w:p>
    <w:p>
      <w:pPr>
        <w:spacing w:line="480" w:lineRule="auto"/>
        <w:ind w:firstLine="720"/>
        <w:jc w:val="both"/>
      </w:pPr>
      <w:r>
        <w:t>The strategic challenge is that much of a consumer-goods company’s environmental footprint occurs outside its direct operations. Supplier engagement, packaging redesign, renewable energy, logistics efficiency and product-use changes are therefore critical.</w:t>
      </w:r>
    </w:p>
    <w:p>
      <w:pPr>
        <w:spacing w:line="480" w:lineRule="auto"/>
      </w:pPr>
      <w:r>
        <w:rPr>
          <w:rFonts w:ascii="Times New Roman" w:hAnsi="Times New Roman"/>
          <w:b/>
          <w:sz w:val="24"/>
        </w:rPr>
        <w:t>Legal factors</w:t>
      </w:r>
    </w:p>
    <w:p>
      <w:pPr>
        <w:spacing w:line="480" w:lineRule="auto"/>
        <w:ind w:firstLine="720"/>
        <w:jc w:val="both"/>
      </w:pPr>
      <w:r>
        <w:t>Unilever faces different product-safety, advertising, data-protection, labour, environmental and competition rules. Digital commerce and AI increase the importance of privacy, cybersecurity and responsible data governance. Sustainability claims also face increasing scrutiny. International standardisation can reduce cost, but compliance must reflect national legal requirements.</w:t>
      </w:r>
    </w:p>
    <w:p>
      <w:pPr>
        <w:pStyle w:val="Heading2"/>
      </w:pPr>
      <w:r>
        <w:t>4.3 Integration-responsiveness analysis</w:t>
      </w:r>
    </w:p>
    <w:p>
      <w:pPr>
        <w:spacing w:line="480" w:lineRule="auto"/>
        <w:ind w:firstLine="720"/>
        <w:jc w:val="both"/>
      </w:pPr>
      <w:r>
        <w:t>Unilever’s strategy demonstrates elements of both global integration and local responsiveness. Global integration is visible in its Power Brands, global innovation platforms, shared technology, supply-chain programmes and portfolio simplification. The company reported that its product mix has become more global and centred on Power Brands, and that SKU reduction has improved operational efficiency (Unilever PLC, 2026a, 2026b).</w:t>
      </w:r>
    </w:p>
    <w:p>
      <w:pPr>
        <w:spacing w:line="480" w:lineRule="auto"/>
        <w:ind w:firstLine="720"/>
        <w:jc w:val="both"/>
      </w:pPr>
      <w:r>
        <w:t>Local responsiveness remains necessary because consumer needs differ substantially between countries. Unilever’s growth in India, Indonesia and other emerging markets depends on local market knowledge, pricing, distribution and product adaptation. The company reported 4.0% underlying sales growth in India in 2025 and 4.0% in Indonesia, illustrating the continuing importance of market-specific execution (Unilever PLC, 2026a).</w:t>
      </w:r>
    </w:p>
    <w:p>
      <w:pPr>
        <w:spacing w:line="480" w:lineRule="auto"/>
        <w:ind w:firstLine="720"/>
        <w:jc w:val="both"/>
      </w:pPr>
      <w:r>
        <w:t>This balance resembles the logic of a transnational strategy. Headquarters can provide global brand assets, technology, capital allocation and procurement capabilities, while country and regional teams adapt products and marketing to local needs. The risk is organisational complexity. If every market independently adapts too many products and processes, scale economies disappear. If headquarters standardises excessively, local relevance can decline. The strategic objective should therefore be selective integration: standardise what creates scale or protects the brand, and localise what directly affects consumer relevance and regulatory compliance.</w:t>
      </w:r>
    </w:p>
    <w:p>
      <w:pPr>
        <w:pStyle w:val="Heading2"/>
      </w:pPr>
      <w:r>
        <w:t>4.4 OLI analysis</w:t>
      </w:r>
    </w:p>
    <w:p>
      <w:pPr>
        <w:spacing w:line="480" w:lineRule="auto"/>
        <w:ind w:firstLine="720"/>
        <w:jc w:val="both"/>
      </w:pPr>
      <w:r>
        <w:t>Ownership advantages are among Unilever’s strongest international assets. The company has valuable brands, marketing expertise, consumer insight, R&amp;D capabilities and global distribution relationships. Its Power Brands represent a large proportion of turnover, suggesting that brand equity is a key ownership-specific resource.</w:t>
      </w:r>
    </w:p>
    <w:p>
      <w:pPr>
        <w:spacing w:line="480" w:lineRule="auto"/>
        <w:ind w:firstLine="720"/>
        <w:jc w:val="both"/>
      </w:pPr>
      <w:r>
        <w:t>Location advantages vary across markets. The United States provides a large developed consumer market and strong premium categories. India provides a large population, growing consumption opportunities and an important strategic position in emerging markets. Other locations provide manufacturing capabilities, lower-cost sourcing, specialised suppliers or regional market access.</w:t>
      </w:r>
    </w:p>
    <w:p>
      <w:pPr>
        <w:spacing w:line="480" w:lineRule="auto"/>
        <w:ind w:firstLine="720"/>
        <w:jc w:val="both"/>
      </w:pPr>
      <w:r>
        <w:t>Internalisation advantages arise when Unilever can create more value by coordinating activities within its own organisational network. Examples include protecting brand knowledge, managing product quality, integrating R&amp;D and marketing, and coordinating supply-chain investments. However, internalisation should not mean doing everything internally. Partnerships with retailers, technology companies, logistics providers and local suppliers can provide complementary capabilities.</w:t>
      </w:r>
    </w:p>
    <w:p>
      <w:pPr>
        <w:pStyle w:val="Heading2"/>
      </w:pPr>
      <w:r>
        <w:t>4.5 Global value chains and supply-chain resilience</w:t>
      </w:r>
    </w:p>
    <w:p>
      <w:pPr>
        <w:spacing w:line="480" w:lineRule="auto"/>
        <w:ind w:firstLine="720"/>
        <w:jc w:val="both"/>
      </w:pPr>
      <w:r>
        <w:t>Globalisation has enabled firms to source materials and services internationally, but recent disruptions have demonstrated the importance of resilience. The OECD (2026) reports that global value chains remain central to the world economy. For Unilever, this means that procurement and manufacturing decisions cannot be evaluated only on unit cost.</w:t>
      </w:r>
    </w:p>
    <w:p>
      <w:pPr>
        <w:spacing w:line="480" w:lineRule="auto"/>
        <w:ind w:firstLine="720"/>
        <w:jc w:val="both"/>
      </w:pPr>
      <w:r>
        <w:t>A resilient supply chain should consider cost, lead time, supplier concentration, geopolitical risk, climate exposure and substitutability. Unilever’s 2025 strategy includes greater vertical integration in parts of Home Care, including producing key materials and designing fragrances in-house. The company also reported investments in manufacturing capacity in emerging markets and distribution-centre changes (Unilever PLC, 2026a, 2026b).</w:t>
      </w:r>
    </w:p>
    <w:p>
      <w:pPr>
        <w:spacing w:line="480" w:lineRule="auto"/>
        <w:ind w:firstLine="720"/>
        <w:jc w:val="both"/>
      </w:pPr>
      <w:r>
        <w:t>A key strategic opportunity is regionalisation. Rather than choosing between completely global supply chains and completely local supply chains, Unilever can build regional supply networks with selected global standards. Critical inputs can have dual or multiple suppliers, while production can be located closer to major consumer markets. This would reduce the impact of trade disruptions and transport shocks.</w:t>
      </w:r>
    </w:p>
    <w:p>
      <w:pPr>
        <w:pStyle w:val="Heading2"/>
      </w:pPr>
      <w:r>
        <w:t>4.6 Digital commerce and AI</w:t>
      </w:r>
    </w:p>
    <w:p>
      <w:pPr>
        <w:spacing w:line="480" w:lineRule="auto"/>
        <w:ind w:firstLine="720"/>
        <w:jc w:val="both"/>
      </w:pPr>
      <w:r>
        <w:t>Digitalisation changes the competitive structure of consumer goods. Traditional consumer-goods companies depended heavily on retailers for access to consumers and sales information. Digital commerce can provide more direct insight into consumer behaviour and enable faster testing of products, pricing and marketing.</w:t>
      </w:r>
    </w:p>
    <w:p>
      <w:pPr>
        <w:spacing w:line="480" w:lineRule="auto"/>
        <w:ind w:firstLine="720"/>
        <w:jc w:val="both"/>
      </w:pPr>
      <w:r>
        <w:t>Unilever’s stated strategic priorities include digital commerce and becoming fit for the AI age. The company has also reported AI applications in R&amp;D. The strategic value of AI extends beyond automation. It can support demand forecasting, media optimisation, product concept testing, supply-chain planning and consumer personalisation (Unilever PLC, 2026a).</w:t>
      </w:r>
    </w:p>
    <w:p>
      <w:pPr>
        <w:spacing w:line="480" w:lineRule="auto"/>
        <w:ind w:firstLine="720"/>
        <w:jc w:val="both"/>
      </w:pPr>
      <w:r>
        <w:t>However, AI also creates risks. Poor-quality data can produce biased or inaccurate decisions. Data protection requirements differ by market, and opaque automated decisions can damage trust. Unilever therefore needs governance mechanisms covering data quality, privacy, model validation, intellectual property and human oversight.</w:t>
      </w:r>
    </w:p>
    <w:p>
      <w:pPr>
        <w:pStyle w:val="Heading2"/>
      </w:pPr>
      <w:r>
        <w:t>4.7 Sustainability as a strategic issue</w:t>
      </w:r>
    </w:p>
    <w:p>
      <w:pPr>
        <w:spacing w:line="480" w:lineRule="auto"/>
        <w:ind w:firstLine="720"/>
        <w:jc w:val="both"/>
      </w:pPr>
      <w:r>
        <w:t>Sustainability is increasingly connected to international competitiveness. Climate change can disrupt agricultural inputs, water availability, logistics and manufacturing. Plastic regulation can increase packaging costs and require redesign. Consumers and retailers may also demand evidence of responsible sourcing.</w:t>
      </w:r>
    </w:p>
    <w:p>
      <w:pPr>
        <w:spacing w:line="480" w:lineRule="auto"/>
        <w:ind w:firstLine="720"/>
        <w:jc w:val="both"/>
      </w:pPr>
      <w:r>
        <w:t>Unilever’s climate targets and sustainability priorities show that sustainability is integrated into its strategic agenda. Yet implementation is difficult because Scope 3 emissions are spread across suppliers, logistics providers and consumers. Achieving meaningful reductions therefore requires collaboration rather than internal action alone (Unilever PLC, 2026c).</w:t>
      </w:r>
    </w:p>
    <w:p>
      <w:pPr>
        <w:spacing w:line="480" w:lineRule="auto"/>
        <w:ind w:firstLine="720"/>
        <w:jc w:val="both"/>
      </w:pPr>
      <w:r>
        <w:t>Sustainability can also create innovation opportunities. Packaging redesign, concentrated products, refill systems, lower-energy formulations and responsible sourcing can reduce environmental impact while potentially reducing logistics or material costs. The strategic test is whether sustainability initiatives create measurable value rather than simply adding cost or communication complexity.</w:t>
      </w:r>
    </w:p>
    <w:p>
      <w:pPr>
        <w:pStyle w:val="Heading2"/>
      </w:pPr>
      <w:r>
        <w:t>4.8 SWOT analysis</w:t>
      </w:r>
    </w:p>
    <w:p>
      <w:pPr>
        <w:spacing w:line="480" w:lineRule="auto"/>
      </w:pPr>
      <w:r>
        <w:rPr>
          <w:rFonts w:ascii="Times New Roman" w:hAnsi="Times New Roman"/>
          <w:b/>
          <w:sz w:val="24"/>
        </w:rPr>
        <w:t>Strengths</w:t>
      </w:r>
    </w:p>
    <w:p>
      <w:pPr>
        <w:spacing w:line="480" w:lineRule="auto"/>
        <w:ind w:firstLine="720"/>
        <w:jc w:val="both"/>
      </w:pPr>
      <w:r>
        <w:t>Unilever’s strengths include a large international footprint, strong brand portfolio, diversified geographic exposure, extensive distribution capabilities, R&amp;D resources and experience in local-market execution. The company’s Power Brands accounted for 78% of turnover in 2025, demonstrating the commercial importance of its major brands (Unilever PLC, 2026a).</w:t>
      </w:r>
    </w:p>
    <w:p>
      <w:pPr>
        <w:spacing w:line="480" w:lineRule="auto"/>
      </w:pPr>
      <w:r>
        <w:rPr>
          <w:rFonts w:ascii="Times New Roman" w:hAnsi="Times New Roman"/>
          <w:b/>
          <w:sz w:val="24"/>
        </w:rPr>
        <w:t>Weaknesses</w:t>
      </w:r>
    </w:p>
    <w:p>
      <w:pPr>
        <w:spacing w:line="480" w:lineRule="auto"/>
        <w:ind w:firstLine="720"/>
        <w:jc w:val="both"/>
      </w:pPr>
      <w:r>
        <w:t>The company’s international scale creates complexity, foreign-exchange exposure and coordination costs. A broad geographic footprint can also expose Unilever to inconsistent performance across markets. Portfolio reshaping and business-group changes can create transition costs and require organisational attention.</w:t>
      </w:r>
    </w:p>
    <w:p>
      <w:pPr>
        <w:spacing w:line="480" w:lineRule="auto"/>
      </w:pPr>
      <w:r>
        <w:rPr>
          <w:rFonts w:ascii="Times New Roman" w:hAnsi="Times New Roman"/>
          <w:b/>
          <w:sz w:val="24"/>
        </w:rPr>
        <w:t>Opportunities</w:t>
      </w:r>
    </w:p>
    <w:p>
      <w:pPr>
        <w:spacing w:line="480" w:lineRule="auto"/>
        <w:ind w:firstLine="720"/>
        <w:jc w:val="both"/>
      </w:pPr>
      <w:r>
        <w:t>Major opportunities include growth in emerging markets, premium beauty and wellbeing, digital commerce, AI-enabled productivity, innovation and sustainable products. The United States and India are explicit strategic priorities. Digital channels can also provide new consumer insights (Unilever PLC, 2026b).</w:t>
      </w:r>
    </w:p>
    <w:p>
      <w:pPr>
        <w:spacing w:line="480" w:lineRule="auto"/>
      </w:pPr>
      <w:r>
        <w:rPr>
          <w:rFonts w:ascii="Times New Roman" w:hAnsi="Times New Roman"/>
          <w:b/>
          <w:sz w:val="24"/>
        </w:rPr>
        <w:t>Threats</w:t>
      </w:r>
    </w:p>
    <w:p>
      <w:pPr>
        <w:spacing w:line="480" w:lineRule="auto"/>
        <w:ind w:firstLine="720"/>
        <w:jc w:val="both"/>
      </w:pPr>
      <w:r>
        <w:t>Threats include geopolitical uncertainty, currency volatility, inflation, changing regulation, climate-related disruption, packaging requirements, cybersecurity risks and intense competition from global and local brands. Local competitors may have faster market knowledge, while global competitors may possess comparable scale and technology.</w:t>
      </w:r>
    </w:p>
    <w:p>
      <w:pPr>
        <w:pStyle w:val="Heading1"/>
        <w:pageBreakBefore/>
      </w:pPr>
      <w:r>
        <w:t>5. Discussion</w:t>
      </w:r>
    </w:p>
    <w:p>
      <w:pPr>
        <w:spacing w:line="480" w:lineRule="auto"/>
        <w:ind w:firstLine="720"/>
        <w:jc w:val="both"/>
      </w:pPr>
      <w:r>
        <w:t>The analysis indicates that globalisation provides Unilever with both strategic resources and strategic risks. Its international scale enables access to consumers, suppliers, talent and knowledge, but the same network creates exposure to currency movements, political uncertainty and supply-chain disruption.</w:t>
      </w:r>
    </w:p>
    <w:p>
      <w:pPr>
        <w:spacing w:line="480" w:lineRule="auto"/>
        <w:ind w:firstLine="720"/>
        <w:jc w:val="both"/>
      </w:pPr>
      <w:r>
        <w:t>The integration-responsiveness framework explains why Unilever cannot rely on a single international strategy. Global brand consistency and shared capabilities create economies of scale, but consumer goods are highly sensitive to local culture, income, regulation and retail structures. The most appropriate organisational logic is therefore a selective transnational approach: integrate activities where global scale creates clear value and delegate adaptation where local knowledge materially affects performance.</w:t>
      </w:r>
    </w:p>
    <w:p>
      <w:pPr>
        <w:spacing w:line="480" w:lineRule="auto"/>
        <w:ind w:firstLine="720"/>
        <w:jc w:val="both"/>
      </w:pPr>
      <w:r>
        <w:t>The OLI framework complements this conclusion. Unilever’s ownership advantages—brands, technology, R&amp;D and management capabilities—are valuable because they can be transferred internationally. However, those advantages only create value when combined with location-specific resources and effective internal coordination. The Uppsala model adds another dimension: international competitiveness depends on relationships and knowledge. Even a mature MNE must continue learning from consumers, retailers, suppliers and regulators.</w:t>
      </w:r>
    </w:p>
    <w:p>
      <w:pPr>
        <w:spacing w:line="480" w:lineRule="auto"/>
        <w:ind w:firstLine="720"/>
        <w:jc w:val="both"/>
      </w:pPr>
      <w:r>
        <w:t>The external environment also suggests that resilience should become a core component of international strategy rather than a separate risk-management activity. Cost efficiency remains important, but the lowest-cost supply chain is not necessarily the most valuable if it is highly concentrated and vulnerable to disruption. Regional capacity, dual sourcing and scenario planning can therefore support long-term competitiveness.</w:t>
      </w:r>
    </w:p>
    <w:p>
      <w:pPr>
        <w:spacing w:line="480" w:lineRule="auto"/>
        <w:ind w:firstLine="720"/>
        <w:jc w:val="both"/>
      </w:pPr>
      <w:r>
        <w:t>Finally, sustainability and technology should be treated as strategic capabilities. Environmental targets require changes to products, packaging, sourcing and operations, while AI can reshape innovation and decision-making. Both areas require strong governance because poor execution can create legal, reputational and financial risks.</w:t>
      </w:r>
    </w:p>
    <w:p>
      <w:pPr>
        <w:pStyle w:val="Heading1"/>
        <w:pageBreakBefore/>
      </w:pPr>
      <w:r>
        <w:t>6. Strategic Recommendations</w:t>
      </w:r>
    </w:p>
    <w:p>
      <w:pPr>
        <w:pStyle w:val="Heading2"/>
      </w:pPr>
      <w:r>
        <w:t>6.1 Adopt a disciplined transnational operating model</w:t>
      </w:r>
    </w:p>
    <w:p>
      <w:pPr>
        <w:spacing w:line="480" w:lineRule="auto"/>
        <w:ind w:firstLine="720"/>
        <w:jc w:val="both"/>
      </w:pPr>
      <w:r>
        <w:t>Unilever should explicitly define which decisions belong at global, regional and country levels. Global teams should lead brand architecture, core technology platforms, major R&amp;D capabilities, procurement standards and sustainability principles. Regional teams should coordinate supply chains and category strategies. Country teams should control culturally sensitive marketing, local pricing execution and regulatory adaptation.</w:t>
      </w:r>
    </w:p>
    <w:p>
      <w:pPr>
        <w:spacing w:line="480" w:lineRule="auto"/>
        <w:ind w:firstLine="720"/>
        <w:jc w:val="both"/>
      </w:pPr>
      <w:r>
        <w:t>A decision-rights matrix should be used to prevent both excessive centralisation and unnecessary duplication. Performance indicators should measure not only cost savings but also speed to market, local market share, innovation success and consumer relevance.</w:t>
      </w:r>
    </w:p>
    <w:p>
      <w:pPr>
        <w:pStyle w:val="Heading2"/>
      </w:pPr>
      <w:r>
        <w:t>6.2 Build regional supply-chain resilience</w:t>
      </w:r>
    </w:p>
    <w:p>
      <w:pPr>
        <w:spacing w:line="480" w:lineRule="auto"/>
        <w:ind w:firstLine="720"/>
        <w:jc w:val="both"/>
      </w:pPr>
      <w:r>
        <w:t>Unilever should increase strategic dual sourcing for critical materials and develop regional manufacturing alternatives for high-volume categories. Supplier risk should be assessed using a combined scorecard covering concentration, geopolitical exposure, climate vulnerability, financial stability, lead time and substitution options.</w:t>
      </w:r>
    </w:p>
    <w:p>
      <w:pPr>
        <w:spacing w:line="480" w:lineRule="auto"/>
        <w:ind w:firstLine="720"/>
        <w:jc w:val="both"/>
      </w:pPr>
      <w:r>
        <w:t>The company should also expand scenario planning. For example, supply-chain teams could model disruptions involving shipping routes, energy prices, agricultural inputs or currency shocks. The objective should be to identify the cost of resilience and compare it with the financial impact of disruption.</w:t>
      </w:r>
    </w:p>
    <w:p>
      <w:pPr>
        <w:pStyle w:val="Heading2"/>
      </w:pPr>
      <w:r>
        <w:t>6.3 Accelerate digital commerce and responsible AI</w:t>
      </w:r>
    </w:p>
    <w:p>
      <w:pPr>
        <w:spacing w:line="480" w:lineRule="auto"/>
        <w:ind w:firstLine="720"/>
        <w:jc w:val="both"/>
      </w:pPr>
      <w:r>
        <w:t>Unilever should integrate e-commerce data more closely with product development, demand forecasting and marketing. Local teams should be encouraged to run controlled experiments, while global technology platforms should provide common standards.</w:t>
      </w:r>
    </w:p>
    <w:p>
      <w:pPr>
        <w:spacing w:line="480" w:lineRule="auto"/>
        <w:ind w:firstLine="720"/>
        <w:jc w:val="both"/>
      </w:pPr>
      <w:r>
        <w:t>AI governance should include privacy-by-design, human review for high-impact decisions, cybersecurity controls, documentation of models and regular testing for performance differences across markets. Responsible AI should be treated as an organisational capability rather than only an IT issue.</w:t>
      </w:r>
    </w:p>
    <w:p>
      <w:pPr>
        <w:pStyle w:val="Heading2"/>
      </w:pPr>
      <w:r>
        <w:t>6.4 Deepen emerging-market localisation</w:t>
      </w:r>
    </w:p>
    <w:p>
      <w:pPr>
        <w:spacing w:line="480" w:lineRule="auto"/>
        <w:ind w:firstLine="720"/>
        <w:jc w:val="both"/>
      </w:pPr>
      <w:r>
        <w:t>Emerging markets account for 59% of turnover, making local execution critical. Unilever should develop market-specific growth playbooks for priority countries such as India and Indonesia. These playbooks should combine global brand assets with local consumer research, price-pack architecture, local digital channels and regional manufacturing.</w:t>
      </w:r>
    </w:p>
    <w:p>
      <w:pPr>
        <w:spacing w:line="480" w:lineRule="auto"/>
        <w:ind w:firstLine="720"/>
        <w:jc w:val="both"/>
      </w:pPr>
      <w:r>
        <w:t>The company should also develop local management talent and supplier ecosystems. This would strengthen the knowledge networks highlighted by the Uppsala model and reduce dependence on headquarters for market intelligence.</w:t>
      </w:r>
    </w:p>
    <w:p>
      <w:pPr>
        <w:pStyle w:val="Heading2"/>
      </w:pPr>
      <w:r>
        <w:t>6.5 Link sustainability to innovation and operations</w:t>
      </w:r>
    </w:p>
    <w:p>
      <w:pPr>
        <w:spacing w:line="480" w:lineRule="auto"/>
        <w:ind w:firstLine="720"/>
        <w:jc w:val="both"/>
      </w:pPr>
      <w:r>
        <w:t>Unilever should prioritise sustainability projects that simultaneously reduce environmental impact and improve economic performance. Examples include concentrated formulations, lightweight packaging, renewable-energy sourcing, lower-carbon logistics and products that require less energy or water during use.</w:t>
      </w:r>
    </w:p>
    <w:p>
      <w:pPr>
        <w:spacing w:line="480" w:lineRule="auto"/>
        <w:ind w:firstLine="720"/>
        <w:jc w:val="both"/>
      </w:pPr>
      <w:r>
        <w:t>Progress should be measured with a balanced scorecard covering emissions, plastic use, cost, consumer adoption, supplier participation and financial returns. This approach would reduce the risk of sustainability becoming a separate reporting exercise.</w:t>
      </w:r>
    </w:p>
    <w:p>
      <w:pPr>
        <w:pStyle w:val="Heading2"/>
      </w:pPr>
      <w:r>
        <w:t>6.6 Use portfolio discipline to support global scale</w:t>
      </w:r>
    </w:p>
    <w:p>
      <w:pPr>
        <w:spacing w:line="480" w:lineRule="auto"/>
        <w:ind w:firstLine="720"/>
        <w:jc w:val="both"/>
      </w:pPr>
      <w:r>
        <w:t>The company’s emphasis on Power Brands and simplification should continue to be linked to international strategy. Resources should be concentrated on brands and categories where Unilever has strong consumer relevance and international growth potential. However, portfolio discipline should not eliminate locally successful products without evidence. Country-level profitability and strategic relevance should be considered before major product rationalisation.</w:t>
      </w:r>
    </w:p>
    <w:p>
      <w:pPr>
        <w:pStyle w:val="Heading1"/>
        <w:pageBreakBefore/>
      </w:pPr>
      <w:r>
        <w:t>7. Conclusion</w:t>
      </w:r>
    </w:p>
    <w:p>
      <w:pPr>
        <w:spacing w:line="480" w:lineRule="auto"/>
        <w:ind w:firstLine="720"/>
        <w:jc w:val="both"/>
      </w:pPr>
      <w:r>
        <w:t>Globalisation has made international business simultaneously more connected and more complex. Unilever illustrates this tension clearly. Its global scale provides strong ownership advantages, broad market access, purchasing power, innovation capabilities and brand reach. At the same time, its international footprint exposes it to currency volatility, geopolitical uncertainty, diverse consumer preferences, regulatory variation, environmental risks and supply-chain disruption.</w:t>
      </w:r>
    </w:p>
    <w:p>
      <w:pPr>
        <w:spacing w:line="480" w:lineRule="auto"/>
        <w:ind w:firstLine="720"/>
        <w:jc w:val="both"/>
      </w:pPr>
      <w:r>
        <w:t>The theoretical analysis shows that no single international strategy fully explains the company. The integration-responsiveness framework highlights the need to combine global scale with local adaptation. Dunning’s OLI paradigm explains how Unilever’s brands, technology and capabilities can be transferred across borders and combined with location advantages. The Uppsala model emphasises continuing market learning and network relationships. PESTEL, SWOT and value-chain analysis demonstrate that external pressures are increasingly interconnected.</w:t>
      </w:r>
    </w:p>
    <w:p>
      <w:pPr>
        <w:spacing w:line="480" w:lineRule="auto"/>
        <w:ind w:firstLine="720"/>
        <w:jc w:val="both"/>
      </w:pPr>
      <w:r>
        <w:t>Unilever’s recent strategy of focusing on Power Brands, premiumisation, digital commerce, the United States and India, together with its technology and sustainability priorities, represents an attempt to simplify the business while concentrating resources on major growth opportunities. The strategic implications are clear: the company should continue to standardise activities where scale creates value, while preserving local decision-making where consumer, cultural or regulatory differences matter.</w:t>
      </w:r>
    </w:p>
    <w:p>
      <w:pPr>
        <w:spacing w:line="480" w:lineRule="auto"/>
        <w:ind w:firstLine="720"/>
        <w:jc w:val="both"/>
      </w:pPr>
      <w:r>
        <w:t>The recommended approach is therefore a disciplined transnational model supported by resilient regional supply chains, responsible AI, data-driven localisation and sustainability-led innovation. The success of such a strategy will depend not only on choosing attractive markets but also on the organisational ability to transfer knowledge, coordinate global capabilities and respond quickly to local conditions. In an increasingly interconnected global business environment, competitive advantage is likely to come from managing these tensions effectively rather than eliminating them.</w:t>
      </w:r>
    </w:p>
    <w:p>
      <w:pPr>
        <w:pStyle w:val="Heading1"/>
        <w:pageBreakBefore/>
      </w:pPr>
      <w:r>
        <w:t>References</w:t>
      </w:r>
    </w:p>
    <w:p>
      <w:pPr>
        <w:spacing w:line="480" w:lineRule="auto"/>
        <w:ind w:hanging="720" w:left="720"/>
        <w:jc w:val="both"/>
      </w:pPr>
      <w:r>
        <w:t>Bartlett, C. A., &amp; Ghoshal, S. (1989). Managing across borders: The transnational solution. Harvard Business School Press.</w:t>
      </w:r>
    </w:p>
    <w:p>
      <w:pPr>
        <w:spacing w:line="480" w:lineRule="auto"/>
        <w:ind w:hanging="720" w:left="720"/>
        <w:jc w:val="both"/>
      </w:pPr>
      <w:r>
        <w:t>Beugelsdijk, S., Kostova, T., &amp; Roth, K. (2017). An overview of Hofstede-inspired country-level culture research in international business since 2006. Journal of International Business Studies, 48, 30–47. https://doi.org/10.1057/s41267-016-0038-8</w:t>
      </w:r>
    </w:p>
    <w:p>
      <w:pPr>
        <w:spacing w:line="480" w:lineRule="auto"/>
        <w:ind w:hanging="720" w:left="720"/>
        <w:jc w:val="both"/>
      </w:pPr>
      <w:r>
        <w:t>Dunning, J. H. (1988). The eclectic paradigm of international production: A restatement and some possible extensions. Journal of International Business Studies, 19(1), 1–31. https://doi.org/10.1057/palgrave.jibs.8490372</w:t>
      </w:r>
    </w:p>
    <w:p>
      <w:pPr>
        <w:spacing w:line="480" w:lineRule="auto"/>
        <w:ind w:hanging="720" w:left="720"/>
        <w:jc w:val="both"/>
      </w:pPr>
      <w:r>
        <w:t>Johanson, J., &amp; Vahlne, J.-E. (2009). The Uppsala internationalization process model revisited: From liability of foreignness to liability of outsidership. Journal of International Business Studies, 40, 1411–1431. https://doi.org/10.1057/jibs.2009.24</w:t>
      </w:r>
    </w:p>
    <w:p>
      <w:pPr>
        <w:spacing w:line="480" w:lineRule="auto"/>
        <w:ind w:hanging="720" w:left="720"/>
        <w:jc w:val="both"/>
      </w:pPr>
      <w:r>
        <w:t>Meyer, K. E., Li, C., &amp; Schotter, A. P. J. (2015). Managing the MNE subsidiary: Advancing a multi-level and dynamic research agenda. Journal of International Business Studies, 46, 1234–1250.</w:t>
      </w:r>
    </w:p>
    <w:p>
      <w:pPr>
        <w:spacing w:line="480" w:lineRule="auto"/>
        <w:ind w:hanging="720" w:left="720"/>
        <w:jc w:val="both"/>
      </w:pPr>
      <w:r>
        <w:t>Porter, M. E. (1985). Competitive advantage: Creating and sustaining superior performance. Free Press.</w:t>
      </w:r>
    </w:p>
    <w:p>
      <w:pPr>
        <w:spacing w:line="480" w:lineRule="auto"/>
        <w:ind w:hanging="720" w:left="720"/>
        <w:jc w:val="both"/>
      </w:pPr>
      <w:r>
        <w:t>Unilever PLC. (2026a). Annual report and accounts 2025. https://www.unilever.com/investors/annual-report-and-accounts/</w:t>
      </w:r>
    </w:p>
    <w:p>
      <w:pPr>
        <w:spacing w:line="480" w:lineRule="auto"/>
        <w:ind w:hanging="720" w:left="720"/>
        <w:jc w:val="both"/>
      </w:pPr>
      <w:r>
        <w:t>Unilever PLC. (2026b). Our strategy. https://www.unilever.com/our-company/our-strategy/</w:t>
      </w:r>
    </w:p>
    <w:p>
      <w:pPr>
        <w:spacing w:line="480" w:lineRule="auto"/>
        <w:ind w:hanging="720" w:left="720"/>
        <w:jc w:val="both"/>
      </w:pPr>
      <w:r>
        <w:t>Unilever PLC. (2026c). Sustainability statement 2025. https://www.unilever.com/files/unilever-sustainability-statement.pdf</w:t>
      </w:r>
    </w:p>
    <w:p>
      <w:pPr>
        <w:spacing w:line="480" w:lineRule="auto"/>
        <w:ind w:hanging="720" w:left="720"/>
        <w:jc w:val="both"/>
      </w:pPr>
      <w:r>
        <w:t>Unilever PLC. (2026d). Why invest in Unilever? https://www.unilever.com/investors/why-invest-in-unilever/</w:t>
      </w:r>
    </w:p>
    <w:p>
      <w:pPr>
        <w:spacing w:line="480" w:lineRule="auto"/>
        <w:ind w:hanging="720" w:left="720"/>
        <w:jc w:val="both"/>
      </w:pPr>
      <w:r>
        <w:t>Unilever PLC. (2026e). Press releases. https://www.unilever.com/news/press-and-media/press-releases/</w:t>
      </w:r>
    </w:p>
    <w:p>
      <w:pPr>
        <w:spacing w:line="480" w:lineRule="auto"/>
        <w:ind w:hanging="720" w:left="720"/>
        <w:jc w:val="both"/>
      </w:pPr>
      <w:r>
        <w:t>World Trade Organization. (2026). World trade statistics 2025. https://www.wto.org/english/res_e/statis_e/world_trade_statistics_e.htm</w:t>
      </w:r>
    </w:p>
    <w:p>
      <w:pPr>
        <w:spacing w:line="480" w:lineRule="auto"/>
        <w:ind w:hanging="720" w:left="720"/>
        <w:jc w:val="both"/>
      </w:pPr>
      <w:r>
        <w:t>Organisation for Economic Co-operation and Development. (2026). Global value and supply chains. https://www.oecd.org/en/topics/global-value-and-supply-chains.html</w:t>
      </w:r>
    </w:p>
    <w:p>
      <w:pPr>
        <w:pStyle w:val="Heading1"/>
        <w:pageBreakBefore/>
      </w:pPr>
      <w:r>
        <w:t>Appendix A: PESTEL analytical summary</w:t>
      </w:r>
    </w:p>
    <w:p>
      <w:pPr>
        <w:spacing w:line="480" w:lineRule="auto"/>
        <w:ind w:firstLine="720"/>
        <w:jc w:val="both"/>
      </w:pPr>
      <w:r>
        <w:t>Political — geopolitical uncertainty and trade policy.</w:t>
      </w:r>
    </w:p>
    <w:p>
      <w:pPr>
        <w:spacing w:line="480" w:lineRule="auto"/>
        <w:ind w:firstLine="720"/>
        <w:jc w:val="both"/>
      </w:pPr>
      <w:r>
        <w:t>Economic — currency, inflation and purchasing power.</w:t>
      </w:r>
    </w:p>
    <w:p>
      <w:pPr>
        <w:spacing w:line="480" w:lineRule="auto"/>
        <w:ind w:firstLine="720"/>
        <w:jc w:val="both"/>
      </w:pPr>
      <w:r>
        <w:t>Social — wellbeing, inclusion, convenience and changing consumer habits.</w:t>
      </w:r>
    </w:p>
    <w:p>
      <w:pPr>
        <w:spacing w:line="480" w:lineRule="auto"/>
        <w:ind w:firstLine="720"/>
        <w:jc w:val="both"/>
      </w:pPr>
      <w:r>
        <w:t>Technological — AI, digital commerce and data analytics.</w:t>
      </w:r>
    </w:p>
    <w:p>
      <w:pPr>
        <w:spacing w:line="480" w:lineRule="auto"/>
        <w:ind w:firstLine="720"/>
        <w:jc w:val="both"/>
      </w:pPr>
      <w:r>
        <w:t>Environmental — climate, plastics and resource constraints.</w:t>
      </w:r>
    </w:p>
    <w:p>
      <w:pPr>
        <w:spacing w:line="480" w:lineRule="auto"/>
        <w:ind w:firstLine="720"/>
        <w:jc w:val="both"/>
      </w:pPr>
      <w:r>
        <w:t>Legal — product safety, data protection, labour and sustainability-claims regulation.</w:t>
      </w:r>
    </w:p>
    <w:p>
      <w:pPr>
        <w:pStyle w:val="Heading1"/>
        <w:pageBreakBefore/>
      </w:pPr>
      <w:r>
        <w:t>Appendix B: Integration-responsiveness summary</w:t>
      </w:r>
    </w:p>
    <w:p>
      <w:pPr>
        <w:spacing w:line="480" w:lineRule="auto"/>
        <w:ind w:firstLine="720"/>
        <w:jc w:val="both"/>
      </w:pPr>
      <w:r>
        <w:t>Global integration — global brands, R&amp;D, technology platforms, procurement standards and sustainability principles.</w:t>
      </w:r>
    </w:p>
    <w:p>
      <w:pPr>
        <w:spacing w:line="480" w:lineRule="auto"/>
        <w:ind w:firstLine="720"/>
        <w:jc w:val="both"/>
      </w:pPr>
      <w:r>
        <w:t>Local responsiveness — local pricing, formulations, pack sizes, cultural marketing, channel execution and regulatory adaptation.</w:t>
      </w:r>
    </w:p>
    <w:p>
      <w:pPr>
        <w:spacing w:line="480" w:lineRule="auto"/>
        <w:ind w:firstLine="720"/>
        <w:jc w:val="both"/>
      </w:pPr>
      <w:r>
        <w:t>Recommended balance — selective integration with strong regional coordination and empowered country execution.</w:t>
      </w:r>
    </w:p>
    <w:sectPr w:rsidR="00FC693F" w:rsidRPr="0006063C" w:rsidSect="0003461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