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C73D" w14:textId="7B7CA370" w:rsidR="000E68B1" w:rsidRPr="00BB3A06" w:rsidRDefault="000E68B1" w:rsidP="000E68B1">
      <w:pPr>
        <w:rPr>
          <w:b/>
          <w:bCs/>
          <w:sz w:val="30"/>
          <w:szCs w:val="30"/>
        </w:rPr>
      </w:pPr>
      <w:r w:rsidRPr="00BB3A06">
        <w:rPr>
          <w:noProof/>
          <w:sz w:val="30"/>
          <w:szCs w:val="30"/>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BB3A06">
        <w:rPr>
          <w:b/>
          <w:bCs/>
          <w:sz w:val="30"/>
          <w:szCs w:val="30"/>
        </w:rPr>
        <w:t>Introduction to the Hospitality Industry</w:t>
      </w:r>
    </w:p>
    <w:p w14:paraId="29CB1C1E" w14:textId="77777777" w:rsidR="000E68B1" w:rsidRDefault="000E68B1" w:rsidP="000E68B1">
      <w:r w:rsidRPr="0019504D">
        <w:t>Ass</w:t>
      </w:r>
      <w:r>
        <w:t xml:space="preserve">ignment </w:t>
      </w:r>
      <w:r w:rsidR="004C5A76">
        <w:t>4</w:t>
      </w:r>
    </w:p>
    <w:p w14:paraId="2B9427C1" w14:textId="77777777" w:rsidR="00426865" w:rsidRDefault="00426865"/>
    <w:p w14:paraId="2A7858D1" w14:textId="77777777" w:rsidR="00F84AA5" w:rsidRDefault="00F84AA5" w:rsidP="00F84AA5">
      <w:r>
        <w:t xml:space="preserve">Student Name: </w:t>
      </w:r>
      <w:r w:rsidRPr="00F84AA5">
        <w:rPr>
          <w:b/>
          <w:bCs/>
        </w:rPr>
        <w:t>Gourav Kumar</w:t>
      </w:r>
    </w:p>
    <w:p w14:paraId="28A921A6" w14:textId="65F40C16" w:rsidR="00F84AA5" w:rsidRDefault="00F84AA5" w:rsidP="00F84AA5">
      <w:r>
        <w:t xml:space="preserve">Student ID: </w:t>
      </w:r>
      <w:r w:rsidRPr="00F84AA5">
        <w:rPr>
          <w:b/>
          <w:bCs/>
        </w:rPr>
        <w:t>DE240423</w:t>
      </w:r>
    </w:p>
    <w:p w14:paraId="6DC5E676" w14:textId="77777777" w:rsidR="000E68B1" w:rsidRDefault="000E68B1"/>
    <w:p w14:paraId="03134067" w14:textId="77777777" w:rsidR="000E68B1" w:rsidRDefault="000E68B1"/>
    <w:p w14:paraId="149A6931" w14:textId="77777777" w:rsidR="000E68B1" w:rsidRDefault="000E68B1"/>
    <w:p w14:paraId="02C23202" w14:textId="77777777" w:rsidR="000E68B1" w:rsidRDefault="000E68B1"/>
    <w:p w14:paraId="6411781C" w14:textId="77777777" w:rsidR="00BB3A06" w:rsidRPr="00BB3A06" w:rsidRDefault="00BB3A06" w:rsidP="00BB3A06">
      <w:pPr>
        <w:pStyle w:val="Heading1"/>
      </w:pPr>
      <w:r w:rsidRPr="00BB3A06">
        <w:t>The Economic Impact of Urban Hotels and a Comparative Analysis of Resort versus City Center Hotel Models</w:t>
      </w:r>
    </w:p>
    <w:p w14:paraId="1F2350D6" w14:textId="77777777" w:rsidR="00BB3A06" w:rsidRDefault="00BB3A06" w:rsidP="00BB3A06">
      <w:pPr>
        <w:rPr>
          <w:b/>
          <w:bCs/>
        </w:rPr>
      </w:pPr>
    </w:p>
    <w:p w14:paraId="0D39C116" w14:textId="2142EA4D" w:rsidR="00BB3A06" w:rsidRPr="00BB3A06" w:rsidRDefault="00BB3A06" w:rsidP="00BB3A06">
      <w:pPr>
        <w:rPr>
          <w:b/>
          <w:bCs/>
        </w:rPr>
      </w:pPr>
      <w:r w:rsidRPr="00BB3A06">
        <w:rPr>
          <w:b/>
          <w:bCs/>
        </w:rPr>
        <w:t>1. Local Economic Contribution of Hotels: Case Study of Berlin</w:t>
      </w:r>
    </w:p>
    <w:p w14:paraId="7BB12694" w14:textId="77777777" w:rsidR="00BB3A06" w:rsidRPr="00BB3A06" w:rsidRDefault="00BB3A06" w:rsidP="00BB3A06">
      <w:r w:rsidRPr="00BB3A06">
        <w:t>Urban tourism relies heavily on the accommodation sector, which serves as a core engine of regional economic activity, capital investment, and employment creation (Bowie et al., 2016). In major cultural and commercial hubs such as Berlin, hotels function as foundational infrastructure that transforms transient visitor presence into sustained local revenue (Kotler et al., 2017). Following the reunification of Germany, Berlin evolved into one of Europe's top urban travel destinations, drawing millions of international and domestic guests annually (O'Gorman, 2010). The city's hotel industry contributes significantly to its economic framework across three principal dimensions: direct and indirect employment, local revenue generation, and urban infrastructure development.</w:t>
      </w:r>
    </w:p>
    <w:p w14:paraId="5AA5AF4C" w14:textId="77777777" w:rsidR="00BB3A06" w:rsidRDefault="00BB3A06" w:rsidP="00BB3A06">
      <w:pPr>
        <w:rPr>
          <w:b/>
          <w:bCs/>
        </w:rPr>
      </w:pPr>
    </w:p>
    <w:p w14:paraId="562207CE" w14:textId="34C091CA" w:rsidR="00BB3A06" w:rsidRPr="00BB3A06" w:rsidRDefault="00BB3A06" w:rsidP="00BB3A06">
      <w:pPr>
        <w:rPr>
          <w:b/>
          <w:bCs/>
        </w:rPr>
      </w:pPr>
      <w:r w:rsidRPr="00BB3A06">
        <w:rPr>
          <w:b/>
          <w:bCs/>
        </w:rPr>
        <w:t>Employment Generation and Human Capital Development</w:t>
      </w:r>
    </w:p>
    <w:p w14:paraId="72925667" w14:textId="77777777" w:rsidR="00BB3A06" w:rsidRPr="00BB3A06" w:rsidRDefault="00BB3A06" w:rsidP="00BB3A06">
      <w:r w:rsidRPr="00BB3A06">
        <w:t xml:space="preserve">The hotel industry in Berlin is a major source of direct, indirect, and induced employment, offering jobs across a wide spectrum of skill levels (Walker, 2021). Directly, hotels employ front desk staff, housekeeping personnel, culinary workers, maintenance technicians, event coordinators, and corporate management executives (Bowie et al., 2016). Because hospitality operations are fundamentally labor intensive and service oriented, hotel businesses cannot easily replace human workforce capacity with automated systems, ensuring stable ongoing demand for local labor (Turner &amp; </w:t>
      </w:r>
      <w:proofErr w:type="spellStart"/>
      <w:r w:rsidRPr="00BB3A06">
        <w:t>Guilding</w:t>
      </w:r>
      <w:proofErr w:type="spellEnd"/>
      <w:r w:rsidRPr="00BB3A06">
        <w:t>, 2010).</w:t>
      </w:r>
    </w:p>
    <w:p w14:paraId="7309B52F" w14:textId="77777777" w:rsidR="00BB3A06" w:rsidRPr="00BB3A06" w:rsidRDefault="00BB3A06" w:rsidP="00BB3A06">
      <w:r w:rsidRPr="00BB3A06">
        <w:t>Beyond direct employment, hotels generate substantial indirect employment through supply chain linkages across the regional economy (</w:t>
      </w:r>
      <w:proofErr w:type="spellStart"/>
      <w:r w:rsidRPr="00BB3A06">
        <w:t>Grosbois</w:t>
      </w:r>
      <w:proofErr w:type="spellEnd"/>
      <w:r w:rsidRPr="00BB3A06">
        <w:t>, 2011). A full service hotel in central Berlin contracts continuously with local food and beverage distributors, commercial laundry services, security firms, logistics companies, and maintenance contractors (Walker, 2021). Furthermore, induced employment occurs when hotel employees spend their wages within the local economy, purchasing housing, retail goods, transit passes, and entertainment services, thereby creating a positive economic multiplier effect throughout Berlin's municipal districts (Kotler et al., 2017).</w:t>
      </w:r>
    </w:p>
    <w:p w14:paraId="27FD1FFA" w14:textId="77777777" w:rsidR="00BB3A06" w:rsidRDefault="00BB3A06" w:rsidP="00BB3A06">
      <w:pPr>
        <w:rPr>
          <w:b/>
          <w:bCs/>
        </w:rPr>
      </w:pPr>
    </w:p>
    <w:p w14:paraId="5678D15F" w14:textId="560564E9" w:rsidR="00BB3A06" w:rsidRPr="00BB3A06" w:rsidRDefault="00BB3A06" w:rsidP="00BB3A06">
      <w:pPr>
        <w:rPr>
          <w:b/>
          <w:bCs/>
        </w:rPr>
      </w:pPr>
      <w:r w:rsidRPr="00BB3A06">
        <w:rPr>
          <w:b/>
          <w:bCs/>
        </w:rPr>
        <w:t>Local Revenue Generation and Municipal Financial Wealth</w:t>
      </w:r>
    </w:p>
    <w:p w14:paraId="740508BE" w14:textId="77777777" w:rsidR="00BB3A06" w:rsidRPr="00BB3A06" w:rsidRDefault="00BB3A06" w:rsidP="00BB3A06">
      <w:r w:rsidRPr="00BB3A06">
        <w:t xml:space="preserve">Hotels serve as vital catalysts for regional wealth distribution and municipal tax collection (Contractor &amp; Kundu, 1998). Guest spending extends far beyond room charges; hotel visitors spend significant amounts on local restaurants, retail stores, museums, theaters, guided tours, and public transit networks (Bowie et al., 2016). This off-property visitor expenditure </w:t>
      </w:r>
      <w:r w:rsidRPr="00BB3A06">
        <w:lastRenderedPageBreak/>
        <w:t>injects fresh capital into Berlin's local business community, supporting small and medium enterprises across urban neighborhoods (O'Gorman, 2010).</w:t>
      </w:r>
    </w:p>
    <w:p w14:paraId="002D5C0F" w14:textId="77777777" w:rsidR="00BB3A06" w:rsidRPr="00BB3A06" w:rsidRDefault="00BB3A06" w:rsidP="00BB3A06">
      <w:r w:rsidRPr="00BB3A06">
        <w:t>From a municipal finance perspective, hotel operations generate substantial tax revenues that fund public infrastructure and municipal social programs (Walker, 2021). In Berlin, hotel stays are subject to state taxes, corporate income taxes, commercial trade taxes, and specialized tourism levies, such as the local accommodation tax, commonly referred to as the city tax (Kotler et al., 2017). These direct tax contributions provide the municipal government with reliable revenue streams used to maintain civic amenities, public parks, cultural institutions, and municipal transportation systems (</w:t>
      </w:r>
      <w:proofErr w:type="spellStart"/>
      <w:r w:rsidRPr="00BB3A06">
        <w:t>Grosbois</w:t>
      </w:r>
      <w:proofErr w:type="spellEnd"/>
      <w:r w:rsidRPr="00BB3A06">
        <w:t>, 2011).</w:t>
      </w:r>
    </w:p>
    <w:p w14:paraId="7FA77376" w14:textId="77777777" w:rsidR="00BB3A06" w:rsidRDefault="00BB3A06" w:rsidP="00BB3A06">
      <w:pPr>
        <w:rPr>
          <w:b/>
          <w:bCs/>
        </w:rPr>
      </w:pPr>
    </w:p>
    <w:p w14:paraId="673168D0" w14:textId="288B361B" w:rsidR="00BB3A06" w:rsidRPr="00BB3A06" w:rsidRDefault="00BB3A06" w:rsidP="00BB3A06">
      <w:pPr>
        <w:rPr>
          <w:b/>
          <w:bCs/>
        </w:rPr>
      </w:pPr>
      <w:r w:rsidRPr="00BB3A06">
        <w:rPr>
          <w:b/>
          <w:bCs/>
        </w:rPr>
        <w:t>Infrastructure Development and Urban Regeneration</w:t>
      </w:r>
    </w:p>
    <w:p w14:paraId="6D8EEAB3" w14:textId="77777777" w:rsidR="00BB3A06" w:rsidRPr="00BB3A06" w:rsidRDefault="00BB3A06" w:rsidP="00BB3A06">
      <w:r w:rsidRPr="00BB3A06">
        <w:t xml:space="preserve">The development of new hotel properties frequently acts as an anchor for urban regeneration and public infrastructure investment (Bowie et al., 2016). In Berlin, historic hotel construction projects, such as the post-reunification redevelopment around Potsdamer Platz and </w:t>
      </w:r>
      <w:proofErr w:type="spellStart"/>
      <w:r w:rsidRPr="00BB3A06">
        <w:t>Friedrichstraße</w:t>
      </w:r>
      <w:proofErr w:type="spellEnd"/>
      <w:r w:rsidRPr="00BB3A06">
        <w:t>, attracted massive private capital that revitalized damaged urban quarters (O'Gorman, 2010). When major hotel developers invest in a destination, they typically fund surrounding streetscape improvements, security infrastructure, utility upgrades, and green space installations (Walker, 2021).</w:t>
      </w:r>
    </w:p>
    <w:p w14:paraId="1ECEB5E9" w14:textId="77777777" w:rsidR="00BB3A06" w:rsidRPr="00BB3A06" w:rsidRDefault="00BB3A06" w:rsidP="00BB3A06">
      <w:r w:rsidRPr="00BB3A06">
        <w:t>Additionally, full service luxury and convention hotels support Berlin's international position as a leading global meeting, incentive, convention, and exhibition destination (Kotler et al., 2017). By offering expansive conference centers and event venues, these hotels attract corporate conventions, international trade fairs, and political summits (Bowie et al., 2016). This business infrastructure sustains high year-round hotel occupancy, mitigates seasonal tourism dips, and reinforces Berlin's broader reputation as an international commercial hub (Contractor &amp; Kundu, 1998).</w:t>
      </w:r>
    </w:p>
    <w:p w14:paraId="70D14D31" w14:textId="77777777" w:rsidR="00BB3A06" w:rsidRDefault="00BB3A06" w:rsidP="00BB3A06">
      <w:pPr>
        <w:rPr>
          <w:b/>
          <w:bCs/>
        </w:rPr>
      </w:pPr>
    </w:p>
    <w:p w14:paraId="7B25803C" w14:textId="399DABB7" w:rsidR="00BB3A06" w:rsidRPr="00BB3A06" w:rsidRDefault="00BB3A06" w:rsidP="00BB3A06">
      <w:pPr>
        <w:rPr>
          <w:b/>
          <w:bCs/>
        </w:rPr>
      </w:pPr>
      <w:r w:rsidRPr="00BB3A06">
        <w:rPr>
          <w:b/>
          <w:bCs/>
        </w:rPr>
        <w:t>2. Comparative Analysis: Resort Hotels versus City Center Hotels</w:t>
      </w:r>
    </w:p>
    <w:p w14:paraId="68B580C5" w14:textId="77777777" w:rsidR="00BB3A06" w:rsidRPr="00BB3A06" w:rsidRDefault="00BB3A06" w:rsidP="00BB3A06">
      <w:r w:rsidRPr="00BB3A06">
        <w:t>While all lodging establishments provide temporary accommodation, resort hotels and city center hotels operate under fundamentally distinct business models, spatial dynamics, and operational paradigms (Walker, 2021). Understanding these structural differences requires evaluating how each property type manages location selection, targets primary consumer segments, and configures its service offerings (Bowie et al., 2016).</w:t>
      </w:r>
    </w:p>
    <w:p w14:paraId="7697D39A" w14:textId="77777777" w:rsidR="00BB3A06" w:rsidRDefault="00BB3A06" w:rsidP="00BB3A06">
      <w:pPr>
        <w:rPr>
          <w:b/>
          <w:bCs/>
        </w:rPr>
      </w:pPr>
    </w:p>
    <w:p w14:paraId="1619F2E4" w14:textId="53FEF207" w:rsidR="00BB3A06" w:rsidRPr="00BB3A06" w:rsidRDefault="00BB3A06" w:rsidP="00BB3A06">
      <w:pPr>
        <w:rPr>
          <w:b/>
          <w:bCs/>
        </w:rPr>
      </w:pPr>
      <w:r w:rsidRPr="00BB3A06">
        <w:rPr>
          <w:b/>
          <w:bCs/>
        </w:rPr>
        <w:t>Location and Spatial Dynamics</w:t>
      </w:r>
    </w:p>
    <w:p w14:paraId="7C87C8D3" w14:textId="77777777" w:rsidR="00BB3A06" w:rsidRPr="00BB3A06" w:rsidRDefault="00BB3A06" w:rsidP="00BB3A06">
      <w:r w:rsidRPr="00BB3A06">
        <w:t>Location selection represents one of the most significant strategic distinctions between resort properties and city center hotels (Contractor &amp; Kundu, 1998). Resort hotels are almost universally located in destination environments prized for their natural beauty, favorable climates, or recreational attractions, such as coastal beaches, mountain ranges, island archipelagos, or scenic lake districts (Walker, 2021). The physical site itself serves as the core attraction, meaning resorts require expansive land footprints to accommodate low density architecture, sprawling outdoor grounds, private beaches, golf courses, or ski slopes (Kotler et al., 2017). Consequently, resorts are frequently situated away from major metropolitan centers, requiring guests to undertake long distance travel to reach the property (O'Gorman, 2010).</w:t>
      </w:r>
    </w:p>
    <w:p w14:paraId="0030491B" w14:textId="77777777" w:rsidR="00BB3A06" w:rsidRPr="00BB3A06" w:rsidRDefault="00BB3A06" w:rsidP="00BB3A06">
      <w:r w:rsidRPr="00BB3A06">
        <w:t xml:space="preserve">In contrast, city center hotels are located in high density urban cores, commercial business districts, or near major transit hubs such as central railway terminals and international airports (Bowie et al., 2016). The location strategy for an urban hotel centers on proximity, </w:t>
      </w:r>
      <w:r w:rsidRPr="00BB3A06">
        <w:lastRenderedPageBreak/>
        <w:t>walkability, and convenience (Walker, 2021). Because urban real estate is scarce and expensive, city center hotels feature vertical, high rise architectural designs that maximize room inventory within a compact physical footprint (Contractor &amp; Kundu, 1998). The surrounding city, rather than the property grounds, supplies the primary cultural, historical, and entertainment attractions for visiting guests (Kotler et al., 2017).</w:t>
      </w:r>
    </w:p>
    <w:p w14:paraId="31A9A3D5" w14:textId="77777777" w:rsidR="00BB3A06" w:rsidRDefault="00BB3A06" w:rsidP="00BB3A06">
      <w:pPr>
        <w:rPr>
          <w:b/>
          <w:bCs/>
        </w:rPr>
      </w:pPr>
    </w:p>
    <w:p w14:paraId="57714D6D" w14:textId="2B3F2CE2" w:rsidR="00BB3A06" w:rsidRPr="00BB3A06" w:rsidRDefault="00BB3A06" w:rsidP="00BB3A06">
      <w:pPr>
        <w:rPr>
          <w:b/>
          <w:bCs/>
        </w:rPr>
      </w:pPr>
      <w:r w:rsidRPr="00BB3A06">
        <w:rPr>
          <w:b/>
          <w:bCs/>
        </w:rPr>
        <w:t>Target Market and Guest Demographics</w:t>
      </w:r>
    </w:p>
    <w:p w14:paraId="30B4266B" w14:textId="77777777" w:rsidR="00BB3A06" w:rsidRPr="00BB3A06" w:rsidRDefault="00BB3A06" w:rsidP="00BB3A06">
      <w:r w:rsidRPr="00BB3A06">
        <w:t>The target markets served by resort hotels and city center hotels differ sharply regarding travel motivation, length of stay, and booking patterns (Bowie et al., 2016). Resort hotels cater predominantly to leisure travelers, vacationing families, honeymooners, and wellness seekers who are spending personal disposable income (Walker, 2021). These guests seek relaxation, recreation, escape, or cultural immersion, and their travel decisions are highly sensitive to seasonal climate changes, academic holiday calendars, and consumer economic confidence (Kotler et al., 2017). Because travelers invest significant time and effort traveling to resort destinations, their average length of stay is relatively long, typically ranging from three days to two weeks (O'Gorman, 2010).</w:t>
      </w:r>
    </w:p>
    <w:p w14:paraId="0A32943E" w14:textId="77777777" w:rsidR="00BB3A06" w:rsidRPr="00BB3A06" w:rsidRDefault="00BB3A06" w:rsidP="00BB3A06">
      <w:r w:rsidRPr="00BB3A06">
        <w:t>Conversely, city center hotels serve a highly diverse and fast turning mix of business travelers, corporate convention delegates, government officials, urban weekend tourists, and short stay international transit passengers (Bowie et al., 2016). Business travelers represent a primary customer segment for urban properties, driving stable weekday demand that balances weekend leisure traffic (Walker, 2021). Urban guests prioritize efficiency, rapid check-in, reliable internet connectivity, and strategic proximity to corporate offices or event venues (Kotler et al., 2017). Due to the transactional nature of business travel and city weekend trips, the average length of stay at a city center hotel is significantly shorter, usually lasting between one and three nights (Contractor &amp; Kundu, 1998).</w:t>
      </w:r>
    </w:p>
    <w:p w14:paraId="44DB46FD" w14:textId="77777777" w:rsidR="00BB3A06" w:rsidRDefault="00BB3A06" w:rsidP="00BB3A06">
      <w:pPr>
        <w:rPr>
          <w:b/>
          <w:bCs/>
        </w:rPr>
      </w:pPr>
    </w:p>
    <w:p w14:paraId="516DB8EF" w14:textId="0263AC72" w:rsidR="00BB3A06" w:rsidRPr="00BB3A06" w:rsidRDefault="00BB3A06" w:rsidP="00BB3A06">
      <w:pPr>
        <w:rPr>
          <w:b/>
          <w:bCs/>
        </w:rPr>
      </w:pPr>
      <w:r w:rsidRPr="00BB3A06">
        <w:rPr>
          <w:b/>
          <w:bCs/>
        </w:rPr>
        <w:t>Services Offered and Operational Design</w:t>
      </w:r>
    </w:p>
    <w:p w14:paraId="795C7B51" w14:textId="77777777" w:rsidR="00BB3A06" w:rsidRPr="00BB3A06" w:rsidRDefault="00BB3A06" w:rsidP="00BB3A06">
      <w:r w:rsidRPr="00BB3A06">
        <w:t xml:space="preserve">The scope of physical facilities and guest services offered by these two hotel models reflects the differing expectations of their respective target markets (Walker, 2021). Resort hotels function as </w:t>
      </w:r>
      <w:proofErr w:type="spellStart"/>
      <w:r w:rsidRPr="00BB3A06">
        <w:t>self contained</w:t>
      </w:r>
      <w:proofErr w:type="spellEnd"/>
      <w:r w:rsidRPr="00BB3A06">
        <w:t xml:space="preserve"> micro destinations designed to capture all guest spending on-site (Bowie et al., 2016). To keep guests entertained over extended stays, resorts offer comprehensive recreational and leisure infrastructure, including multiple themed restaurants, full service spas, swimming pool complexes, tennis courts, supervised children's clubs, daily entertainment schedules, and organized water sports or outdoor excursions (Kotler et al., 2017). Service in a resort environment emphasizes personalized hospitality, leisure guest engagement, and a high employee to guest ratio that fosters a relaxed, pampering atmosphere (Walker, 2021).</w:t>
      </w:r>
    </w:p>
    <w:p w14:paraId="6BF3D21A" w14:textId="77777777" w:rsidR="00BB3A06" w:rsidRPr="00BB3A06" w:rsidRDefault="00BB3A06" w:rsidP="00BB3A06">
      <w:r w:rsidRPr="00BB3A06">
        <w:t xml:space="preserve">City center hotels, on the other hand, focus their operational design on functional efficiency, connectivity, and convenient service delivery (Bowie et al., 2016). Because urban guests frequently dine at off-property city restaurants and spend their days attending meetings or touring urban sights, city center hotels generally offer a more streamlined set of facilities (Walker, 2021). Physical amenities prioritize executive business centers, adaptable meeting rooms, high speed digital infrastructure, compact fitness facilities, and targeted food and beverage options, such as an </w:t>
      </w:r>
      <w:proofErr w:type="spellStart"/>
      <w:r w:rsidRPr="00BB3A06">
        <w:t>all day</w:t>
      </w:r>
      <w:proofErr w:type="spellEnd"/>
      <w:r w:rsidRPr="00BB3A06">
        <w:t xml:space="preserve"> dining room, an executive lounge, or a lobby bar (Kotler et al., 2017). Service protocols in urban properties emphasize speed, accuracy, seamless digital check-in processes, and efficient concierge support, catering to time sensitive guests who value quick and frictionless service interactions (Bowie et al., 2016).</w:t>
      </w:r>
    </w:p>
    <w:p w14:paraId="6C5E8D67" w14:textId="77777777" w:rsidR="00BB3A06" w:rsidRDefault="00BB3A06" w:rsidP="00BB3A06">
      <w:pPr>
        <w:pStyle w:val="Heading1"/>
      </w:pPr>
    </w:p>
    <w:p w14:paraId="03D01D12" w14:textId="2ADC9C22" w:rsidR="00BB3A06" w:rsidRPr="00BB3A06" w:rsidRDefault="00BB3A06" w:rsidP="00BB3A06">
      <w:pPr>
        <w:pStyle w:val="Heading1"/>
      </w:pPr>
      <w:r w:rsidRPr="00BB3A06">
        <w:t>References</w:t>
      </w:r>
    </w:p>
    <w:p w14:paraId="61F7E51F" w14:textId="77777777" w:rsidR="00BB3A06" w:rsidRPr="00BB3A06" w:rsidRDefault="00BB3A06" w:rsidP="00BB3A06">
      <w:pPr>
        <w:numPr>
          <w:ilvl w:val="0"/>
          <w:numId w:val="5"/>
        </w:numPr>
      </w:pPr>
      <w:r w:rsidRPr="00BB3A06">
        <w:t xml:space="preserve">Bowie, D., Buttle, F., Brookes, M., &amp; Zhang, X. (2016). </w:t>
      </w:r>
      <w:r w:rsidRPr="00BB3A06">
        <w:rPr>
          <w:i/>
          <w:iCs/>
        </w:rPr>
        <w:t>Hospitality Marketing: Principles and Practice</w:t>
      </w:r>
      <w:r w:rsidRPr="00BB3A06">
        <w:t>. Routledge.</w:t>
      </w:r>
    </w:p>
    <w:p w14:paraId="7E1DCF31" w14:textId="77777777" w:rsidR="00BB3A06" w:rsidRPr="00BB3A06" w:rsidRDefault="00BB3A06" w:rsidP="00BB3A06">
      <w:pPr>
        <w:numPr>
          <w:ilvl w:val="0"/>
          <w:numId w:val="5"/>
        </w:numPr>
      </w:pPr>
      <w:r w:rsidRPr="00BB3A06">
        <w:t xml:space="preserve">Contractor, F. J., &amp; Kundu, S. C. (1998). Modal choice in a world of alliances: Analyzing organizational forms in the international hotel sector. </w:t>
      </w:r>
      <w:r w:rsidRPr="00BB3A06">
        <w:rPr>
          <w:i/>
          <w:iCs/>
        </w:rPr>
        <w:t>Journal of International Business Studies</w:t>
      </w:r>
      <w:r w:rsidRPr="00BB3A06">
        <w:t>, 29(2), 325–357.</w:t>
      </w:r>
    </w:p>
    <w:p w14:paraId="58A29172" w14:textId="77777777" w:rsidR="00BB3A06" w:rsidRPr="00BB3A06" w:rsidRDefault="00BB3A06" w:rsidP="00BB3A06">
      <w:pPr>
        <w:numPr>
          <w:ilvl w:val="0"/>
          <w:numId w:val="5"/>
        </w:numPr>
      </w:pPr>
      <w:proofErr w:type="spellStart"/>
      <w:r w:rsidRPr="00BB3A06">
        <w:t>Grosbois</w:t>
      </w:r>
      <w:proofErr w:type="spellEnd"/>
      <w:r w:rsidRPr="00BB3A06">
        <w:t xml:space="preserve">, D. (2011). Corporate social responsibility reporting by the global hotel industry. </w:t>
      </w:r>
      <w:r w:rsidRPr="00BB3A06">
        <w:rPr>
          <w:i/>
          <w:iCs/>
        </w:rPr>
        <w:t>International Journal of Hospitality Management</w:t>
      </w:r>
      <w:r w:rsidRPr="00BB3A06">
        <w:t>, 31(1), 196–205.</w:t>
      </w:r>
    </w:p>
    <w:p w14:paraId="6FB2ABFC" w14:textId="77777777" w:rsidR="00BB3A06" w:rsidRPr="00BB3A06" w:rsidRDefault="00BB3A06" w:rsidP="00BB3A06">
      <w:pPr>
        <w:numPr>
          <w:ilvl w:val="0"/>
          <w:numId w:val="5"/>
        </w:numPr>
      </w:pPr>
      <w:r w:rsidRPr="00BB3A06">
        <w:rPr>
          <w:lang w:val="de-DE"/>
        </w:rPr>
        <w:t xml:space="preserve">Kotler, P., Bowen, J. T., Makens, J. C., &amp; Baloglu, S. (2017). </w:t>
      </w:r>
      <w:r w:rsidRPr="00BB3A06">
        <w:rPr>
          <w:i/>
          <w:iCs/>
        </w:rPr>
        <w:t>Marketing for Hospitality and Tourism</w:t>
      </w:r>
      <w:r w:rsidRPr="00BB3A06">
        <w:t xml:space="preserve"> (7th ed.). Pearson.</w:t>
      </w:r>
    </w:p>
    <w:p w14:paraId="347CE021" w14:textId="77777777" w:rsidR="00BB3A06" w:rsidRPr="00BB3A06" w:rsidRDefault="00BB3A06" w:rsidP="00BB3A06">
      <w:pPr>
        <w:numPr>
          <w:ilvl w:val="0"/>
          <w:numId w:val="5"/>
        </w:numPr>
      </w:pPr>
      <w:r w:rsidRPr="00BB3A06">
        <w:t xml:space="preserve">O'Gorman, K. D. (2010). </w:t>
      </w:r>
      <w:r w:rsidRPr="00BB3A06">
        <w:rPr>
          <w:i/>
          <w:iCs/>
        </w:rPr>
        <w:t>The Origins of Hospitality and Tourism</w:t>
      </w:r>
      <w:r w:rsidRPr="00BB3A06">
        <w:t>. Goodfellow Publishers.</w:t>
      </w:r>
    </w:p>
    <w:p w14:paraId="35AF15F3" w14:textId="77777777" w:rsidR="00BB3A06" w:rsidRPr="00BB3A06" w:rsidRDefault="00BB3A06" w:rsidP="00BB3A06">
      <w:pPr>
        <w:numPr>
          <w:ilvl w:val="0"/>
          <w:numId w:val="5"/>
        </w:numPr>
      </w:pPr>
      <w:r w:rsidRPr="00BB3A06">
        <w:t xml:space="preserve">Turner, M. J., &amp; </w:t>
      </w:r>
      <w:proofErr w:type="spellStart"/>
      <w:r w:rsidRPr="00BB3A06">
        <w:t>Guilding</w:t>
      </w:r>
      <w:proofErr w:type="spellEnd"/>
      <w:r w:rsidRPr="00BB3A06">
        <w:t xml:space="preserve">, C. (2010). Hotel management contracts and the principal agent problem. </w:t>
      </w:r>
      <w:r w:rsidRPr="00BB3A06">
        <w:rPr>
          <w:i/>
          <w:iCs/>
        </w:rPr>
        <w:t>International Journal of Hospitality Management</w:t>
      </w:r>
      <w:r w:rsidRPr="00BB3A06">
        <w:t>, 29(4), 586–594.</w:t>
      </w:r>
    </w:p>
    <w:p w14:paraId="79255661" w14:textId="0DE15E14" w:rsidR="00BB3A06" w:rsidRPr="005949FB" w:rsidRDefault="00BB3A06" w:rsidP="00BB3A06">
      <w:pPr>
        <w:numPr>
          <w:ilvl w:val="0"/>
          <w:numId w:val="5"/>
        </w:numPr>
      </w:pPr>
      <w:r w:rsidRPr="00BB3A06">
        <w:t xml:space="preserve">Walker, J. R. (2021). </w:t>
      </w:r>
      <w:r w:rsidRPr="00BB3A06">
        <w:rPr>
          <w:i/>
          <w:iCs/>
        </w:rPr>
        <w:t>Introduction to Hospitality</w:t>
      </w:r>
      <w:r w:rsidRPr="00BB3A06">
        <w:t xml:space="preserve"> (8th ed.). Pearson.</w:t>
      </w:r>
    </w:p>
    <w:sectPr w:rsidR="00BB3A06" w:rsidRPr="005949FB" w:rsidSect="00F84AA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4EFE77C-2586-4BB0-ABD3-8FE59D2A06C0}"/>
    <w:embedBold r:id="rId2" w:fontKey="{6E7564D8-0A40-404A-9D34-042F437C8D30}"/>
    <w:embedItalic r:id="rId3" w:fontKey="{2986E9D3-25F7-4B74-88B1-F37886144BA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62F79D1-C4BE-4D92-9191-CD2B07609AB2}"/>
    <w:embedBold r:id="rId5" w:fontKey="{F580D912-9FFA-4B55-8300-8DAC8BEDEB9C}"/>
  </w:font>
  <w:font w:name="Calibri Light">
    <w:panose1 w:val="020F0302020204030204"/>
    <w:charset w:val="00"/>
    <w:family w:val="swiss"/>
    <w:pitch w:val="variable"/>
    <w:sig w:usb0="E4002EFF" w:usb1="C200247B" w:usb2="00000009" w:usb3="00000000" w:csb0="000001FF" w:csb1="00000000"/>
    <w:embedRegular r:id="rId6" w:fontKey="{A022D0CB-F9AE-4668-862A-A61E4A811D5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F543AD6"/>
    <w:multiLevelType w:val="multilevel"/>
    <w:tmpl w:val="E948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3"/>
  </w:num>
  <w:num w:numId="2" w16cid:durableId="1012683535">
    <w:abstractNumId w:val="2"/>
  </w:num>
  <w:num w:numId="3" w16cid:durableId="1882092387">
    <w:abstractNumId w:val="4"/>
  </w:num>
  <w:num w:numId="4" w16cid:durableId="1544052912">
    <w:abstractNumId w:val="0"/>
  </w:num>
  <w:num w:numId="5" w16cid:durableId="550456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A716F"/>
    <w:rsid w:val="002F4AE0"/>
    <w:rsid w:val="00384E8A"/>
    <w:rsid w:val="003D1074"/>
    <w:rsid w:val="00426865"/>
    <w:rsid w:val="00477CAA"/>
    <w:rsid w:val="00497595"/>
    <w:rsid w:val="004C5A76"/>
    <w:rsid w:val="00502E29"/>
    <w:rsid w:val="005949FB"/>
    <w:rsid w:val="005E458B"/>
    <w:rsid w:val="00794642"/>
    <w:rsid w:val="007D41DA"/>
    <w:rsid w:val="00844EC2"/>
    <w:rsid w:val="008516FE"/>
    <w:rsid w:val="0088261D"/>
    <w:rsid w:val="009C1D0A"/>
    <w:rsid w:val="00A044F7"/>
    <w:rsid w:val="00A8150E"/>
    <w:rsid w:val="00B20343"/>
    <w:rsid w:val="00B72487"/>
    <w:rsid w:val="00B85EA7"/>
    <w:rsid w:val="00BB3A06"/>
    <w:rsid w:val="00BB4C12"/>
    <w:rsid w:val="00BE65DD"/>
    <w:rsid w:val="00C612A4"/>
    <w:rsid w:val="00CC6AD1"/>
    <w:rsid w:val="00E6778A"/>
    <w:rsid w:val="00F25F5B"/>
    <w:rsid w:val="00F837B1"/>
    <w:rsid w:val="00F84A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4D06B"/>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B3A06"/>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A06"/>
    <w:rPr>
      <w:rFonts w:ascii="Cambria" w:eastAsiaTheme="majorEastAsia" w:hAnsi="Cambria" w:cstheme="majorBidi"/>
      <w:b/>
      <w:sz w:val="28"/>
      <w:szCs w:val="28"/>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1667</Words>
  <Characters>9504</Characters>
  <Application>Microsoft Office Word</Application>
  <DocSecurity>0</DocSecurity>
  <Lines>79</Lines>
  <Paragraphs>22</Paragraphs>
  <ScaleCrop>false</ScaleCrop>
  <Company/>
  <LinksUpToDate>false</LinksUpToDate>
  <CharactersWithSpaces>11149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10</cp:revision>
  <dcterms:created xsi:type="dcterms:W3CDTF">2026-04-08T12:12:00Z</dcterms:created>
  <dcterms:modified xsi:type="dcterms:W3CDTF">2026-08-03T14:28:00Z</dcterms:modified>
</cp:coreProperties>
</file>