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63C276F" wp14:paraId="29F533AD" wp14:textId="17E6422E">
      <w:pPr>
        <w:pStyle w:val="Heading2"/>
        <w:spacing w:before="0" w:beforeAutospacing="off" w:after="299" w:afterAutospacing="off"/>
        <w:rPr>
          <w:rFonts w:ascii="Aptos" w:hAnsi="Aptos" w:eastAsia="Aptos" w:cs="Aptos"/>
          <w:b w:val="0"/>
          <w:bCs w:val="0"/>
          <w:noProof w:val="0"/>
          <w:sz w:val="36"/>
          <w:szCs w:val="36"/>
          <w:lang w:val="en-US"/>
        </w:rPr>
      </w:pPr>
      <w:r w:rsidRPr="263C276F" w:rsidR="634F1389">
        <w:rPr>
          <w:rFonts w:ascii="Aptos" w:hAnsi="Aptos" w:eastAsia="Aptos" w:cs="Aptos"/>
          <w:b w:val="0"/>
          <w:bCs w:val="0"/>
          <w:noProof w:val="0"/>
          <w:sz w:val="36"/>
          <w:szCs w:val="36"/>
          <w:lang w:val="en-US"/>
        </w:rPr>
        <w:t>Distinguishing Between Illicit and Unfair Competition in Tourism</w:t>
      </w:r>
    </w:p>
    <w:p xmlns:wp14="http://schemas.microsoft.com/office/word/2010/wordml" w:rsidP="263C276F" wp14:paraId="34C4B42C" wp14:textId="399C24A8">
      <w:pPr>
        <w:spacing w:before="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 xml:space="preserve">In the global tourism marketplace, the integrity of a destination depends on a level playing field. Distinguishing between </w:t>
      </w:r>
      <w:r w:rsidRPr="263C276F" w:rsidR="634F1389">
        <w:rPr>
          <w:rFonts w:ascii="Aptos" w:hAnsi="Aptos" w:eastAsia="Aptos" w:cs="Aptos"/>
          <w:b w:val="0"/>
          <w:bCs w:val="0"/>
          <w:noProof w:val="0"/>
          <w:sz w:val="24"/>
          <w:szCs w:val="24"/>
          <w:lang w:val="en-US"/>
        </w:rPr>
        <w:t>illicit competition</w:t>
      </w:r>
      <w:r w:rsidRPr="263C276F" w:rsidR="634F1389">
        <w:rPr>
          <w:rFonts w:ascii="Aptos" w:hAnsi="Aptos" w:eastAsia="Aptos" w:cs="Aptos"/>
          <w:b w:val="0"/>
          <w:bCs w:val="0"/>
          <w:noProof w:val="0"/>
          <w:sz w:val="24"/>
          <w:szCs w:val="24"/>
          <w:lang w:val="en-US"/>
        </w:rPr>
        <w:t xml:space="preserve"> and </w:t>
      </w:r>
      <w:r w:rsidRPr="263C276F" w:rsidR="634F1389">
        <w:rPr>
          <w:rFonts w:ascii="Aptos" w:hAnsi="Aptos" w:eastAsia="Aptos" w:cs="Aptos"/>
          <w:b w:val="0"/>
          <w:bCs w:val="0"/>
          <w:noProof w:val="0"/>
          <w:sz w:val="24"/>
          <w:szCs w:val="24"/>
          <w:lang w:val="en-US"/>
        </w:rPr>
        <w:t>unfair competition</w:t>
      </w:r>
      <w:r w:rsidRPr="263C276F" w:rsidR="634F1389">
        <w:rPr>
          <w:rFonts w:ascii="Aptos" w:hAnsi="Aptos" w:eastAsia="Aptos" w:cs="Aptos"/>
          <w:b w:val="0"/>
          <w:bCs w:val="0"/>
          <w:noProof w:val="0"/>
          <w:sz w:val="24"/>
          <w:szCs w:val="24"/>
          <w:lang w:val="en-US"/>
        </w:rPr>
        <w:t xml:space="preserve"> is crucial for policymakers because, while both distort the market, they require different legal remedies and enforcement strategies.</w:t>
      </w:r>
    </w:p>
    <w:p xmlns:wp14="http://schemas.microsoft.com/office/word/2010/wordml" w:rsidP="263C276F" wp14:paraId="7A2CFA68" wp14:textId="77BA5982">
      <w:pPr>
        <w:pStyle w:val="Heading3"/>
        <w:spacing w:before="0" w:beforeAutospacing="off" w:after="281" w:afterAutospacing="off"/>
        <w:rPr>
          <w:rFonts w:ascii="Aptos" w:hAnsi="Aptos" w:eastAsia="Aptos" w:cs="Aptos"/>
          <w:b w:val="0"/>
          <w:bCs w:val="0"/>
          <w:noProof w:val="0"/>
          <w:sz w:val="28"/>
          <w:szCs w:val="28"/>
          <w:lang w:val="en-US"/>
        </w:rPr>
      </w:pPr>
      <w:r w:rsidRPr="263C276F" w:rsidR="634F1389">
        <w:rPr>
          <w:rFonts w:ascii="Aptos" w:hAnsi="Aptos" w:eastAsia="Aptos" w:cs="Aptos"/>
          <w:b w:val="0"/>
          <w:bCs w:val="0"/>
          <w:noProof w:val="0"/>
          <w:sz w:val="28"/>
          <w:szCs w:val="28"/>
          <w:lang w:val="en-US"/>
        </w:rPr>
        <w:t>1. Illicit Competition: The Violation of Legality</w:t>
      </w:r>
    </w:p>
    <w:p xmlns:wp14="http://schemas.microsoft.com/office/word/2010/wordml" w:rsidP="263C276F" wp14:paraId="2AB7B828" wp14:textId="378174DD">
      <w:pPr>
        <w:spacing w:before="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Illicit competition refers to "shadow" activities that bypass the legal framework of a state entirely. In tourism, this often manifests as the informal economy gaining an advantage by ignoring the costs of compliance.</w:t>
      </w:r>
    </w:p>
    <w:p xmlns:wp14="http://schemas.microsoft.com/office/word/2010/wordml" w:rsidP="263C276F" wp14:paraId="593EFD43" wp14:textId="031C149A">
      <w:pPr>
        <w:pStyle w:val="ListParagraph"/>
        <w:spacing w:before="24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Unlicensed Operations:</w:t>
      </w:r>
      <w:r w:rsidRPr="263C276F" w:rsidR="634F1389">
        <w:rPr>
          <w:rFonts w:ascii="Aptos" w:hAnsi="Aptos" w:eastAsia="Aptos" w:cs="Aptos"/>
          <w:b w:val="0"/>
          <w:bCs w:val="0"/>
          <w:noProof w:val="0"/>
          <w:sz w:val="24"/>
          <w:szCs w:val="24"/>
          <w:lang w:val="en-US"/>
        </w:rPr>
        <w:t xml:space="preserve"> This is the most prevalent form, where "underground" operators provide accommodation or guided tours without professional licensing. This creates a safety risk for tourists who may be using services not subject to government inspections.</w:t>
      </w:r>
    </w:p>
    <w:p xmlns:wp14="http://schemas.microsoft.com/office/word/2010/wordml" w:rsidP="263C276F" wp14:paraId="7E213C87" wp14:textId="5FBF9060">
      <w:pPr>
        <w:pStyle w:val="ListParagraph"/>
        <w:spacing w:before="24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Tax and Levy Evasion:</w:t>
      </w:r>
      <w:r w:rsidRPr="263C276F" w:rsidR="634F1389">
        <w:rPr>
          <w:rFonts w:ascii="Aptos" w:hAnsi="Aptos" w:eastAsia="Aptos" w:cs="Aptos"/>
          <w:b w:val="0"/>
          <w:bCs w:val="0"/>
          <w:noProof w:val="0"/>
          <w:sz w:val="24"/>
          <w:szCs w:val="24"/>
          <w:lang w:val="en-US"/>
        </w:rPr>
        <w:t xml:space="preserve"> By operating "off the books," illicit actors avoid VAT, income tax, and specific tourism taxes (like "bed taxes"). This allows them to offer lower prices than legitimate businesses that contribute to the public infrastructure the tourists are using.</w:t>
      </w:r>
    </w:p>
    <w:p xmlns:wp14="http://schemas.microsoft.com/office/word/2010/wordml" w:rsidP="263C276F" wp14:paraId="4C3538FB" wp14:textId="1DEE293E">
      <w:pPr>
        <w:pStyle w:val="ListParagraph"/>
        <w:spacing w:before="24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Safety and Labor Violations:</w:t>
      </w:r>
      <w:r w:rsidRPr="263C276F" w:rsidR="634F1389">
        <w:rPr>
          <w:rFonts w:ascii="Aptos" w:hAnsi="Aptos" w:eastAsia="Aptos" w:cs="Aptos"/>
          <w:b w:val="0"/>
          <w:bCs w:val="0"/>
          <w:noProof w:val="0"/>
          <w:sz w:val="24"/>
          <w:szCs w:val="24"/>
          <w:lang w:val="en-US"/>
        </w:rPr>
        <w:t xml:space="preserve"> Illicit operators frequently ignore mandatory passenger insurance for transport or labor laws regarding fair wages and working hours.</w:t>
      </w:r>
    </w:p>
    <w:p xmlns:wp14="http://schemas.microsoft.com/office/word/2010/wordml" w:rsidP="263C276F" wp14:paraId="4F6D38C8" wp14:textId="072CE718">
      <w:pPr>
        <w:spacing w:before="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 xml:space="preserve">The primary victim of illicit competition is the </w:t>
      </w:r>
      <w:r w:rsidRPr="263C276F" w:rsidR="634F1389">
        <w:rPr>
          <w:rFonts w:ascii="Aptos" w:hAnsi="Aptos" w:eastAsia="Aptos" w:cs="Aptos"/>
          <w:b w:val="0"/>
          <w:bCs w:val="0"/>
          <w:noProof w:val="0"/>
          <w:sz w:val="24"/>
          <w:szCs w:val="24"/>
          <w:lang w:val="en-US"/>
        </w:rPr>
        <w:t>State</w:t>
      </w:r>
      <w:r w:rsidRPr="263C276F" w:rsidR="634F1389">
        <w:rPr>
          <w:rFonts w:ascii="Aptos" w:hAnsi="Aptos" w:eastAsia="Aptos" w:cs="Aptos"/>
          <w:b w:val="0"/>
          <w:bCs w:val="0"/>
          <w:noProof w:val="0"/>
          <w:sz w:val="24"/>
          <w:szCs w:val="24"/>
          <w:lang w:val="en-US"/>
        </w:rPr>
        <w:t xml:space="preserve"> and the </w:t>
      </w:r>
      <w:r w:rsidRPr="263C276F" w:rsidR="634F1389">
        <w:rPr>
          <w:rFonts w:ascii="Aptos" w:hAnsi="Aptos" w:eastAsia="Aptos" w:cs="Aptos"/>
          <w:b w:val="0"/>
          <w:bCs w:val="0"/>
          <w:noProof w:val="0"/>
          <w:sz w:val="24"/>
          <w:szCs w:val="24"/>
          <w:lang w:val="en-US"/>
        </w:rPr>
        <w:t>public interest</w:t>
      </w:r>
      <w:r w:rsidRPr="263C276F" w:rsidR="634F1389">
        <w:rPr>
          <w:rFonts w:ascii="Aptos" w:hAnsi="Aptos" w:eastAsia="Aptos" w:cs="Aptos"/>
          <w:b w:val="0"/>
          <w:bCs w:val="0"/>
          <w:noProof w:val="0"/>
          <w:sz w:val="24"/>
          <w:szCs w:val="24"/>
          <w:lang w:val="en-US"/>
        </w:rPr>
        <w:t>, as it leads to lost revenue and compromised public safety.</w:t>
      </w:r>
    </w:p>
    <w:p xmlns:wp14="http://schemas.microsoft.com/office/word/2010/wordml" w:rsidP="263C276F" wp14:paraId="04EA1065" wp14:textId="5039BB9C">
      <w:pPr>
        <w:pStyle w:val="Heading3"/>
        <w:spacing w:before="0" w:beforeAutospacing="off" w:after="281" w:afterAutospacing="off"/>
        <w:rPr>
          <w:rFonts w:ascii="Aptos" w:hAnsi="Aptos" w:eastAsia="Aptos" w:cs="Aptos"/>
          <w:b w:val="0"/>
          <w:bCs w:val="0"/>
          <w:noProof w:val="0"/>
          <w:sz w:val="28"/>
          <w:szCs w:val="28"/>
          <w:lang w:val="en-US"/>
        </w:rPr>
      </w:pPr>
      <w:r w:rsidRPr="263C276F" w:rsidR="634F1389">
        <w:rPr>
          <w:rFonts w:ascii="Aptos" w:hAnsi="Aptos" w:eastAsia="Aptos" w:cs="Aptos"/>
          <w:b w:val="0"/>
          <w:bCs w:val="0"/>
          <w:noProof w:val="0"/>
          <w:sz w:val="28"/>
          <w:szCs w:val="28"/>
          <w:lang w:val="en-US"/>
        </w:rPr>
        <w:t>2. Unfair Competition: The Violation of Ethics</w:t>
      </w:r>
    </w:p>
    <w:p xmlns:wp14="http://schemas.microsoft.com/office/word/2010/wordml" w:rsidP="263C276F" wp14:paraId="39771CD0" wp14:textId="45D0E702">
      <w:pPr>
        <w:spacing w:before="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Unfair competition occurs when a legally recognized business engages in practices that are "contrary to honest practices in industrial or commercial matters." Here, the entity is legal, but its behavior is predatory or deceptive.</w:t>
      </w:r>
    </w:p>
    <w:p xmlns:wp14="http://schemas.microsoft.com/office/word/2010/wordml" w:rsidP="263C276F" wp14:paraId="0498C090" wp14:textId="56D65019">
      <w:pPr>
        <w:pStyle w:val="ListParagraph"/>
        <w:spacing w:before="24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Deceptive Digital Practices:</w:t>
      </w:r>
      <w:r w:rsidRPr="263C276F" w:rsidR="634F1389">
        <w:rPr>
          <w:rFonts w:ascii="Aptos" w:hAnsi="Aptos" w:eastAsia="Aptos" w:cs="Aptos"/>
          <w:b w:val="0"/>
          <w:bCs w:val="0"/>
          <w:noProof w:val="0"/>
          <w:sz w:val="24"/>
          <w:szCs w:val="24"/>
          <w:lang w:val="en-US"/>
        </w:rPr>
        <w:t xml:space="preserve"> This includes "hidden fees" (drip pricing) where the advertised price is impossible to achieve, or the use of fake reviews to artificially inflate a property's reputation while disparaging others.</w:t>
      </w:r>
    </w:p>
    <w:p xmlns:wp14="http://schemas.microsoft.com/office/word/2010/wordml" w:rsidP="263C276F" wp14:paraId="6F5527F0" wp14:textId="3C32D5E1">
      <w:pPr>
        <w:pStyle w:val="ListParagraph"/>
        <w:spacing w:before="24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Market Predation (Dumping):</w:t>
      </w:r>
      <w:r w:rsidRPr="263C276F" w:rsidR="634F1389">
        <w:rPr>
          <w:rFonts w:ascii="Aptos" w:hAnsi="Aptos" w:eastAsia="Aptos" w:cs="Aptos"/>
          <w:b w:val="0"/>
          <w:bCs w:val="0"/>
          <w:noProof w:val="0"/>
          <w:sz w:val="24"/>
          <w:szCs w:val="24"/>
          <w:lang w:val="en-US"/>
        </w:rPr>
        <w:t xml:space="preserve"> Large multinational hotel chains may use their capital reserves to price rooms below marginal cost in a specific local market. The goal is to bankrupt local independent hotels, after which the chain can raise prices back to monopoly levels.</w:t>
      </w:r>
    </w:p>
    <w:p xmlns:wp14="http://schemas.microsoft.com/office/word/2010/wordml" w:rsidP="263C276F" wp14:paraId="23809A58" wp14:textId="51D49F76">
      <w:pPr>
        <w:pStyle w:val="ListParagraph"/>
        <w:spacing w:before="24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Intellectual Property Infringement:</w:t>
      </w:r>
      <w:r w:rsidRPr="263C276F" w:rsidR="634F1389">
        <w:rPr>
          <w:rFonts w:ascii="Aptos" w:hAnsi="Aptos" w:eastAsia="Aptos" w:cs="Aptos"/>
          <w:b w:val="0"/>
          <w:bCs w:val="0"/>
          <w:noProof w:val="0"/>
          <w:sz w:val="24"/>
          <w:szCs w:val="24"/>
          <w:lang w:val="en-US"/>
        </w:rPr>
        <w:t xml:space="preserve"> Creating "look-alike" brands or using meta-tags of a competitor's name to divert web traffic (initial interest confusion) is a common unfair tactic in the digital travel space.</w:t>
      </w:r>
    </w:p>
    <w:p xmlns:wp14="http://schemas.microsoft.com/office/word/2010/wordml" w:rsidP="263C276F" wp14:paraId="022D6017" wp14:textId="204EC40A">
      <w:pPr>
        <w:pStyle w:val="Heading3"/>
        <w:spacing w:before="0" w:beforeAutospacing="off" w:after="281" w:afterAutospacing="off"/>
        <w:rPr>
          <w:rFonts w:ascii="Aptos" w:hAnsi="Aptos" w:eastAsia="Aptos" w:cs="Aptos"/>
          <w:b w:val="0"/>
          <w:bCs w:val="0"/>
          <w:noProof w:val="0"/>
          <w:sz w:val="28"/>
          <w:szCs w:val="28"/>
          <w:lang w:val="en-US"/>
        </w:rPr>
      </w:pPr>
      <w:r w:rsidRPr="263C276F" w:rsidR="634F1389">
        <w:rPr>
          <w:rFonts w:ascii="Aptos" w:hAnsi="Aptos" w:eastAsia="Aptos" w:cs="Aptos"/>
          <w:b w:val="0"/>
          <w:bCs w:val="0"/>
          <w:noProof w:val="0"/>
          <w:sz w:val="28"/>
          <w:szCs w:val="28"/>
          <w:lang w:val="en-US"/>
        </w:rPr>
        <w:t>3. Comparison and Policy Implications</w:t>
      </w:r>
    </w:p>
    <w:p xmlns:wp14="http://schemas.microsoft.com/office/word/2010/wordml" w:rsidP="263C276F" wp14:paraId="19AECE23" wp14:textId="573A1D16">
      <w:pPr>
        <w:spacing w:before="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 xml:space="preserve">The distinction is vital for enforcement. Illicit competition is typically handled via </w:t>
      </w:r>
      <w:r w:rsidRPr="263C276F" w:rsidR="634F1389">
        <w:rPr>
          <w:rFonts w:ascii="Aptos" w:hAnsi="Aptos" w:eastAsia="Aptos" w:cs="Aptos"/>
          <w:b w:val="0"/>
          <w:bCs w:val="0"/>
          <w:noProof w:val="0"/>
          <w:sz w:val="24"/>
          <w:szCs w:val="24"/>
          <w:lang w:val="en-US"/>
        </w:rPr>
        <w:t>administrative or criminal law</w:t>
      </w:r>
      <w:r w:rsidRPr="263C276F" w:rsidR="634F1389">
        <w:rPr>
          <w:rFonts w:ascii="Aptos" w:hAnsi="Aptos" w:eastAsia="Aptos" w:cs="Aptos"/>
          <w:b w:val="0"/>
          <w:bCs w:val="0"/>
          <w:noProof w:val="0"/>
          <w:sz w:val="24"/>
          <w:szCs w:val="24"/>
          <w:lang w:val="en-US"/>
        </w:rPr>
        <w:t xml:space="preserve"> (police raids, closures, and fines). Unfair competition is usually resolved through </w:t>
      </w:r>
      <w:r w:rsidRPr="263C276F" w:rsidR="634F1389">
        <w:rPr>
          <w:rFonts w:ascii="Aptos" w:hAnsi="Aptos" w:eastAsia="Aptos" w:cs="Aptos"/>
          <w:b w:val="0"/>
          <w:bCs w:val="0"/>
          <w:noProof w:val="0"/>
          <w:sz w:val="24"/>
          <w:szCs w:val="24"/>
          <w:lang w:val="en-US"/>
        </w:rPr>
        <w:t>civil litigation</w:t>
      </w:r>
      <w:r w:rsidRPr="263C276F" w:rsidR="634F1389">
        <w:rPr>
          <w:rFonts w:ascii="Aptos" w:hAnsi="Aptos" w:eastAsia="Aptos" w:cs="Aptos"/>
          <w:b w:val="0"/>
          <w:bCs w:val="0"/>
          <w:noProof w:val="0"/>
          <w:sz w:val="24"/>
          <w:szCs w:val="24"/>
          <w:lang w:val="en-US"/>
        </w:rPr>
        <w:t xml:space="preserve"> or specialized competition commissions that issue "cease and desist" orders.</w:t>
      </w:r>
    </w:p>
    <w:tbl>
      <w:tblPr>
        <w:tblStyle w:val="TableNormal"/>
        <w:bidiVisual w:val="0"/>
        <w:tblW w:w="0" w:type="auto"/>
        <w:tblLook w:val="06A0" w:firstRow="1" w:lastRow="0" w:firstColumn="1" w:lastColumn="0" w:noHBand="1" w:noVBand="1"/>
      </w:tblPr>
      <w:tblGrid>
        <w:gridCol w:w="1494"/>
        <w:gridCol w:w="4096"/>
        <w:gridCol w:w="4144"/>
      </w:tblGrid>
      <w:tr w:rsidR="263C276F" w:rsidTr="263C276F" w14:paraId="0A418A92">
        <w:trPr>
          <w:trHeight w:val="300"/>
        </w:trPr>
        <w:tc>
          <w:tcPr>
            <w:tcW w:w="1494" w:type="dxa"/>
            <w:tcBorders>
              <w:top w:val="single" w:sz="6"/>
              <w:left w:val="single" w:sz="6"/>
              <w:bottom w:val="single" w:sz="6"/>
              <w:right w:val="single" w:sz="6"/>
            </w:tcBorders>
            <w:tcMar/>
            <w:vAlign w:val="center"/>
          </w:tcPr>
          <w:p w:rsidR="263C276F" w:rsidP="263C276F" w:rsidRDefault="263C276F" w14:paraId="788A171C" w14:textId="28BDED36">
            <w:pPr>
              <w:spacing w:before="0" w:beforeAutospacing="off" w:after="0" w:afterAutospacing="off"/>
              <w:rPr>
                <w:b w:val="0"/>
                <w:bCs w:val="0"/>
              </w:rPr>
            </w:pPr>
            <w:r w:rsidR="263C276F">
              <w:rPr>
                <w:b w:val="0"/>
                <w:bCs w:val="0"/>
              </w:rPr>
              <w:t>Feature</w:t>
            </w:r>
          </w:p>
        </w:tc>
        <w:tc>
          <w:tcPr>
            <w:tcW w:w="4096" w:type="dxa"/>
            <w:tcBorders>
              <w:top w:val="single" w:sz="6"/>
              <w:left w:val="single" w:sz="6"/>
              <w:bottom w:val="single" w:sz="6"/>
              <w:right w:val="single" w:sz="6"/>
            </w:tcBorders>
            <w:tcMar/>
            <w:vAlign w:val="center"/>
          </w:tcPr>
          <w:p w:rsidR="263C276F" w:rsidP="263C276F" w:rsidRDefault="263C276F" w14:paraId="59860C19" w14:textId="7B61C7AD">
            <w:pPr>
              <w:spacing w:before="0" w:beforeAutospacing="off" w:after="0" w:afterAutospacing="off"/>
              <w:rPr>
                <w:b w:val="0"/>
                <w:bCs w:val="0"/>
              </w:rPr>
            </w:pPr>
            <w:r w:rsidR="263C276F">
              <w:rPr>
                <w:b w:val="0"/>
                <w:bCs w:val="0"/>
              </w:rPr>
              <w:t>Illicit Competition</w:t>
            </w:r>
          </w:p>
        </w:tc>
        <w:tc>
          <w:tcPr>
            <w:tcW w:w="4144" w:type="dxa"/>
            <w:tcBorders>
              <w:top w:val="single" w:sz="6"/>
              <w:left w:val="single" w:sz="6"/>
              <w:bottom w:val="single" w:sz="6"/>
              <w:right w:val="single" w:sz="6"/>
            </w:tcBorders>
            <w:tcMar/>
            <w:vAlign w:val="center"/>
          </w:tcPr>
          <w:p w:rsidR="263C276F" w:rsidP="263C276F" w:rsidRDefault="263C276F" w14:paraId="7F3D3466" w14:textId="04837A6A">
            <w:pPr>
              <w:spacing w:before="0" w:beforeAutospacing="off" w:after="0" w:afterAutospacing="off"/>
              <w:rPr>
                <w:b w:val="0"/>
                <w:bCs w:val="0"/>
              </w:rPr>
            </w:pPr>
            <w:r w:rsidR="263C276F">
              <w:rPr>
                <w:b w:val="0"/>
                <w:bCs w:val="0"/>
              </w:rPr>
              <w:t>Unfair Competition</w:t>
            </w:r>
          </w:p>
        </w:tc>
      </w:tr>
      <w:tr w:rsidR="263C276F" w:rsidTr="263C276F" w14:paraId="62158EE2">
        <w:trPr>
          <w:trHeight w:val="300"/>
        </w:trPr>
        <w:tc>
          <w:tcPr>
            <w:tcW w:w="1494" w:type="dxa"/>
            <w:tcBorders>
              <w:top w:val="single" w:sz="6"/>
              <w:left w:val="single" w:sz="6"/>
              <w:bottom w:val="single" w:sz="6"/>
              <w:right w:val="single" w:sz="6"/>
            </w:tcBorders>
            <w:tcMar/>
            <w:vAlign w:val="center"/>
          </w:tcPr>
          <w:p w:rsidR="263C276F" w:rsidP="263C276F" w:rsidRDefault="263C276F" w14:paraId="5A5BF24B" w14:textId="79DCA51E">
            <w:pPr>
              <w:spacing w:before="0" w:beforeAutospacing="off" w:after="0" w:afterAutospacing="off"/>
              <w:rPr>
                <w:b w:val="0"/>
                <w:bCs w:val="0"/>
              </w:rPr>
            </w:pPr>
            <w:r w:rsidR="263C276F">
              <w:rPr>
                <w:b w:val="0"/>
                <w:bCs w:val="0"/>
              </w:rPr>
              <w:t>Legal Basis</w:t>
            </w:r>
          </w:p>
        </w:tc>
        <w:tc>
          <w:tcPr>
            <w:tcW w:w="4096" w:type="dxa"/>
            <w:tcBorders>
              <w:top w:val="single" w:sz="6"/>
              <w:left w:val="single" w:sz="6"/>
              <w:bottom w:val="single" w:sz="6"/>
              <w:right w:val="single" w:sz="6"/>
            </w:tcBorders>
            <w:tcMar/>
            <w:vAlign w:val="center"/>
          </w:tcPr>
          <w:p w:rsidR="263C276F" w:rsidP="263C276F" w:rsidRDefault="263C276F" w14:paraId="67449E15" w14:textId="2FA568B8">
            <w:pPr>
              <w:spacing w:before="0" w:beforeAutospacing="off" w:after="0" w:afterAutospacing="off"/>
              <w:rPr>
                <w:b w:val="0"/>
                <w:bCs w:val="0"/>
              </w:rPr>
            </w:pPr>
            <w:r w:rsidR="263C276F">
              <w:rPr>
                <w:b w:val="0"/>
                <w:bCs w:val="0"/>
              </w:rPr>
              <w:t>Violation of statutory law/licensing.</w:t>
            </w:r>
          </w:p>
        </w:tc>
        <w:tc>
          <w:tcPr>
            <w:tcW w:w="4144" w:type="dxa"/>
            <w:tcBorders>
              <w:top w:val="single" w:sz="6"/>
              <w:left w:val="single" w:sz="6"/>
              <w:bottom w:val="single" w:sz="6"/>
              <w:right w:val="single" w:sz="6"/>
            </w:tcBorders>
            <w:tcMar/>
            <w:vAlign w:val="center"/>
          </w:tcPr>
          <w:p w:rsidR="263C276F" w:rsidP="263C276F" w:rsidRDefault="263C276F" w14:paraId="72B6EB0B" w14:textId="57FB55E7">
            <w:pPr>
              <w:spacing w:before="0" w:beforeAutospacing="off" w:after="0" w:afterAutospacing="off"/>
              <w:rPr>
                <w:b w:val="0"/>
                <w:bCs w:val="0"/>
              </w:rPr>
            </w:pPr>
            <w:r w:rsidR="263C276F">
              <w:rPr>
                <w:b w:val="0"/>
                <w:bCs w:val="0"/>
              </w:rPr>
              <w:t>Violation of commercial ethics/fairness.</w:t>
            </w:r>
          </w:p>
        </w:tc>
      </w:tr>
      <w:tr w:rsidR="263C276F" w:rsidTr="263C276F" w14:paraId="300495B0">
        <w:trPr>
          <w:trHeight w:val="300"/>
        </w:trPr>
        <w:tc>
          <w:tcPr>
            <w:tcW w:w="1494" w:type="dxa"/>
            <w:tcBorders>
              <w:top w:val="single" w:sz="6"/>
              <w:left w:val="single" w:sz="6"/>
              <w:bottom w:val="single" w:sz="6"/>
              <w:right w:val="single" w:sz="6"/>
            </w:tcBorders>
            <w:tcMar/>
            <w:vAlign w:val="center"/>
          </w:tcPr>
          <w:p w:rsidR="263C276F" w:rsidP="263C276F" w:rsidRDefault="263C276F" w14:paraId="50DBC1D2" w14:textId="4DCE6FD3">
            <w:pPr>
              <w:spacing w:before="0" w:beforeAutospacing="off" w:after="0" w:afterAutospacing="off"/>
              <w:rPr>
                <w:b w:val="0"/>
                <w:bCs w:val="0"/>
              </w:rPr>
            </w:pPr>
            <w:r w:rsidR="263C276F">
              <w:rPr>
                <w:b w:val="0"/>
                <w:bCs w:val="0"/>
              </w:rPr>
              <w:t>Typical Actor</w:t>
            </w:r>
          </w:p>
        </w:tc>
        <w:tc>
          <w:tcPr>
            <w:tcW w:w="4096" w:type="dxa"/>
            <w:tcBorders>
              <w:top w:val="single" w:sz="6"/>
              <w:left w:val="single" w:sz="6"/>
              <w:bottom w:val="single" w:sz="6"/>
              <w:right w:val="single" w:sz="6"/>
            </w:tcBorders>
            <w:tcMar/>
            <w:vAlign w:val="center"/>
          </w:tcPr>
          <w:p w:rsidR="263C276F" w:rsidP="263C276F" w:rsidRDefault="263C276F" w14:paraId="5ABC299D" w14:textId="5D867FA9">
            <w:pPr>
              <w:spacing w:before="0" w:beforeAutospacing="off" w:after="0" w:afterAutospacing="off"/>
              <w:rPr>
                <w:b w:val="0"/>
                <w:bCs w:val="0"/>
              </w:rPr>
            </w:pPr>
            <w:r w:rsidR="263C276F">
              <w:rPr>
                <w:b w:val="0"/>
                <w:bCs w:val="0"/>
              </w:rPr>
              <w:t>Informal/Unregistered entities.</w:t>
            </w:r>
          </w:p>
        </w:tc>
        <w:tc>
          <w:tcPr>
            <w:tcW w:w="4144" w:type="dxa"/>
            <w:tcBorders>
              <w:top w:val="single" w:sz="6"/>
              <w:left w:val="single" w:sz="6"/>
              <w:bottom w:val="single" w:sz="6"/>
              <w:right w:val="single" w:sz="6"/>
            </w:tcBorders>
            <w:tcMar/>
            <w:vAlign w:val="center"/>
          </w:tcPr>
          <w:p w:rsidR="263C276F" w:rsidP="263C276F" w:rsidRDefault="263C276F" w14:paraId="44778D04" w14:textId="4E0FB735">
            <w:pPr>
              <w:spacing w:before="0" w:beforeAutospacing="off" w:after="0" w:afterAutospacing="off"/>
              <w:rPr>
                <w:b w:val="0"/>
                <w:bCs w:val="0"/>
              </w:rPr>
            </w:pPr>
            <w:r w:rsidR="263C276F">
              <w:rPr>
                <w:b w:val="0"/>
                <w:bCs w:val="0"/>
              </w:rPr>
              <w:t>Registered/Formal businesses.</w:t>
            </w:r>
          </w:p>
        </w:tc>
      </w:tr>
      <w:tr w:rsidR="263C276F" w:rsidTr="263C276F" w14:paraId="57B86B2C">
        <w:trPr>
          <w:trHeight w:val="300"/>
        </w:trPr>
        <w:tc>
          <w:tcPr>
            <w:tcW w:w="1494" w:type="dxa"/>
            <w:tcBorders>
              <w:top w:val="single" w:sz="6"/>
              <w:left w:val="single" w:sz="6"/>
              <w:bottom w:val="single" w:sz="6"/>
              <w:right w:val="single" w:sz="6"/>
            </w:tcBorders>
            <w:tcMar/>
            <w:vAlign w:val="center"/>
          </w:tcPr>
          <w:p w:rsidR="263C276F" w:rsidP="263C276F" w:rsidRDefault="263C276F" w14:paraId="36467FC8" w14:textId="1854923A">
            <w:pPr>
              <w:spacing w:before="0" w:beforeAutospacing="off" w:after="0" w:afterAutospacing="off"/>
              <w:rPr>
                <w:b w:val="0"/>
                <w:bCs w:val="0"/>
              </w:rPr>
            </w:pPr>
            <w:r w:rsidR="263C276F">
              <w:rPr>
                <w:b w:val="0"/>
                <w:bCs w:val="0"/>
              </w:rPr>
              <w:t>Impact</w:t>
            </w:r>
          </w:p>
        </w:tc>
        <w:tc>
          <w:tcPr>
            <w:tcW w:w="4096" w:type="dxa"/>
            <w:tcBorders>
              <w:top w:val="single" w:sz="6"/>
              <w:left w:val="single" w:sz="6"/>
              <w:bottom w:val="single" w:sz="6"/>
              <w:right w:val="single" w:sz="6"/>
            </w:tcBorders>
            <w:tcMar/>
            <w:vAlign w:val="center"/>
          </w:tcPr>
          <w:p w:rsidR="263C276F" w:rsidP="263C276F" w:rsidRDefault="263C276F" w14:paraId="3AB4461F" w14:textId="5654BE04">
            <w:pPr>
              <w:spacing w:before="0" w:beforeAutospacing="off" w:after="0" w:afterAutospacing="off"/>
              <w:rPr>
                <w:b w:val="0"/>
                <w:bCs w:val="0"/>
              </w:rPr>
            </w:pPr>
            <w:r w:rsidR="263C276F">
              <w:rPr>
                <w:b w:val="0"/>
                <w:bCs w:val="0"/>
              </w:rPr>
              <w:t>Erodes tax base and safety standards.</w:t>
            </w:r>
          </w:p>
        </w:tc>
        <w:tc>
          <w:tcPr>
            <w:tcW w:w="4144" w:type="dxa"/>
            <w:tcBorders>
              <w:top w:val="single" w:sz="6"/>
              <w:left w:val="single" w:sz="6"/>
              <w:bottom w:val="single" w:sz="6"/>
              <w:right w:val="single" w:sz="6"/>
            </w:tcBorders>
            <w:tcMar/>
            <w:vAlign w:val="center"/>
          </w:tcPr>
          <w:p w:rsidR="263C276F" w:rsidP="263C276F" w:rsidRDefault="263C276F" w14:paraId="56920B8D" w14:textId="629D8CBF">
            <w:pPr>
              <w:spacing w:before="0" w:beforeAutospacing="off" w:after="0" w:afterAutospacing="off"/>
              <w:rPr>
                <w:b w:val="0"/>
                <w:bCs w:val="0"/>
              </w:rPr>
            </w:pPr>
            <w:r w:rsidR="263C276F">
              <w:rPr>
                <w:b w:val="0"/>
                <w:bCs w:val="0"/>
              </w:rPr>
              <w:t>Distorts market pricing and choice.</w:t>
            </w:r>
          </w:p>
        </w:tc>
      </w:tr>
      <w:tr w:rsidR="263C276F" w:rsidTr="263C276F" w14:paraId="61AFAD8C">
        <w:trPr>
          <w:trHeight w:val="300"/>
        </w:trPr>
        <w:tc>
          <w:tcPr>
            <w:tcW w:w="1494" w:type="dxa"/>
            <w:tcBorders>
              <w:top w:val="single" w:sz="6"/>
              <w:left w:val="single" w:sz="6"/>
              <w:bottom w:val="single" w:sz="6"/>
              <w:right w:val="single" w:sz="6"/>
            </w:tcBorders>
            <w:tcMar/>
            <w:vAlign w:val="center"/>
          </w:tcPr>
          <w:p w:rsidR="263C276F" w:rsidP="263C276F" w:rsidRDefault="263C276F" w14:paraId="75804B20" w14:textId="408484F5">
            <w:pPr>
              <w:spacing w:before="0" w:beforeAutospacing="off" w:after="0" w:afterAutospacing="off"/>
              <w:rPr>
                <w:b w:val="0"/>
                <w:bCs w:val="0"/>
              </w:rPr>
            </w:pPr>
            <w:r w:rsidR="263C276F">
              <w:rPr>
                <w:b w:val="0"/>
                <w:bCs w:val="0"/>
              </w:rPr>
              <w:t>Enforcement</w:t>
            </w:r>
          </w:p>
        </w:tc>
        <w:tc>
          <w:tcPr>
            <w:tcW w:w="4096" w:type="dxa"/>
            <w:tcBorders>
              <w:top w:val="single" w:sz="6"/>
              <w:left w:val="single" w:sz="6"/>
              <w:bottom w:val="single" w:sz="6"/>
              <w:right w:val="single" w:sz="6"/>
            </w:tcBorders>
            <w:tcMar/>
            <w:vAlign w:val="center"/>
          </w:tcPr>
          <w:p w:rsidR="263C276F" w:rsidP="263C276F" w:rsidRDefault="263C276F" w14:paraId="1DEDE19B" w14:textId="056FFD23">
            <w:pPr>
              <w:spacing w:before="0" w:beforeAutospacing="off" w:after="0" w:afterAutospacing="off"/>
              <w:rPr>
                <w:b w:val="0"/>
                <w:bCs w:val="0"/>
              </w:rPr>
            </w:pPr>
            <w:r w:rsidR="263C276F">
              <w:rPr>
                <w:b w:val="0"/>
                <w:bCs w:val="0"/>
              </w:rPr>
              <w:t>Police/Tax Authorities.</w:t>
            </w:r>
          </w:p>
        </w:tc>
        <w:tc>
          <w:tcPr>
            <w:tcW w:w="4144" w:type="dxa"/>
            <w:tcBorders>
              <w:top w:val="single" w:sz="6"/>
              <w:left w:val="single" w:sz="6"/>
              <w:bottom w:val="single" w:sz="6"/>
              <w:right w:val="single" w:sz="6"/>
            </w:tcBorders>
            <w:tcMar/>
            <w:vAlign w:val="center"/>
          </w:tcPr>
          <w:p w:rsidR="263C276F" w:rsidP="263C276F" w:rsidRDefault="263C276F" w14:paraId="72008DA8" w14:textId="50109235">
            <w:pPr>
              <w:spacing w:before="0" w:beforeAutospacing="off" w:after="0" w:afterAutospacing="off"/>
              <w:rPr>
                <w:b w:val="0"/>
                <w:bCs w:val="0"/>
              </w:rPr>
            </w:pPr>
            <w:r w:rsidR="263C276F">
              <w:rPr>
                <w:b w:val="0"/>
                <w:bCs w:val="0"/>
              </w:rPr>
              <w:t>Competition Bureaus/Civil Courts.</w:t>
            </w:r>
          </w:p>
        </w:tc>
      </w:tr>
    </w:tbl>
    <w:p xmlns:wp14="http://schemas.microsoft.com/office/word/2010/wordml" w:rsidP="263C276F" wp14:paraId="47AEE602" wp14:textId="05E3A6EC">
      <w:pPr>
        <w:bidi w:val="0"/>
        <w:spacing w:before="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References:</w:t>
      </w:r>
    </w:p>
    <w:p xmlns:wp14="http://schemas.microsoft.com/office/word/2010/wordml" w:rsidP="263C276F" wp14:paraId="1916FC92" wp14:textId="0C616E6A">
      <w:pPr>
        <w:pStyle w:val="ListParagraph"/>
        <w:bidi w:val="0"/>
        <w:spacing w:before="24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 xml:space="preserve">OECD (2022). </w:t>
      </w:r>
      <w:r w:rsidRPr="263C276F" w:rsidR="634F1389">
        <w:rPr>
          <w:rFonts w:ascii="Aptos" w:hAnsi="Aptos" w:eastAsia="Aptos" w:cs="Aptos"/>
          <w:b w:val="0"/>
          <w:bCs w:val="0"/>
          <w:i w:val="1"/>
          <w:iCs w:val="1"/>
          <w:noProof w:val="0"/>
          <w:sz w:val="24"/>
          <w:szCs w:val="24"/>
          <w:lang w:val="en-US"/>
        </w:rPr>
        <w:t>Competition and Tourism: Policy Challenges</w:t>
      </w:r>
      <w:r w:rsidRPr="263C276F" w:rsidR="634F1389">
        <w:rPr>
          <w:rFonts w:ascii="Aptos" w:hAnsi="Aptos" w:eastAsia="Aptos" w:cs="Aptos"/>
          <w:b w:val="0"/>
          <w:bCs w:val="0"/>
          <w:noProof w:val="0"/>
          <w:sz w:val="24"/>
          <w:szCs w:val="24"/>
          <w:lang w:val="en-US"/>
        </w:rPr>
        <w:t>.</w:t>
      </w:r>
    </w:p>
    <w:p xmlns:wp14="http://schemas.microsoft.com/office/word/2010/wordml" w:rsidP="263C276F" wp14:paraId="4507695B" wp14:textId="41002E62">
      <w:pPr>
        <w:pStyle w:val="ListParagraph"/>
        <w:bidi w:val="0"/>
        <w:spacing w:before="24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 xml:space="preserve">UN Tourism (2021). </w:t>
      </w:r>
      <w:r w:rsidRPr="263C276F" w:rsidR="634F1389">
        <w:rPr>
          <w:rFonts w:ascii="Aptos" w:hAnsi="Aptos" w:eastAsia="Aptos" w:cs="Aptos"/>
          <w:b w:val="0"/>
          <w:bCs w:val="0"/>
          <w:i w:val="1"/>
          <w:iCs w:val="1"/>
          <w:noProof w:val="0"/>
          <w:sz w:val="24"/>
          <w:szCs w:val="24"/>
          <w:lang w:val="en-US"/>
        </w:rPr>
        <w:t>International Code for the Protection of Tourists</w:t>
      </w:r>
      <w:r w:rsidRPr="263C276F" w:rsidR="634F1389">
        <w:rPr>
          <w:rFonts w:ascii="Aptos" w:hAnsi="Aptos" w:eastAsia="Aptos" w:cs="Aptos"/>
          <w:b w:val="0"/>
          <w:bCs w:val="0"/>
          <w:noProof w:val="0"/>
          <w:sz w:val="24"/>
          <w:szCs w:val="24"/>
          <w:lang w:val="en-US"/>
        </w:rPr>
        <w:t>.</w:t>
      </w:r>
    </w:p>
    <w:p xmlns:wp14="http://schemas.microsoft.com/office/word/2010/wordml" w:rsidP="263C276F" wp14:paraId="6E898C3B" wp14:textId="2A304B84">
      <w:pPr>
        <w:pStyle w:val="ListParagraph"/>
        <w:bidi w:val="0"/>
        <w:spacing w:before="24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 xml:space="preserve">World Trade Organization (2019). </w:t>
      </w:r>
      <w:r w:rsidRPr="263C276F" w:rsidR="634F1389">
        <w:rPr>
          <w:rFonts w:ascii="Aptos" w:hAnsi="Aptos" w:eastAsia="Aptos" w:cs="Aptos"/>
          <w:b w:val="0"/>
          <w:bCs w:val="0"/>
          <w:i w:val="1"/>
          <w:iCs w:val="1"/>
          <w:noProof w:val="0"/>
          <w:sz w:val="24"/>
          <w:szCs w:val="24"/>
          <w:lang w:val="en-US"/>
        </w:rPr>
        <w:t>Annex on Tourism Services</w:t>
      </w:r>
      <w:r w:rsidRPr="263C276F" w:rsidR="634F1389">
        <w:rPr>
          <w:rFonts w:ascii="Aptos" w:hAnsi="Aptos" w:eastAsia="Aptos" w:cs="Aptos"/>
          <w:b w:val="0"/>
          <w:bCs w:val="0"/>
          <w:noProof w:val="0"/>
          <w:sz w:val="24"/>
          <w:szCs w:val="24"/>
          <w:lang w:val="en-US"/>
        </w:rPr>
        <w:t>.</w:t>
      </w:r>
    </w:p>
    <w:p xmlns:wp14="http://schemas.microsoft.com/office/word/2010/wordml" w:rsidP="263C276F" wp14:paraId="03417266" wp14:textId="10140ACC">
      <w:pPr>
        <w:pStyle w:val="ListParagraph"/>
        <w:bidi w:val="0"/>
        <w:spacing w:before="240" w:beforeAutospacing="off" w:after="240" w:afterAutospacing="off"/>
        <w:rPr>
          <w:rFonts w:ascii="Aptos" w:hAnsi="Aptos" w:eastAsia="Aptos" w:cs="Aptos"/>
          <w:b w:val="0"/>
          <w:bCs w:val="0"/>
          <w:noProof w:val="0"/>
          <w:sz w:val="24"/>
          <w:szCs w:val="24"/>
          <w:lang w:val="en-US"/>
        </w:rPr>
      </w:pPr>
      <w:r w:rsidRPr="263C276F" w:rsidR="634F1389">
        <w:rPr>
          <w:rFonts w:ascii="Aptos" w:hAnsi="Aptos" w:eastAsia="Aptos" w:cs="Aptos"/>
          <w:b w:val="0"/>
          <w:bCs w:val="0"/>
          <w:noProof w:val="0"/>
          <w:sz w:val="24"/>
          <w:szCs w:val="24"/>
          <w:lang w:val="en-US"/>
        </w:rPr>
        <w:t xml:space="preserve">European Commission (2023). </w:t>
      </w:r>
      <w:r w:rsidRPr="263C276F" w:rsidR="634F1389">
        <w:rPr>
          <w:rFonts w:ascii="Aptos" w:hAnsi="Aptos" w:eastAsia="Aptos" w:cs="Aptos"/>
          <w:b w:val="0"/>
          <w:bCs w:val="0"/>
          <w:i w:val="1"/>
          <w:iCs w:val="1"/>
          <w:noProof w:val="0"/>
          <w:sz w:val="24"/>
          <w:szCs w:val="24"/>
          <w:lang w:val="en-US"/>
        </w:rPr>
        <w:t>Unfair Commercial Practices Directive in the Travel Sector</w:t>
      </w:r>
      <w:r w:rsidRPr="263C276F" w:rsidR="634F1389">
        <w:rPr>
          <w:rFonts w:ascii="Aptos" w:hAnsi="Aptos" w:eastAsia="Aptos" w:cs="Aptos"/>
          <w:b w:val="0"/>
          <w:bCs w:val="0"/>
          <w:noProof w:val="0"/>
          <w:sz w:val="24"/>
          <w:szCs w:val="24"/>
          <w:lang w:val="en-US"/>
        </w:rPr>
        <w:t>.</w:t>
      </w:r>
    </w:p>
    <w:p xmlns:wp14="http://schemas.microsoft.com/office/word/2010/wordml" wp14:paraId="2C078E63" wp14:textId="6FF5558C">
      <w:pPr>
        <w:rPr>
          <w:b w:val="0"/>
          <w:b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963FDB"/>
    <w:rsid w:val="19963FDB"/>
    <w:rsid w:val="263C276F"/>
    <w:rsid w:val="634F1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63FDB"/>
  <w15:chartTrackingRefBased/>
  <w15:docId w15:val="{D28F0E37-4722-4EC3-AE6F-75722FB724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263C276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63C276F"/>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63C276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2026-02-25T19:47:30.0420553Z</dcterms:created>
  <dcterms:modified xsi:type="dcterms:W3CDTF">2026-02-25T19:48:10.2907191Z</dcterms:modified>
  <dc:creator>Muneet Kumar Bhagat</dc:creator>
  <lastModifiedBy>Muneet Kumar Bhagat</lastModifiedBy>
</coreProperties>
</file>