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763E9" w14:textId="6AC02D9B" w:rsidR="006006E7" w:rsidRDefault="006006E7" w:rsidP="006006E7">
      <w:pPr>
        <w:jc w:val="right"/>
        <w:rPr>
          <w:rFonts w:ascii="Times New Roman" w:hAnsi="Times New Roman" w:cs="Times New Roman"/>
          <w:b/>
          <w:bCs/>
          <w:sz w:val="48"/>
          <w:szCs w:val="48"/>
        </w:rPr>
      </w:pPr>
      <w:r>
        <w:rPr>
          <w:rFonts w:ascii="Times New Roman" w:hAnsi="Times New Roman" w:cs="Times New Roman"/>
          <w:b/>
          <w:bCs/>
          <w:noProof/>
          <w:sz w:val="48"/>
          <w:szCs w:val="48"/>
        </w:rPr>
        <w:drawing>
          <wp:inline distT="0" distB="0" distL="0" distR="0" wp14:anchorId="69A2711E" wp14:editId="772EA485">
            <wp:extent cx="1819529" cy="1524213"/>
            <wp:effectExtent l="0" t="0" r="9525" b="0"/>
            <wp:docPr id="1457882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82148" name="Picture 1457882148"/>
                    <pic:cNvPicPr/>
                  </pic:nvPicPr>
                  <pic:blipFill>
                    <a:blip r:embed="rId5">
                      <a:extLst>
                        <a:ext uri="{28A0092B-C50C-407E-A947-70E740481C1C}">
                          <a14:useLocalDpi xmlns:a14="http://schemas.microsoft.com/office/drawing/2010/main" val="0"/>
                        </a:ext>
                      </a:extLst>
                    </a:blip>
                    <a:stretch>
                      <a:fillRect/>
                    </a:stretch>
                  </pic:blipFill>
                  <pic:spPr>
                    <a:xfrm>
                      <a:off x="0" y="0"/>
                      <a:ext cx="1819529" cy="1524213"/>
                    </a:xfrm>
                    <a:prstGeom prst="rect">
                      <a:avLst/>
                    </a:prstGeom>
                  </pic:spPr>
                </pic:pic>
              </a:graphicData>
            </a:graphic>
          </wp:inline>
        </w:drawing>
      </w:r>
    </w:p>
    <w:p w14:paraId="7E09BB47" w14:textId="77777777" w:rsidR="006006E7" w:rsidRDefault="006006E7" w:rsidP="00D93541">
      <w:pPr>
        <w:jc w:val="center"/>
        <w:rPr>
          <w:rFonts w:ascii="Times New Roman" w:hAnsi="Times New Roman" w:cs="Times New Roman"/>
          <w:b/>
          <w:bCs/>
          <w:sz w:val="48"/>
          <w:szCs w:val="48"/>
        </w:rPr>
      </w:pPr>
    </w:p>
    <w:p w14:paraId="1C6C4C75" w14:textId="77777777" w:rsidR="006006E7" w:rsidRDefault="006006E7" w:rsidP="00D93541">
      <w:pPr>
        <w:jc w:val="center"/>
        <w:rPr>
          <w:rFonts w:ascii="Times New Roman" w:hAnsi="Times New Roman" w:cs="Times New Roman"/>
          <w:b/>
          <w:bCs/>
          <w:sz w:val="48"/>
          <w:szCs w:val="48"/>
        </w:rPr>
      </w:pPr>
    </w:p>
    <w:p w14:paraId="35B4ECE0" w14:textId="566283EF" w:rsidR="00D93541" w:rsidRDefault="00D93541" w:rsidP="00D93541">
      <w:pPr>
        <w:jc w:val="center"/>
        <w:rPr>
          <w:rFonts w:ascii="Times New Roman" w:hAnsi="Times New Roman" w:cs="Times New Roman"/>
          <w:b/>
          <w:bCs/>
          <w:sz w:val="48"/>
          <w:szCs w:val="48"/>
        </w:rPr>
      </w:pPr>
      <w:r w:rsidRPr="00D93541">
        <w:rPr>
          <w:rFonts w:ascii="Times New Roman" w:hAnsi="Times New Roman" w:cs="Times New Roman"/>
          <w:b/>
          <w:bCs/>
          <w:sz w:val="48"/>
          <w:szCs w:val="48"/>
        </w:rPr>
        <w:t>TOURISM LAW &amp; LEGISLATION</w:t>
      </w:r>
    </w:p>
    <w:p w14:paraId="0913F564" w14:textId="77777777" w:rsidR="00D93541" w:rsidRPr="00D93541" w:rsidRDefault="00D93541" w:rsidP="00D93541">
      <w:pPr>
        <w:jc w:val="center"/>
        <w:rPr>
          <w:rFonts w:ascii="Times New Roman" w:hAnsi="Times New Roman" w:cs="Times New Roman"/>
          <w:b/>
          <w:bCs/>
          <w:sz w:val="48"/>
          <w:szCs w:val="48"/>
        </w:rPr>
      </w:pPr>
    </w:p>
    <w:p w14:paraId="78F018D3" w14:textId="77777777" w:rsidR="00D93541" w:rsidRPr="006006E7" w:rsidRDefault="00D93541" w:rsidP="006006E7">
      <w:pPr>
        <w:jc w:val="center"/>
        <w:rPr>
          <w:rFonts w:ascii="Times New Roman" w:hAnsi="Times New Roman" w:cs="Times New Roman"/>
          <w:b/>
          <w:bCs/>
          <w:color w:val="156082" w:themeColor="accent1"/>
          <w:sz w:val="36"/>
          <w:szCs w:val="36"/>
        </w:rPr>
      </w:pPr>
      <w:r w:rsidRPr="006006E7">
        <w:rPr>
          <w:rFonts w:ascii="Times New Roman" w:hAnsi="Times New Roman" w:cs="Times New Roman"/>
          <w:b/>
          <w:bCs/>
          <w:color w:val="156082" w:themeColor="accent1"/>
          <w:sz w:val="36"/>
          <w:szCs w:val="36"/>
        </w:rPr>
        <w:t>The Legal Framework of Tourism:</w:t>
      </w:r>
      <w:r w:rsidRPr="006006E7">
        <w:rPr>
          <w:rFonts w:ascii="Times New Roman" w:hAnsi="Times New Roman" w:cs="Times New Roman"/>
          <w:b/>
          <w:bCs/>
          <w:color w:val="156082" w:themeColor="accent1"/>
          <w:sz w:val="36"/>
          <w:szCs w:val="36"/>
        </w:rPr>
        <w:br/>
        <w:t>Key Legislation and Global Practices</w:t>
      </w:r>
    </w:p>
    <w:p w14:paraId="2DF5537C" w14:textId="77777777" w:rsidR="00D93541" w:rsidRPr="006006E7" w:rsidRDefault="00D93541" w:rsidP="006006E7">
      <w:pPr>
        <w:jc w:val="center"/>
        <w:rPr>
          <w:rFonts w:ascii="Times New Roman" w:hAnsi="Times New Roman" w:cs="Times New Roman"/>
          <w:b/>
          <w:bCs/>
          <w:color w:val="156082" w:themeColor="accent1"/>
          <w:sz w:val="36"/>
          <w:szCs w:val="36"/>
        </w:rPr>
      </w:pPr>
      <w:r w:rsidRPr="006006E7">
        <w:rPr>
          <w:rFonts w:ascii="Times New Roman" w:hAnsi="Times New Roman" w:cs="Times New Roman"/>
          <w:b/>
          <w:bCs/>
          <w:color w:val="156082" w:themeColor="accent1"/>
          <w:sz w:val="36"/>
          <w:szCs w:val="36"/>
        </w:rPr>
        <w:t>ASSIGNMENT 1</w:t>
      </w:r>
    </w:p>
    <w:p w14:paraId="37908733" w14:textId="77777777" w:rsidR="00D93541" w:rsidRPr="006006E7" w:rsidRDefault="00D93541" w:rsidP="00D93541">
      <w:pPr>
        <w:rPr>
          <w:rFonts w:ascii="Times New Roman" w:hAnsi="Times New Roman" w:cs="Times New Roman"/>
          <w:b/>
          <w:bCs/>
          <w:sz w:val="28"/>
          <w:szCs w:val="28"/>
        </w:rPr>
      </w:pPr>
      <w:r w:rsidRPr="006006E7">
        <w:rPr>
          <w:rFonts w:ascii="Times New Roman" w:hAnsi="Times New Roman" w:cs="Times New Roman"/>
          <w:b/>
          <w:bCs/>
          <w:sz w:val="28"/>
          <w:szCs w:val="28"/>
        </w:rPr>
        <w:t>ASSIGNMENT QUESTION</w:t>
      </w:r>
    </w:p>
    <w:p w14:paraId="3E9F907C" w14:textId="77777777" w:rsidR="00D93541" w:rsidRPr="006006E7" w:rsidRDefault="00D93541" w:rsidP="00D93541">
      <w:pPr>
        <w:rPr>
          <w:rFonts w:ascii="Times New Roman" w:hAnsi="Times New Roman" w:cs="Times New Roman"/>
          <w:sz w:val="28"/>
          <w:szCs w:val="28"/>
        </w:rPr>
      </w:pPr>
      <w:r w:rsidRPr="006006E7">
        <w:rPr>
          <w:rFonts w:ascii="Times New Roman" w:hAnsi="Times New Roman" w:cs="Times New Roman"/>
          <w:sz w:val="28"/>
          <w:szCs w:val="28"/>
        </w:rPr>
        <w:t>How do international conventions and national tourism laws work together to regulate cross-border tourism, and what role does the United Nations World Tourism Organization (UNWTO) play in this process?</w:t>
      </w:r>
    </w:p>
    <w:p w14:paraId="19922A97" w14:textId="77777777" w:rsidR="006006E7" w:rsidRDefault="006006E7" w:rsidP="00D93541">
      <w:pPr>
        <w:rPr>
          <w:rFonts w:ascii="Times New Roman" w:hAnsi="Times New Roman" w:cs="Times New Roman"/>
          <w:b/>
          <w:bCs/>
          <w:sz w:val="32"/>
          <w:szCs w:val="32"/>
        </w:rPr>
      </w:pPr>
    </w:p>
    <w:p w14:paraId="0A6DD28F" w14:textId="77777777" w:rsidR="006006E7" w:rsidRPr="006006E7" w:rsidRDefault="006006E7" w:rsidP="00D93541">
      <w:pPr>
        <w:rPr>
          <w:rFonts w:ascii="Times New Roman" w:hAnsi="Times New Roman" w:cs="Times New Roman"/>
          <w:b/>
          <w:bCs/>
          <w:sz w:val="40"/>
          <w:szCs w:val="40"/>
        </w:rPr>
      </w:pPr>
    </w:p>
    <w:p w14:paraId="0A76C08A" w14:textId="77777777" w:rsidR="00D93541" w:rsidRPr="006006E7" w:rsidRDefault="00D93541" w:rsidP="00D93541">
      <w:pPr>
        <w:rPr>
          <w:rFonts w:ascii="Times New Roman" w:hAnsi="Times New Roman" w:cs="Times New Roman"/>
          <w:b/>
          <w:bCs/>
          <w:sz w:val="40"/>
          <w:szCs w:val="40"/>
        </w:rPr>
      </w:pPr>
      <w:r w:rsidRPr="006006E7">
        <w:rPr>
          <w:rFonts w:ascii="Times New Roman" w:hAnsi="Times New Roman" w:cs="Times New Roman"/>
          <w:b/>
          <w:bCs/>
          <w:sz w:val="40"/>
          <w:szCs w:val="40"/>
        </w:rPr>
        <w:t>STUDENT DETAILS</w:t>
      </w:r>
    </w:p>
    <w:p w14:paraId="08C5194C" w14:textId="4CA27991" w:rsidR="00D93541" w:rsidRPr="006006E7" w:rsidRDefault="00D93541" w:rsidP="00D93541">
      <w:pPr>
        <w:rPr>
          <w:rFonts w:ascii="Times New Roman" w:hAnsi="Times New Roman" w:cs="Times New Roman"/>
          <w:sz w:val="40"/>
          <w:szCs w:val="40"/>
        </w:rPr>
      </w:pPr>
      <w:r w:rsidRPr="006006E7">
        <w:rPr>
          <w:rFonts w:ascii="Times New Roman" w:hAnsi="Times New Roman" w:cs="Times New Roman"/>
          <w:b/>
          <w:bCs/>
          <w:sz w:val="40"/>
          <w:szCs w:val="40"/>
        </w:rPr>
        <w:t>Student Name</w:t>
      </w:r>
      <w:r w:rsidR="006006E7" w:rsidRPr="006006E7">
        <w:rPr>
          <w:rFonts w:ascii="Times New Roman" w:hAnsi="Times New Roman" w:cs="Times New Roman"/>
          <w:b/>
          <w:bCs/>
          <w:sz w:val="40"/>
          <w:szCs w:val="40"/>
        </w:rPr>
        <w:t xml:space="preserve">: </w:t>
      </w:r>
      <w:r w:rsidR="006006E7" w:rsidRPr="006006E7">
        <w:rPr>
          <w:rFonts w:ascii="Times New Roman" w:hAnsi="Times New Roman" w:cs="Times New Roman"/>
          <w:sz w:val="40"/>
          <w:szCs w:val="40"/>
        </w:rPr>
        <w:t xml:space="preserve">Monika </w:t>
      </w:r>
      <w:proofErr w:type="spellStart"/>
      <w:r w:rsidR="006006E7" w:rsidRPr="006006E7">
        <w:rPr>
          <w:rFonts w:ascii="Times New Roman" w:hAnsi="Times New Roman" w:cs="Times New Roman"/>
          <w:sz w:val="40"/>
          <w:szCs w:val="40"/>
        </w:rPr>
        <w:t>Monika</w:t>
      </w:r>
      <w:proofErr w:type="spellEnd"/>
    </w:p>
    <w:p w14:paraId="0C681DB4" w14:textId="6BDC7498" w:rsidR="00D93541" w:rsidRPr="006006E7" w:rsidRDefault="00D93541" w:rsidP="00D93541">
      <w:pPr>
        <w:rPr>
          <w:rFonts w:ascii="Times New Roman" w:hAnsi="Times New Roman" w:cs="Times New Roman"/>
          <w:b/>
          <w:bCs/>
          <w:sz w:val="40"/>
          <w:szCs w:val="40"/>
        </w:rPr>
      </w:pPr>
      <w:r w:rsidRPr="006006E7">
        <w:rPr>
          <w:rFonts w:ascii="Times New Roman" w:hAnsi="Times New Roman" w:cs="Times New Roman"/>
          <w:b/>
          <w:bCs/>
          <w:sz w:val="40"/>
          <w:szCs w:val="40"/>
        </w:rPr>
        <w:t>Student ID</w:t>
      </w:r>
      <w:r w:rsidR="006006E7" w:rsidRPr="006006E7">
        <w:rPr>
          <w:rFonts w:ascii="Times New Roman" w:hAnsi="Times New Roman" w:cs="Times New Roman"/>
          <w:b/>
          <w:bCs/>
          <w:sz w:val="40"/>
          <w:szCs w:val="40"/>
        </w:rPr>
        <w:t>:</w:t>
      </w:r>
      <w:r w:rsidR="006006E7" w:rsidRPr="006006E7">
        <w:rPr>
          <w:rFonts w:ascii="Times New Roman" w:hAnsi="Times New Roman" w:cs="Times New Roman"/>
          <w:sz w:val="40"/>
          <w:szCs w:val="40"/>
        </w:rPr>
        <w:t>DE240147</w:t>
      </w:r>
    </w:p>
    <w:p w14:paraId="5965D5F5" w14:textId="77777777" w:rsidR="006006E7" w:rsidRPr="006006E7" w:rsidRDefault="006006E7" w:rsidP="006006E7">
      <w:pPr>
        <w:rPr>
          <w:rFonts w:ascii="Times New Roman" w:hAnsi="Times New Roman" w:cs="Times New Roman"/>
          <w:b/>
          <w:bCs/>
        </w:rPr>
      </w:pPr>
      <w:r w:rsidRPr="006006E7">
        <w:rPr>
          <w:rFonts w:ascii="Times New Roman" w:hAnsi="Times New Roman" w:cs="Times New Roman"/>
          <w:b/>
          <w:bCs/>
        </w:rPr>
        <w:lastRenderedPageBreak/>
        <w:t>Table of Contents</w:t>
      </w:r>
    </w:p>
    <w:p w14:paraId="32CE06E6"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Abstract</w:t>
      </w:r>
      <w:r w:rsidRPr="006006E7">
        <w:rPr>
          <w:rFonts w:ascii="Times New Roman" w:hAnsi="Times New Roman" w:cs="Times New Roman"/>
        </w:rPr>
        <w:t xml:space="preserve"> </w:t>
      </w:r>
    </w:p>
    <w:p w14:paraId="24EB78CD"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Introduction</w:t>
      </w:r>
      <w:r w:rsidRPr="006006E7">
        <w:rPr>
          <w:rFonts w:ascii="Times New Roman" w:hAnsi="Times New Roman" w:cs="Times New Roman"/>
        </w:rPr>
        <w:br/>
        <w:t>2.1 Background of Tourism Law</w:t>
      </w:r>
      <w:r w:rsidRPr="006006E7">
        <w:rPr>
          <w:rFonts w:ascii="Times New Roman" w:hAnsi="Times New Roman" w:cs="Times New Roman"/>
        </w:rPr>
        <w:br/>
        <w:t>2.2 Importance of Cross-Border Tourism Regulation</w:t>
      </w:r>
      <w:r w:rsidRPr="006006E7">
        <w:rPr>
          <w:rFonts w:ascii="Times New Roman" w:hAnsi="Times New Roman" w:cs="Times New Roman"/>
        </w:rPr>
        <w:br/>
        <w:t xml:space="preserve">2.3 Aim and Objectives </w:t>
      </w:r>
    </w:p>
    <w:p w14:paraId="788622BE"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Literature Review</w:t>
      </w:r>
      <w:r w:rsidRPr="006006E7">
        <w:rPr>
          <w:rFonts w:ascii="Times New Roman" w:hAnsi="Times New Roman" w:cs="Times New Roman"/>
        </w:rPr>
        <w:br/>
        <w:t>3.1 Meaning and Scope of Tourism Law</w:t>
      </w:r>
      <w:r w:rsidRPr="006006E7">
        <w:rPr>
          <w:rFonts w:ascii="Times New Roman" w:hAnsi="Times New Roman" w:cs="Times New Roman"/>
        </w:rPr>
        <w:br/>
        <w:t>3.2 International Tourism Conventions</w:t>
      </w:r>
      <w:r w:rsidRPr="006006E7">
        <w:rPr>
          <w:rFonts w:ascii="Times New Roman" w:hAnsi="Times New Roman" w:cs="Times New Roman"/>
        </w:rPr>
        <w:br/>
        <w:t>3.3 National Tourism Laws</w:t>
      </w:r>
      <w:r w:rsidRPr="006006E7">
        <w:rPr>
          <w:rFonts w:ascii="Times New Roman" w:hAnsi="Times New Roman" w:cs="Times New Roman"/>
        </w:rPr>
        <w:br/>
        <w:t>3.4 Relationship Between International and National Law</w:t>
      </w:r>
      <w:r w:rsidRPr="006006E7">
        <w:rPr>
          <w:rFonts w:ascii="Times New Roman" w:hAnsi="Times New Roman" w:cs="Times New Roman"/>
        </w:rPr>
        <w:br/>
        <w:t xml:space="preserve">3.5 Role of UNWTO in Global Tourism Governance </w:t>
      </w:r>
    </w:p>
    <w:p w14:paraId="4CEFBDCC"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Methodology</w:t>
      </w:r>
      <w:r w:rsidRPr="006006E7">
        <w:rPr>
          <w:rFonts w:ascii="Times New Roman" w:hAnsi="Times New Roman" w:cs="Times New Roman"/>
        </w:rPr>
        <w:br/>
        <w:t>4.1 Research Approach</w:t>
      </w:r>
      <w:r w:rsidRPr="006006E7">
        <w:rPr>
          <w:rFonts w:ascii="Times New Roman" w:hAnsi="Times New Roman" w:cs="Times New Roman"/>
        </w:rPr>
        <w:br/>
        <w:t>4.2 Sources of Information</w:t>
      </w:r>
      <w:r w:rsidRPr="006006E7">
        <w:rPr>
          <w:rFonts w:ascii="Times New Roman" w:hAnsi="Times New Roman" w:cs="Times New Roman"/>
        </w:rPr>
        <w:br/>
        <w:t xml:space="preserve">4.3 Limitations of the Study </w:t>
      </w:r>
    </w:p>
    <w:p w14:paraId="24510ECE"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Findings</w:t>
      </w:r>
      <w:r w:rsidRPr="006006E7">
        <w:rPr>
          <w:rFonts w:ascii="Times New Roman" w:hAnsi="Times New Roman" w:cs="Times New Roman"/>
        </w:rPr>
        <w:br/>
        <w:t>5.1 International Regulation of Cross-Border Tourism</w:t>
      </w:r>
      <w:r w:rsidRPr="006006E7">
        <w:rPr>
          <w:rFonts w:ascii="Times New Roman" w:hAnsi="Times New Roman" w:cs="Times New Roman"/>
        </w:rPr>
        <w:br/>
        <w:t>5.2 National Implementation of International Rules</w:t>
      </w:r>
      <w:r w:rsidRPr="006006E7">
        <w:rPr>
          <w:rFonts w:ascii="Times New Roman" w:hAnsi="Times New Roman" w:cs="Times New Roman"/>
        </w:rPr>
        <w:br/>
        <w:t>5.3 Visa, Border and Immigration Regulation</w:t>
      </w:r>
      <w:r w:rsidRPr="006006E7">
        <w:rPr>
          <w:rFonts w:ascii="Times New Roman" w:hAnsi="Times New Roman" w:cs="Times New Roman"/>
        </w:rPr>
        <w:br/>
        <w:t>5.4 Passenger Rights and Consumer Protection</w:t>
      </w:r>
      <w:r w:rsidRPr="006006E7">
        <w:rPr>
          <w:rFonts w:ascii="Times New Roman" w:hAnsi="Times New Roman" w:cs="Times New Roman"/>
        </w:rPr>
        <w:br/>
        <w:t>5.5 Aviation and Transport Regulation</w:t>
      </w:r>
      <w:r w:rsidRPr="006006E7">
        <w:rPr>
          <w:rFonts w:ascii="Times New Roman" w:hAnsi="Times New Roman" w:cs="Times New Roman"/>
        </w:rPr>
        <w:br/>
        <w:t>5.6 Cultural Heritage Protection</w:t>
      </w:r>
      <w:r w:rsidRPr="006006E7">
        <w:rPr>
          <w:rFonts w:ascii="Times New Roman" w:hAnsi="Times New Roman" w:cs="Times New Roman"/>
        </w:rPr>
        <w:br/>
        <w:t>5.7 Role and Functions of UNWTO</w:t>
      </w:r>
      <w:r w:rsidRPr="006006E7">
        <w:rPr>
          <w:rFonts w:ascii="Times New Roman" w:hAnsi="Times New Roman" w:cs="Times New Roman"/>
        </w:rPr>
        <w:br/>
        <w:t xml:space="preserve">5.8 Real-World Examples </w:t>
      </w:r>
    </w:p>
    <w:p w14:paraId="54B1CA8E"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Discussion</w:t>
      </w:r>
      <w:r w:rsidRPr="006006E7">
        <w:rPr>
          <w:rFonts w:ascii="Times New Roman" w:hAnsi="Times New Roman" w:cs="Times New Roman"/>
        </w:rPr>
        <w:br/>
        <w:t>6.1 Cooperation Between International and National Legal Systems</w:t>
      </w:r>
      <w:r w:rsidRPr="006006E7">
        <w:rPr>
          <w:rFonts w:ascii="Times New Roman" w:hAnsi="Times New Roman" w:cs="Times New Roman"/>
        </w:rPr>
        <w:br/>
        <w:t>6.2 Benefits of International Tourism Regulation</w:t>
      </w:r>
      <w:r w:rsidRPr="006006E7">
        <w:rPr>
          <w:rFonts w:ascii="Times New Roman" w:hAnsi="Times New Roman" w:cs="Times New Roman"/>
        </w:rPr>
        <w:br/>
        <w:t>6.3 Challenges in Cross-Border Tourism Regulation</w:t>
      </w:r>
      <w:r w:rsidRPr="006006E7">
        <w:rPr>
          <w:rFonts w:ascii="Times New Roman" w:hAnsi="Times New Roman" w:cs="Times New Roman"/>
        </w:rPr>
        <w:br/>
        <w:t>6.4 Effectiveness and Limitations of UNWTO</w:t>
      </w:r>
      <w:r w:rsidRPr="006006E7">
        <w:rPr>
          <w:rFonts w:ascii="Times New Roman" w:hAnsi="Times New Roman" w:cs="Times New Roman"/>
        </w:rPr>
        <w:br/>
        <w:t xml:space="preserve">6.5 Future Development of Tourism Law </w:t>
      </w:r>
    </w:p>
    <w:p w14:paraId="43B47BA2"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Conclusion</w:t>
      </w:r>
      <w:r w:rsidRPr="006006E7">
        <w:rPr>
          <w:rFonts w:ascii="Times New Roman" w:hAnsi="Times New Roman" w:cs="Times New Roman"/>
        </w:rPr>
        <w:t xml:space="preserve"> </w:t>
      </w:r>
    </w:p>
    <w:p w14:paraId="7DF7CBB7" w14:textId="77777777" w:rsidR="006006E7" w:rsidRPr="006006E7" w:rsidRDefault="006006E7" w:rsidP="006006E7">
      <w:pPr>
        <w:numPr>
          <w:ilvl w:val="0"/>
          <w:numId w:val="1"/>
        </w:numPr>
        <w:rPr>
          <w:rFonts w:ascii="Times New Roman" w:hAnsi="Times New Roman" w:cs="Times New Roman"/>
        </w:rPr>
      </w:pPr>
      <w:r w:rsidRPr="006006E7">
        <w:rPr>
          <w:rFonts w:ascii="Times New Roman" w:hAnsi="Times New Roman" w:cs="Times New Roman"/>
          <w:b/>
          <w:bCs/>
        </w:rPr>
        <w:t>References</w:t>
      </w:r>
      <w:r w:rsidRPr="006006E7">
        <w:rPr>
          <w:rFonts w:ascii="Times New Roman" w:hAnsi="Times New Roman" w:cs="Times New Roman"/>
        </w:rPr>
        <w:t xml:space="preserve"> </w:t>
      </w:r>
    </w:p>
    <w:p w14:paraId="0BFB065F" w14:textId="46B10F30" w:rsidR="00D93541" w:rsidRPr="006006E7" w:rsidRDefault="006006E7" w:rsidP="006006E7">
      <w:pPr>
        <w:pStyle w:val="ListParagraph"/>
        <w:numPr>
          <w:ilvl w:val="0"/>
          <w:numId w:val="1"/>
        </w:numPr>
        <w:rPr>
          <w:rFonts w:ascii="Times New Roman" w:hAnsi="Times New Roman" w:cs="Times New Roman"/>
          <w:b/>
          <w:bCs/>
        </w:rPr>
      </w:pPr>
      <w:r w:rsidRPr="006006E7">
        <w:rPr>
          <w:rFonts w:ascii="Times New Roman" w:hAnsi="Times New Roman" w:cs="Times New Roman"/>
          <w:b/>
          <w:bCs/>
        </w:rPr>
        <w:t>Appendix</w:t>
      </w:r>
    </w:p>
    <w:p w14:paraId="38301333" w14:textId="77777777" w:rsidR="00D93541" w:rsidRPr="00D93541" w:rsidRDefault="00D93541" w:rsidP="00D93541">
      <w:pPr>
        <w:rPr>
          <w:rFonts w:ascii="Times New Roman" w:hAnsi="Times New Roman" w:cs="Times New Roman"/>
        </w:rPr>
      </w:pPr>
    </w:p>
    <w:p w14:paraId="275D5735"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lastRenderedPageBreak/>
        <w:t>Abstract</w:t>
      </w:r>
    </w:p>
    <w:p w14:paraId="42E75143"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Cross-border tourism depends on a legal system that operates at several levels at the same time. International conventions create common rules between states, while national laws turn many of those commitments into practical rights, duties, </w:t>
      </w:r>
      <w:proofErr w:type="spellStart"/>
      <w:r w:rsidRPr="00D93541">
        <w:rPr>
          <w:rFonts w:ascii="Times New Roman" w:hAnsi="Times New Roman" w:cs="Times New Roman"/>
        </w:rPr>
        <w:t>licences</w:t>
      </w:r>
      <w:proofErr w:type="spellEnd"/>
      <w:r w:rsidRPr="00D93541">
        <w:rPr>
          <w:rFonts w:ascii="Times New Roman" w:hAnsi="Times New Roman" w:cs="Times New Roman"/>
        </w:rPr>
        <w:t xml:space="preserve">, procedures and enforcement measures. Regional rules can add another layer by </w:t>
      </w:r>
      <w:proofErr w:type="spellStart"/>
      <w:r w:rsidRPr="00D93541">
        <w:rPr>
          <w:rFonts w:ascii="Times New Roman" w:hAnsi="Times New Roman" w:cs="Times New Roman"/>
        </w:rPr>
        <w:t>harmonising</w:t>
      </w:r>
      <w:proofErr w:type="spellEnd"/>
      <w:r w:rsidRPr="00D93541">
        <w:rPr>
          <w:rFonts w:ascii="Times New Roman" w:hAnsi="Times New Roman" w:cs="Times New Roman"/>
        </w:rPr>
        <w:t xml:space="preserve"> standards across groups of countries. This report examines how these levels interact and explains the role of the World Tourism Organization, now branded as UN Tourism, in this system. The report uses a desk-based review of international conventions, official legislation, UN and intergovernmental material, and peer-reviewed tourism and legal research. The findings show that international instruments are especially important where tourism crosses borders, for example in civil aviation, passenger liability, heritage protection and ethical standards. National law remains essential because tourists and businesses normally rely on domestic courts, regulators and administrative bodies for enforcement. The report also finds that UN Tourism plays a coordinating and standard-setting role through policy guidance, ethical principles, technical cooperation and legal instruments such as the Global Code of Ethics for Tourism, the Framework Convention on Tourism Ethics and the International Code for the Protection of Tourists. However, UN Tourism is not a global tourism police force and does not replace national governments. Effective regulation therefore depends on cooperation between international </w:t>
      </w:r>
      <w:proofErr w:type="spellStart"/>
      <w:r w:rsidRPr="00D93541">
        <w:rPr>
          <w:rFonts w:ascii="Times New Roman" w:hAnsi="Times New Roman" w:cs="Times New Roman"/>
        </w:rPr>
        <w:t>organisations</w:t>
      </w:r>
      <w:proofErr w:type="spellEnd"/>
      <w:r w:rsidRPr="00D93541">
        <w:rPr>
          <w:rFonts w:ascii="Times New Roman" w:hAnsi="Times New Roman" w:cs="Times New Roman"/>
        </w:rPr>
        <w:t>, states, regional institutions and tourism businesses. The strongest system is one in which international standards are clear, national implementation is consistent and tourists can understand and enforce their rights.</w:t>
      </w:r>
    </w:p>
    <w:p w14:paraId="3F255C58"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1. Introduction</w:t>
      </w:r>
    </w:p>
    <w:p w14:paraId="1754701E"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Tourism is one of the clearest examples of an activity that regularly crosses legal borders. A single holiday may involve an airline registered in one country, an online travel platform based in another, a hotel in the destination country and a </w:t>
      </w:r>
      <w:proofErr w:type="spellStart"/>
      <w:r w:rsidRPr="00D93541">
        <w:rPr>
          <w:rFonts w:ascii="Times New Roman" w:hAnsi="Times New Roman" w:cs="Times New Roman"/>
        </w:rPr>
        <w:t>traveller</w:t>
      </w:r>
      <w:proofErr w:type="spellEnd"/>
      <w:r w:rsidRPr="00D93541">
        <w:rPr>
          <w:rFonts w:ascii="Times New Roman" w:hAnsi="Times New Roman" w:cs="Times New Roman"/>
        </w:rPr>
        <w:t xml:space="preserve"> who is resident somewhere else. If a flight is delayed, baggage is lost, a package holiday fails, a heritage site is damaged or a tourist needs emergency assistance, the legal question is not simply which company is responsible. It can also involve which country has jurisdiction, which law applies, whether an international convention applies and how a </w:t>
      </w:r>
      <w:proofErr w:type="spellStart"/>
      <w:r w:rsidRPr="00D93541">
        <w:rPr>
          <w:rFonts w:ascii="Times New Roman" w:hAnsi="Times New Roman" w:cs="Times New Roman"/>
        </w:rPr>
        <w:t>traveller</w:t>
      </w:r>
      <w:proofErr w:type="spellEnd"/>
      <w:r w:rsidRPr="00D93541">
        <w:rPr>
          <w:rFonts w:ascii="Times New Roman" w:hAnsi="Times New Roman" w:cs="Times New Roman"/>
        </w:rPr>
        <w:t xml:space="preserve"> can obtain a remedy. For this reason, tourism law is not one single body of law. It is a combination of international public law, transport law, consumer law, contract law, immigration rules, environmental and heritage rules, health and safety requirements and national tourism regulation.</w:t>
      </w:r>
    </w:p>
    <w:p w14:paraId="1D5DE1B4"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International conventions are important because national law alone cannot easily regulate activities that move from one state to another. A common international rule can reduce uncertainty and create a basic level of consistency. The Vienna Convention on the Law of Treaties expresses the general principle that treaties in force are binding on their parties and must be performed in good faith (United Nations, 1969). In tourism, conventions dealing with </w:t>
      </w:r>
      <w:r w:rsidRPr="00D93541">
        <w:rPr>
          <w:rFonts w:ascii="Times New Roman" w:hAnsi="Times New Roman" w:cs="Times New Roman"/>
        </w:rPr>
        <w:lastRenderedPageBreak/>
        <w:t>international civil aviation, air-carrier liability and world heritage are examples of rules that affect travel even though they are not all labelled as 'tourism conventions'. They establish shared obligations, but the practical application of those obligations still depends heavily on national authorities, courts and legislation.</w:t>
      </w:r>
    </w:p>
    <w:p w14:paraId="35A86FB6"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National tourism laws perform a different but connected function. They regulate the businesses, contracts and activities operating inside a country. They may set licensing requirements for tour operators, health and safety duties for hotels and attractions, consumer rights for package holidays, immigration rules for visitors, environmental controls for destinations and legal remedies when services fail. Regional systems can also influence this relationship. The European Union, for example, has used package travel legislation to </w:t>
      </w:r>
      <w:proofErr w:type="spellStart"/>
      <w:r w:rsidRPr="00D93541">
        <w:rPr>
          <w:rFonts w:ascii="Times New Roman" w:hAnsi="Times New Roman" w:cs="Times New Roman"/>
        </w:rPr>
        <w:t>harmonise</w:t>
      </w:r>
      <w:proofErr w:type="spellEnd"/>
      <w:r w:rsidRPr="00D93541">
        <w:rPr>
          <w:rFonts w:ascii="Times New Roman" w:hAnsi="Times New Roman" w:cs="Times New Roman"/>
        </w:rPr>
        <w:t xml:space="preserve"> important consumer protections across its Member States, showing how regional law can sit between global rules and national enforcement.</w:t>
      </w:r>
    </w:p>
    <w:p w14:paraId="19D2713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World Tourism Organization has a distinctive role within this structure. The </w:t>
      </w:r>
      <w:proofErr w:type="spellStart"/>
      <w:r w:rsidRPr="00D93541">
        <w:rPr>
          <w:rFonts w:ascii="Times New Roman" w:hAnsi="Times New Roman" w:cs="Times New Roman"/>
        </w:rPr>
        <w:t>organisation</w:t>
      </w:r>
      <w:proofErr w:type="spellEnd"/>
      <w:r w:rsidRPr="00D93541">
        <w:rPr>
          <w:rFonts w:ascii="Times New Roman" w:hAnsi="Times New Roman" w:cs="Times New Roman"/>
        </w:rPr>
        <w:t xml:space="preserve"> is now widely presented as UN Tourism, but the assignment uses its earlier name and abbreviation, UNWTO. It is a United Nations </w:t>
      </w:r>
      <w:proofErr w:type="spellStart"/>
      <w:r w:rsidRPr="00D93541">
        <w:rPr>
          <w:rFonts w:ascii="Times New Roman" w:hAnsi="Times New Roman" w:cs="Times New Roman"/>
        </w:rPr>
        <w:t>specialised</w:t>
      </w:r>
      <w:proofErr w:type="spellEnd"/>
      <w:r w:rsidRPr="00D93541">
        <w:rPr>
          <w:rFonts w:ascii="Times New Roman" w:hAnsi="Times New Roman" w:cs="Times New Roman"/>
        </w:rPr>
        <w:t xml:space="preserve"> agency concerned with responsible, sustainable and universally accessible tourism (United Nations, 2025). Its importance is mainly based on coordination, policy leadership, standard setting, technical support and the development of legal and ethical instruments rather than direct enforcement against individual tourists or businesses. This report therefore argues that cross-border tourism is regulated through a layered system: international law provides common frameworks, regional law can </w:t>
      </w:r>
      <w:proofErr w:type="spellStart"/>
      <w:r w:rsidRPr="00D93541">
        <w:rPr>
          <w:rFonts w:ascii="Times New Roman" w:hAnsi="Times New Roman" w:cs="Times New Roman"/>
        </w:rPr>
        <w:t>harmonise</w:t>
      </w:r>
      <w:proofErr w:type="spellEnd"/>
      <w:r w:rsidRPr="00D93541">
        <w:rPr>
          <w:rFonts w:ascii="Times New Roman" w:hAnsi="Times New Roman" w:cs="Times New Roman"/>
        </w:rPr>
        <w:t xml:space="preserve"> rules, national law implements and enforces practical duties, and UN Tourism helps states cooperate and develop shared standards.</w:t>
      </w:r>
    </w:p>
    <w:p w14:paraId="394ED5A7"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2. Literature Review</w:t>
      </w:r>
    </w:p>
    <w:p w14:paraId="20672CC1"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2.1 Tourism Regulation as a Multi-Level System</w:t>
      </w:r>
    </w:p>
    <w:p w14:paraId="312CADB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Tourism regulation has developed as the sector has become more international, commercially complex and digitally connected. Sarangan, </w:t>
      </w:r>
      <w:proofErr w:type="spellStart"/>
      <w:r w:rsidRPr="00D93541">
        <w:rPr>
          <w:rFonts w:ascii="Times New Roman" w:hAnsi="Times New Roman" w:cs="Times New Roman"/>
        </w:rPr>
        <w:t>Hewege</w:t>
      </w:r>
      <w:proofErr w:type="spellEnd"/>
      <w:r w:rsidRPr="00D93541">
        <w:rPr>
          <w:rFonts w:ascii="Times New Roman" w:hAnsi="Times New Roman" w:cs="Times New Roman"/>
        </w:rPr>
        <w:t xml:space="preserve"> and Perera (2022), in a systematic review of tourism industry regulation research, show that tourism regulation covers a broad range of policies, laws and governance arrangements. This breadth is important because the tourist experience is created by many separate services. A </w:t>
      </w:r>
      <w:proofErr w:type="spellStart"/>
      <w:r w:rsidRPr="00D93541">
        <w:rPr>
          <w:rFonts w:ascii="Times New Roman" w:hAnsi="Times New Roman" w:cs="Times New Roman"/>
        </w:rPr>
        <w:t>traveller</w:t>
      </w:r>
      <w:proofErr w:type="spellEnd"/>
      <w:r w:rsidRPr="00D93541">
        <w:rPr>
          <w:rFonts w:ascii="Times New Roman" w:hAnsi="Times New Roman" w:cs="Times New Roman"/>
        </w:rPr>
        <w:t xml:space="preserve"> may buy transport, accommodation, food, entertainment, guiding and insurance through different suppliers. As a result, legal protection cannot be understood only through a narrow 'tourism act'. It often depends on general laws that apply to transport, contracts, consumers, property, data, employment, safety and the environment.</w:t>
      </w:r>
    </w:p>
    <w:p w14:paraId="1A11623C"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2.2 Hard Law, Soft Law and Treaty Implementation</w:t>
      </w:r>
    </w:p>
    <w:p w14:paraId="27F24AFA"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lastRenderedPageBreak/>
        <w:t xml:space="preserve">A useful starting point is the distinction between international 'hard law' and 'soft law'. Abbott and Snidal (2000) explain that hard law is generally more binding, precise and connected to formal legal obligations, while soft law is less legally binding but can be easier for states and other actors to accept. This distinction helps explain tourism governance. The Montreal Convention 1999, for example, is a binding treaty for states that are parties to it and creates uniform rules for international carriage by air. By contrast, ethical codes and policy recommendations may not be directly enforceable in a national court, but they can still influence government policy, business </w:t>
      </w:r>
      <w:proofErr w:type="spellStart"/>
      <w:r w:rsidRPr="00D93541">
        <w:rPr>
          <w:rFonts w:ascii="Times New Roman" w:hAnsi="Times New Roman" w:cs="Times New Roman"/>
        </w:rPr>
        <w:t>behaviour</w:t>
      </w:r>
      <w:proofErr w:type="spellEnd"/>
      <w:r w:rsidRPr="00D93541">
        <w:rPr>
          <w:rFonts w:ascii="Times New Roman" w:hAnsi="Times New Roman" w:cs="Times New Roman"/>
        </w:rPr>
        <w:t xml:space="preserve"> and future legal development. Tourism needs both forms because states often agree more easily on broad principles before they are prepared to accept detailed binding obligations.</w:t>
      </w:r>
    </w:p>
    <w:p w14:paraId="15330E9F"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The relationship between treaties and domestic law is also central. Under Article 26 of the Vienna Convention on the Law of Treaties, a treaty in force is binding on its parties and must be performed in good faith. Article 27 adds that a party cannot normally rely on its internal law as a justification for failing to perform a treaty obligation (United Nations, 1969). However, this does not mean that every treaty automatically becomes directly enforceable by every individual in every national court. Constitutional systems differ. Some states give treaties a relatively direct effect, while others require domestic legislation before treaty rules can be relied on internally. In practice, international tourism law therefore depends on domestic legal structures for implementation, interpretation and enforcement.</w:t>
      </w:r>
    </w:p>
    <w:p w14:paraId="62C4AD45"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2.3 International Conventions Relevant to Tourism</w:t>
      </w:r>
    </w:p>
    <w:p w14:paraId="2E382328"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The Chicago Convention 1944 shows why shared rules are required in international tourism. It created the basic framework for international civil aviation and established the International Civil Aviation Organization (ICAO). Aviation is fundamental to long-distance tourism, yet aircraft cross national airspace and operate under different national legal systems. Common standards make this system safer and more predictable. The Montreal Convention 1999 goes further in a specific area by creating uniform rules for airline liability in international carriage. ICAO explains that the Convention covers areas including passenger death or injury, checked baggage and delay (ICAO, n.d.). These rules matter directly to tourists because they help determine when an airline is liable and the legal basis for compensation.</w:t>
      </w:r>
    </w:p>
    <w:p w14:paraId="3AA98F5F"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World Heritage Convention 1972 provides another example of international and national law working together. The Convention </w:t>
      </w:r>
      <w:proofErr w:type="spellStart"/>
      <w:r w:rsidRPr="00D93541">
        <w:rPr>
          <w:rFonts w:ascii="Times New Roman" w:hAnsi="Times New Roman" w:cs="Times New Roman"/>
        </w:rPr>
        <w:t>recognises</w:t>
      </w:r>
      <w:proofErr w:type="spellEnd"/>
      <w:r w:rsidRPr="00D93541">
        <w:rPr>
          <w:rFonts w:ascii="Times New Roman" w:hAnsi="Times New Roman" w:cs="Times New Roman"/>
        </w:rPr>
        <w:t xml:space="preserve"> that the protection of cultural and natural heritage situated within a state's territory is primarily the responsibility of that state, while also creating a system of international cooperation and assistance (UNESCO, 1972). This is highly relevant to tourism because many major destinations are heritage sites. International recognition can increase tourism demand, but it can also increase pressure on the site. The Convention therefore illustrates an important legal balance: international cooperation can define shared responsibilities and standards, but national and local authorities must carry out planning, conservation, visitor management and enforcement on the ground.</w:t>
      </w:r>
    </w:p>
    <w:p w14:paraId="15EE0130"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lastRenderedPageBreak/>
        <w:t xml:space="preserve">2.4 Tourism Governance and Regional </w:t>
      </w:r>
      <w:proofErr w:type="spellStart"/>
      <w:r w:rsidRPr="00D93541">
        <w:rPr>
          <w:rFonts w:ascii="Times New Roman" w:hAnsi="Times New Roman" w:cs="Times New Roman"/>
          <w:b/>
          <w:bCs/>
          <w:sz w:val="36"/>
          <w:szCs w:val="36"/>
        </w:rPr>
        <w:t>Harmonisation</w:t>
      </w:r>
      <w:proofErr w:type="spellEnd"/>
    </w:p>
    <w:p w14:paraId="66B04176"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Tourism governance research also supports a multi-level view. Hall (2011) argues that tourism governance can involve hierarchies, markets, networks and communities rather than only central government. </w:t>
      </w:r>
      <w:proofErr w:type="spellStart"/>
      <w:r w:rsidRPr="00D93541">
        <w:rPr>
          <w:rFonts w:ascii="Times New Roman" w:hAnsi="Times New Roman" w:cs="Times New Roman"/>
        </w:rPr>
        <w:t>Stoffelen</w:t>
      </w:r>
      <w:proofErr w:type="spellEnd"/>
      <w:r w:rsidRPr="00D93541">
        <w:rPr>
          <w:rFonts w:ascii="Times New Roman" w:hAnsi="Times New Roman" w:cs="Times New Roman"/>
        </w:rPr>
        <w:t>, Ioannides and Vanneste (2017), studying cross-border tourism governance in the German-Czech borderlands, identify institutional differences and coordination problems across levels of government. This research helps explain why good international rules do not automatically produce good outcomes. Tourism is implemented locally, and differences in administrative capacity, legal systems and institutional responsibilities can create gaps between policy and practice.</w:t>
      </w:r>
    </w:p>
    <w:p w14:paraId="12CC4075"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Regional law can reduce some of these gaps by </w:t>
      </w:r>
      <w:proofErr w:type="spellStart"/>
      <w:r w:rsidRPr="00D93541">
        <w:rPr>
          <w:rFonts w:ascii="Times New Roman" w:hAnsi="Times New Roman" w:cs="Times New Roman"/>
        </w:rPr>
        <w:t>harmonising</w:t>
      </w:r>
      <w:proofErr w:type="spellEnd"/>
      <w:r w:rsidRPr="00D93541">
        <w:rPr>
          <w:rFonts w:ascii="Times New Roman" w:hAnsi="Times New Roman" w:cs="Times New Roman"/>
        </w:rPr>
        <w:t xml:space="preserve"> rules across </w:t>
      </w:r>
      <w:proofErr w:type="spellStart"/>
      <w:r w:rsidRPr="00D93541">
        <w:rPr>
          <w:rFonts w:ascii="Times New Roman" w:hAnsi="Times New Roman" w:cs="Times New Roman"/>
        </w:rPr>
        <w:t>neighbouring</w:t>
      </w:r>
      <w:proofErr w:type="spellEnd"/>
      <w:r w:rsidRPr="00D93541">
        <w:rPr>
          <w:rFonts w:ascii="Times New Roman" w:hAnsi="Times New Roman" w:cs="Times New Roman"/>
        </w:rPr>
        <w:t xml:space="preserve"> states. Directive (EU) 2015/2302 on package travel and linked travel arrangements was designed to create a high and more uniform level of consumer protection in the European Union. It requires important pre-contract information and places responsibility on </w:t>
      </w:r>
      <w:proofErr w:type="spellStart"/>
      <w:r w:rsidRPr="00D93541">
        <w:rPr>
          <w:rFonts w:ascii="Times New Roman" w:hAnsi="Times New Roman" w:cs="Times New Roman"/>
        </w:rPr>
        <w:t>organisers</w:t>
      </w:r>
      <w:proofErr w:type="spellEnd"/>
      <w:r w:rsidRPr="00D93541">
        <w:rPr>
          <w:rFonts w:ascii="Times New Roman" w:hAnsi="Times New Roman" w:cs="Times New Roman"/>
        </w:rPr>
        <w:t xml:space="preserve"> for performance of package travel services. National governments then transpose and enforce those rules through their domestic legal systems. The United Kingdom's Package Travel and Linked Travel Arrangements Regulations 2018 are a clear example of national legislation giving detailed effect to package travel protections. This model shows how legal regulation can move from international and regional coordination into practical rules that businesses and tourists use in everyday transactions.</w:t>
      </w:r>
    </w:p>
    <w:p w14:paraId="40D19442"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rPr>
        <w:t xml:space="preserve">The academic literature therefore suggests that cross-border tourism regulation should be understood as a governance system rather than as a single set of laws. International conventions are most effective when states ratify them, align domestic rules with them, provide competent regulators and courts, and communicate rights clearly to </w:t>
      </w:r>
      <w:proofErr w:type="spellStart"/>
      <w:r w:rsidRPr="00D93541">
        <w:rPr>
          <w:rFonts w:ascii="Times New Roman" w:hAnsi="Times New Roman" w:cs="Times New Roman"/>
        </w:rPr>
        <w:t>travellers</w:t>
      </w:r>
      <w:proofErr w:type="spellEnd"/>
      <w:r w:rsidRPr="00D93541">
        <w:rPr>
          <w:rFonts w:ascii="Times New Roman" w:hAnsi="Times New Roman" w:cs="Times New Roman"/>
        </w:rPr>
        <w:t xml:space="preserve">. Soft-law instruments can fill gaps, encourage cooperation and influence </w:t>
      </w:r>
      <w:proofErr w:type="spellStart"/>
      <w:r w:rsidRPr="00D93541">
        <w:rPr>
          <w:rFonts w:ascii="Times New Roman" w:hAnsi="Times New Roman" w:cs="Times New Roman"/>
        </w:rPr>
        <w:t>behaviour</w:t>
      </w:r>
      <w:proofErr w:type="spellEnd"/>
      <w:r w:rsidRPr="00D93541">
        <w:rPr>
          <w:rFonts w:ascii="Times New Roman" w:hAnsi="Times New Roman" w:cs="Times New Roman"/>
        </w:rPr>
        <w:t xml:space="preserve">, but their effectiveness depends on voluntary adoption and political support. The next sections apply these ideas to the main </w:t>
      </w:r>
      <w:r w:rsidRPr="00D93541">
        <w:rPr>
          <w:rFonts w:ascii="Times New Roman" w:hAnsi="Times New Roman" w:cs="Times New Roman"/>
          <w:szCs w:val="24"/>
        </w:rPr>
        <w:t>international conventions, national legal frameworks and the role of UN Tourism.</w:t>
      </w:r>
    </w:p>
    <w:p w14:paraId="433173F4"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3. Methodology</w:t>
      </w:r>
    </w:p>
    <w:p w14:paraId="5B3A3886"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This report uses a qualitative desk-based research method. It reviews primary legal and policy sources together with selected peer-reviewed academic literature. Primary sources include the Vienna Convention on the Law of Treaties, the Chicago Convention, the Montreal Convention, the UNESCO World Heritage Convention, European package travel legislation, United Kingdom package travel regulations, and official UN Tourism materials. Academic sources were selected to support the theoretical discussion of hard and soft law, tourism governance, cross-border coordination and the practical relationship between international and domestic rules.</w:t>
      </w:r>
    </w:p>
    <w:p w14:paraId="6397413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analysis is </w:t>
      </w:r>
      <w:proofErr w:type="spellStart"/>
      <w:r w:rsidRPr="00D93541">
        <w:rPr>
          <w:rFonts w:ascii="Times New Roman" w:hAnsi="Times New Roman" w:cs="Times New Roman"/>
        </w:rPr>
        <w:t>organised</w:t>
      </w:r>
      <w:proofErr w:type="spellEnd"/>
      <w:r w:rsidRPr="00D93541">
        <w:rPr>
          <w:rFonts w:ascii="Times New Roman" w:hAnsi="Times New Roman" w:cs="Times New Roman"/>
        </w:rPr>
        <w:t xml:space="preserve"> around three questions. First, what functions are performed by international conventions in cross-border tourism? Second, how do national and regional legal </w:t>
      </w:r>
      <w:r w:rsidRPr="00D93541">
        <w:rPr>
          <w:rFonts w:ascii="Times New Roman" w:hAnsi="Times New Roman" w:cs="Times New Roman"/>
        </w:rPr>
        <w:lastRenderedPageBreak/>
        <w:t xml:space="preserve">systems implement or supplement those international rules? Third, what legal and policy role is performed by UN Tourism? The sources are compared rather than treated separately so that the report can identify areas of cooperation, overlap and weakness. The method is appropriate because the assignment is concerned with the structure and operation of legal frameworks rather than with measuring tourist </w:t>
      </w:r>
      <w:proofErr w:type="spellStart"/>
      <w:r w:rsidRPr="00D93541">
        <w:rPr>
          <w:rFonts w:ascii="Times New Roman" w:hAnsi="Times New Roman" w:cs="Times New Roman"/>
        </w:rPr>
        <w:t>behaviour</w:t>
      </w:r>
      <w:proofErr w:type="spellEnd"/>
      <w:r w:rsidRPr="00D93541">
        <w:rPr>
          <w:rFonts w:ascii="Times New Roman" w:hAnsi="Times New Roman" w:cs="Times New Roman"/>
        </w:rPr>
        <w:t xml:space="preserve"> through surveys or experiments.</w:t>
      </w:r>
    </w:p>
    <w:p w14:paraId="3CAD172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There are limitations. Tourism law differs significantly between countries, so no single report can describe every national system. The report therefore uses selected examples, particularly aviation law, European package travel rules, heritage protection and an Indonesian aviation case study. These examples are not presented as identical to all countries. They are used to demonstrate how international and national legal layers can interact in real situations.</w:t>
      </w:r>
    </w:p>
    <w:p w14:paraId="575EBE10"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4. Findings</w:t>
      </w:r>
    </w:p>
    <w:p w14:paraId="68AE45CD"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4.1 Common Rules for Cross-Border Aviation</w:t>
      </w:r>
    </w:p>
    <w:p w14:paraId="00B8A916"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first major finding is that international conventions create common legal foundations for activities that cannot be regulated effectively by one country acting alone. International tourism depends on movement between states, especially by air. The Chicago Convention established core principles for international civil aviation and created ICAO, helping states coordinate the legal and technical basis of international air transport. The Montreal Convention 1999 then created a more focused and modern system for liability in international carriage by air. According to ICAO, the Convention addresses liability for passenger death or bodily injury, checked baggage and delay. This creates greater predictability for </w:t>
      </w:r>
      <w:proofErr w:type="spellStart"/>
      <w:r w:rsidRPr="00D93541">
        <w:rPr>
          <w:rFonts w:ascii="Times New Roman" w:hAnsi="Times New Roman" w:cs="Times New Roman"/>
        </w:rPr>
        <w:t>travellers</w:t>
      </w:r>
      <w:proofErr w:type="spellEnd"/>
      <w:r w:rsidRPr="00D93541">
        <w:rPr>
          <w:rFonts w:ascii="Times New Roman" w:hAnsi="Times New Roman" w:cs="Times New Roman"/>
        </w:rPr>
        <w:t xml:space="preserve"> and airlines because the legal position does not depend entirely on separate national rules for every international journey.</w:t>
      </w:r>
    </w:p>
    <w:p w14:paraId="473B5BC7"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Montreal Convention also demonstrates why uniform rules are valuable. If every country used entirely different liability rules for the same international flight, passengers could face uncertainty about compensation and airlines could face conflicting standards. A treaty reduces this problem by creating a common framework among participating states. At the same time, the treaty does not remove domestic legal institutions. Claims are still normally brought through courts or procedures </w:t>
      </w:r>
      <w:proofErr w:type="spellStart"/>
      <w:r w:rsidRPr="00D93541">
        <w:rPr>
          <w:rFonts w:ascii="Times New Roman" w:hAnsi="Times New Roman" w:cs="Times New Roman"/>
        </w:rPr>
        <w:t>recognised</w:t>
      </w:r>
      <w:proofErr w:type="spellEnd"/>
      <w:r w:rsidRPr="00D93541">
        <w:rPr>
          <w:rFonts w:ascii="Times New Roman" w:hAnsi="Times New Roman" w:cs="Times New Roman"/>
        </w:rPr>
        <w:t xml:space="preserve"> by national law. National judges must interpret the applicable treaty and domestic rules, and states must ensure that their legal systems can give effect to international obligations.</w:t>
      </w:r>
    </w:p>
    <w:p w14:paraId="4B3CB045"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Indonesian experience provides a useful real-world illustration. Arafah et al. (2024) examine Indonesia's ratification and implementation of the Montreal Convention and identify tensions between the Convention and existing Indonesian aviation law. Their analysis shows that ratification can improve the protection available to </w:t>
      </w:r>
      <w:proofErr w:type="spellStart"/>
      <w:r w:rsidRPr="00D93541">
        <w:rPr>
          <w:rFonts w:ascii="Times New Roman" w:hAnsi="Times New Roman" w:cs="Times New Roman"/>
        </w:rPr>
        <w:t>travellers</w:t>
      </w:r>
      <w:proofErr w:type="spellEnd"/>
      <w:r w:rsidRPr="00D93541">
        <w:rPr>
          <w:rFonts w:ascii="Times New Roman" w:hAnsi="Times New Roman" w:cs="Times New Roman"/>
        </w:rPr>
        <w:t xml:space="preserve">, but it can also expose inconsistencies between older national rules and the international framework. This is a strong example of why implementation is not a one-time event. A state may ratify a convention, but </w:t>
      </w:r>
      <w:r w:rsidRPr="00D93541">
        <w:rPr>
          <w:rFonts w:ascii="Times New Roman" w:hAnsi="Times New Roman" w:cs="Times New Roman"/>
        </w:rPr>
        <w:lastRenderedPageBreak/>
        <w:t>lawmakers and regulators may still need to review domestic legislation, definitions, compensation systems and procedures so that the two levels work consistently.</w:t>
      </w:r>
    </w:p>
    <w:p w14:paraId="7243173D"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4.2 National Implementation and Consumer Protection</w:t>
      </w:r>
    </w:p>
    <w:p w14:paraId="12DF66A4"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second major finding is that national tourism law converts broad international responsibilities into detailed rules that can be enforced in a particular territory. Tourism businesses operate through national </w:t>
      </w:r>
      <w:proofErr w:type="spellStart"/>
      <w:r w:rsidRPr="00D93541">
        <w:rPr>
          <w:rFonts w:ascii="Times New Roman" w:hAnsi="Times New Roman" w:cs="Times New Roman"/>
        </w:rPr>
        <w:t>licences</w:t>
      </w:r>
      <w:proofErr w:type="spellEnd"/>
      <w:r w:rsidRPr="00D93541">
        <w:rPr>
          <w:rFonts w:ascii="Times New Roman" w:hAnsi="Times New Roman" w:cs="Times New Roman"/>
        </w:rPr>
        <w:t>, company law, employment rules, tax systems, safety standards and consumer law. A hotel, tour operator or attraction is normally inspected, licensed or sued under the law of the country in which it operates. Immigration and visa rules are also mainly administered by national governments even when regional agreements make movement easier. International law can create obligations or common standards, but national law provides much of the practical machinery that a tourist experiences.</w:t>
      </w:r>
    </w:p>
    <w:p w14:paraId="1F714F36"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Package travel is a good example. In the European Union, Directive (EU) 2015/2302 created common requirements for packages and linked travel arrangements, including information duties and protections connected with </w:t>
      </w:r>
      <w:proofErr w:type="spellStart"/>
      <w:r w:rsidRPr="00D93541">
        <w:rPr>
          <w:rFonts w:ascii="Times New Roman" w:hAnsi="Times New Roman" w:cs="Times New Roman"/>
        </w:rPr>
        <w:t>organiser</w:t>
      </w:r>
      <w:proofErr w:type="spellEnd"/>
      <w:r w:rsidRPr="00D93541">
        <w:rPr>
          <w:rFonts w:ascii="Times New Roman" w:hAnsi="Times New Roman" w:cs="Times New Roman"/>
        </w:rPr>
        <w:t xml:space="preserve"> responsibility and insolvency. The purpose is to approximate national rules and support a high level of consumer protection across the internal market. The United Kingdom implemented a detailed domestic framework through the Package Travel and Linked Travel Arrangements Regulations 2018. These regulations require information to be given before a package travel contract is concluded and set out duties for </w:t>
      </w:r>
      <w:proofErr w:type="spellStart"/>
      <w:r w:rsidRPr="00D93541">
        <w:rPr>
          <w:rFonts w:ascii="Times New Roman" w:hAnsi="Times New Roman" w:cs="Times New Roman"/>
        </w:rPr>
        <w:t>organisers</w:t>
      </w:r>
      <w:proofErr w:type="spellEnd"/>
      <w:r w:rsidRPr="00D93541">
        <w:rPr>
          <w:rFonts w:ascii="Times New Roman" w:hAnsi="Times New Roman" w:cs="Times New Roman"/>
        </w:rPr>
        <w:t xml:space="preserve"> and retailers. In practice, the regional framework defines the common direction while domestic legislation and regulators make the rules operational.</w:t>
      </w:r>
    </w:p>
    <w:p w14:paraId="58F895D8"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This layered model is especially useful for cross-border tourism because the consumer often buys a holiday before entering the destination country. A </w:t>
      </w:r>
      <w:proofErr w:type="spellStart"/>
      <w:r w:rsidRPr="00D93541">
        <w:rPr>
          <w:rFonts w:ascii="Times New Roman" w:hAnsi="Times New Roman" w:cs="Times New Roman"/>
        </w:rPr>
        <w:t>traveller</w:t>
      </w:r>
      <w:proofErr w:type="spellEnd"/>
      <w:r w:rsidRPr="00D93541">
        <w:rPr>
          <w:rFonts w:ascii="Times New Roman" w:hAnsi="Times New Roman" w:cs="Times New Roman"/>
        </w:rPr>
        <w:t xml:space="preserve"> may contract with an </w:t>
      </w:r>
      <w:proofErr w:type="spellStart"/>
      <w:r w:rsidRPr="00D93541">
        <w:rPr>
          <w:rFonts w:ascii="Times New Roman" w:hAnsi="Times New Roman" w:cs="Times New Roman"/>
        </w:rPr>
        <w:t>organiser</w:t>
      </w:r>
      <w:proofErr w:type="spellEnd"/>
      <w:r w:rsidRPr="00D93541">
        <w:rPr>
          <w:rFonts w:ascii="Times New Roman" w:hAnsi="Times New Roman" w:cs="Times New Roman"/>
        </w:rPr>
        <w:t xml:space="preserve"> at home, fly with an international airline and stay with a supplier abroad. If the package </w:t>
      </w:r>
      <w:proofErr w:type="spellStart"/>
      <w:r w:rsidRPr="00D93541">
        <w:rPr>
          <w:rFonts w:ascii="Times New Roman" w:hAnsi="Times New Roman" w:cs="Times New Roman"/>
        </w:rPr>
        <w:t>organiser</w:t>
      </w:r>
      <w:proofErr w:type="spellEnd"/>
      <w:r w:rsidRPr="00D93541">
        <w:rPr>
          <w:rFonts w:ascii="Times New Roman" w:hAnsi="Times New Roman" w:cs="Times New Roman"/>
        </w:rPr>
        <w:t xml:space="preserve"> is responsible under the applicable consumer law, the </w:t>
      </w:r>
      <w:proofErr w:type="spellStart"/>
      <w:r w:rsidRPr="00D93541">
        <w:rPr>
          <w:rFonts w:ascii="Times New Roman" w:hAnsi="Times New Roman" w:cs="Times New Roman"/>
        </w:rPr>
        <w:t>traveller</w:t>
      </w:r>
      <w:proofErr w:type="spellEnd"/>
      <w:r w:rsidRPr="00D93541">
        <w:rPr>
          <w:rFonts w:ascii="Times New Roman" w:hAnsi="Times New Roman" w:cs="Times New Roman"/>
        </w:rPr>
        <w:t xml:space="preserve"> may not need to pursue each overseas supplier separately. This improves legal certainty. However, it also shows why businesses need to understand more than the law of the destination: the law connected to the place of sale, the </w:t>
      </w:r>
      <w:proofErr w:type="spellStart"/>
      <w:r w:rsidRPr="00D93541">
        <w:rPr>
          <w:rFonts w:ascii="Times New Roman" w:hAnsi="Times New Roman" w:cs="Times New Roman"/>
        </w:rPr>
        <w:t>organiser</w:t>
      </w:r>
      <w:proofErr w:type="spellEnd"/>
      <w:r w:rsidRPr="00D93541">
        <w:rPr>
          <w:rFonts w:ascii="Times New Roman" w:hAnsi="Times New Roman" w:cs="Times New Roman"/>
        </w:rPr>
        <w:t xml:space="preserve"> and the </w:t>
      </w:r>
      <w:proofErr w:type="spellStart"/>
      <w:r w:rsidRPr="00D93541">
        <w:rPr>
          <w:rFonts w:ascii="Times New Roman" w:hAnsi="Times New Roman" w:cs="Times New Roman"/>
        </w:rPr>
        <w:t>traveller</w:t>
      </w:r>
      <w:proofErr w:type="spellEnd"/>
      <w:r w:rsidRPr="00D93541">
        <w:rPr>
          <w:rFonts w:ascii="Times New Roman" w:hAnsi="Times New Roman" w:cs="Times New Roman"/>
        </w:rPr>
        <w:t xml:space="preserve"> may also matter.</w:t>
      </w:r>
    </w:p>
    <w:p w14:paraId="53996765"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4.3 Heritage Protection and Domestic Enforcement</w:t>
      </w:r>
    </w:p>
    <w:p w14:paraId="3F20650F"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third finding is that international conventions can protect tourism resources as well as tourists. Under the UNESCO World Heritage Convention, states accept primary responsibility for protecting cultural and natural heritage within their territory, while the international community supports cooperation and assistance. This structure respects state sovereignty but also </w:t>
      </w:r>
      <w:proofErr w:type="spellStart"/>
      <w:r w:rsidRPr="00D93541">
        <w:rPr>
          <w:rFonts w:ascii="Times New Roman" w:hAnsi="Times New Roman" w:cs="Times New Roman"/>
        </w:rPr>
        <w:t>recognises</w:t>
      </w:r>
      <w:proofErr w:type="spellEnd"/>
      <w:r w:rsidRPr="00D93541">
        <w:rPr>
          <w:rFonts w:ascii="Times New Roman" w:hAnsi="Times New Roman" w:cs="Times New Roman"/>
        </w:rPr>
        <w:t xml:space="preserve"> that certain heritage has international importance. Tourism can benefit from World Heritage status through visibility and visitor demand, yet excessive or poorly managed tourism can contribute to physical damage, crowding and pressure on local communities. National </w:t>
      </w:r>
      <w:r w:rsidRPr="00D93541">
        <w:rPr>
          <w:rFonts w:ascii="Times New Roman" w:hAnsi="Times New Roman" w:cs="Times New Roman"/>
        </w:rPr>
        <w:lastRenderedPageBreak/>
        <w:t>planning laws, conservation rules, visitor limits and site-management decisions are therefore the practical tools through which the international commitment is delivered.</w:t>
      </w:r>
    </w:p>
    <w:p w14:paraId="58D1C258"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This demonstrates an important principle: international law often sets the 'why' and the shared commitment, while national law supplies much of the 'how'. The same pattern appears in other areas. International standards can encourage accessibility, sustainability, crisis assistance or consumer protection, but local legal systems determine which authority issues </w:t>
      </w:r>
      <w:proofErr w:type="spellStart"/>
      <w:r w:rsidRPr="00D93541">
        <w:rPr>
          <w:rFonts w:ascii="Times New Roman" w:hAnsi="Times New Roman" w:cs="Times New Roman"/>
        </w:rPr>
        <w:t>licences</w:t>
      </w:r>
      <w:proofErr w:type="spellEnd"/>
      <w:r w:rsidRPr="00D93541">
        <w:rPr>
          <w:rFonts w:ascii="Times New Roman" w:hAnsi="Times New Roman" w:cs="Times New Roman"/>
        </w:rPr>
        <w:t>, which court hears a claim, what evidence is required, which inspector can impose a penalty and how a business must change its operations. The effectiveness of the international framework is therefore limited if national institutions are weak or if the rules are poorly communicated.</w:t>
      </w:r>
    </w:p>
    <w:p w14:paraId="02199844"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4.4 The Role of UN Tourism (UNWTO)</w:t>
      </w:r>
    </w:p>
    <w:p w14:paraId="2AF32A91"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fourth major finding concerns UN Tourism. The </w:t>
      </w:r>
      <w:proofErr w:type="spellStart"/>
      <w:r w:rsidRPr="00D93541">
        <w:rPr>
          <w:rFonts w:ascii="Times New Roman" w:hAnsi="Times New Roman" w:cs="Times New Roman"/>
        </w:rPr>
        <w:t>organisation</w:t>
      </w:r>
      <w:proofErr w:type="spellEnd"/>
      <w:r w:rsidRPr="00D93541">
        <w:rPr>
          <w:rFonts w:ascii="Times New Roman" w:hAnsi="Times New Roman" w:cs="Times New Roman"/>
        </w:rPr>
        <w:t xml:space="preserve"> is a </w:t>
      </w:r>
      <w:proofErr w:type="spellStart"/>
      <w:r w:rsidRPr="00D93541">
        <w:rPr>
          <w:rFonts w:ascii="Times New Roman" w:hAnsi="Times New Roman" w:cs="Times New Roman"/>
        </w:rPr>
        <w:t>specialised</w:t>
      </w:r>
      <w:proofErr w:type="spellEnd"/>
      <w:r w:rsidRPr="00D93541">
        <w:rPr>
          <w:rFonts w:ascii="Times New Roman" w:hAnsi="Times New Roman" w:cs="Times New Roman"/>
        </w:rPr>
        <w:t xml:space="preserve"> agency of the United Nations that promotes responsible, sustainable and universally accessible tourism and provides strategic leadership, knowledge and advocacy for the sector (United Nations, 2025). Its role is different from that of a national legislature or court. It does not normally issue directly enforceable </w:t>
      </w:r>
      <w:proofErr w:type="spellStart"/>
      <w:r w:rsidRPr="00D93541">
        <w:rPr>
          <w:rFonts w:ascii="Times New Roman" w:hAnsi="Times New Roman" w:cs="Times New Roman"/>
        </w:rPr>
        <w:t>licences</w:t>
      </w:r>
      <w:proofErr w:type="spellEnd"/>
      <w:r w:rsidRPr="00D93541">
        <w:rPr>
          <w:rFonts w:ascii="Times New Roman" w:hAnsi="Times New Roman" w:cs="Times New Roman"/>
        </w:rPr>
        <w:t xml:space="preserve"> to tourism </w:t>
      </w:r>
      <w:proofErr w:type="gramStart"/>
      <w:r w:rsidRPr="00D93541">
        <w:rPr>
          <w:rFonts w:ascii="Times New Roman" w:hAnsi="Times New Roman" w:cs="Times New Roman"/>
        </w:rPr>
        <w:t>businesses,</w:t>
      </w:r>
      <w:proofErr w:type="gramEnd"/>
      <w:r w:rsidRPr="00D93541">
        <w:rPr>
          <w:rFonts w:ascii="Times New Roman" w:hAnsi="Times New Roman" w:cs="Times New Roman"/>
        </w:rPr>
        <w:t xml:space="preserve"> decide individual compensation claims or prosecute breaches of tourism law. Instead, it helps create common principles, supports cooperation between governments, develops policy guidance and legal instruments, gathers knowledge and encourages states to improve tourism governance.</w:t>
      </w:r>
    </w:p>
    <w:p w14:paraId="4DB4C98E"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One important UN Tourism instrument is the Global Code of Ethics for Tourism. The Code was adopted by the </w:t>
      </w:r>
      <w:proofErr w:type="spellStart"/>
      <w:r w:rsidRPr="00D93541">
        <w:rPr>
          <w:rFonts w:ascii="Times New Roman" w:hAnsi="Times New Roman" w:cs="Times New Roman"/>
        </w:rPr>
        <w:t>organisation</w:t>
      </w:r>
      <w:proofErr w:type="spellEnd"/>
      <w:r w:rsidRPr="00D93541">
        <w:rPr>
          <w:rFonts w:ascii="Times New Roman" w:hAnsi="Times New Roman" w:cs="Times New Roman"/>
        </w:rPr>
        <w:t xml:space="preserve"> in 1999 and endorsed by the United Nations General Assembly in 2001. It provides principles on responsible tourism, including respect for human rights, cultural heritage, environmental protection and the responsibilities of tourism stakeholders (UN Tourism, 2018). The Code is significant because tourism involves governments, businesses, workers, tourists and host communities. A purely national rule may not address the shared ethical responsibilities of all these groups, especially when the activity crosses borders.</w:t>
      </w:r>
    </w:p>
    <w:p w14:paraId="2BA52501"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evolution from the Global Code of Ethics toward the Framework Convention on Tourism Ethics also shows how soft-law principles can influence the development of more formal legal structures. UN Tourism states that the Framework Convention on Tourism Ethics was adopted by its General Assembly in 2019 as the </w:t>
      </w:r>
      <w:proofErr w:type="spellStart"/>
      <w:r w:rsidRPr="00D93541">
        <w:rPr>
          <w:rFonts w:ascii="Times New Roman" w:hAnsi="Times New Roman" w:cs="Times New Roman"/>
        </w:rPr>
        <w:t>organisation's</w:t>
      </w:r>
      <w:proofErr w:type="spellEnd"/>
      <w:r w:rsidRPr="00D93541">
        <w:rPr>
          <w:rFonts w:ascii="Times New Roman" w:hAnsi="Times New Roman" w:cs="Times New Roman"/>
        </w:rPr>
        <w:t xml:space="preserve"> first international convention. This progression supports the hard-law/soft-law theory discussed earlier. A non-binding code can build agreement around principles, create common language and encourage voluntary practice. Over time, states may be willing to </w:t>
      </w:r>
      <w:proofErr w:type="spellStart"/>
      <w:r w:rsidRPr="00D93541">
        <w:rPr>
          <w:rFonts w:ascii="Times New Roman" w:hAnsi="Times New Roman" w:cs="Times New Roman"/>
        </w:rPr>
        <w:t>formalise</w:t>
      </w:r>
      <w:proofErr w:type="spellEnd"/>
      <w:r w:rsidRPr="00D93541">
        <w:rPr>
          <w:rFonts w:ascii="Times New Roman" w:hAnsi="Times New Roman" w:cs="Times New Roman"/>
        </w:rPr>
        <w:t xml:space="preserve"> some of those principles in a convention. The process is gradual because tourism regulation touches national sovereignty, culture, economic development and different legal systems.</w:t>
      </w:r>
    </w:p>
    <w:p w14:paraId="798957B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Another important initiative is the International Code for the Protection of Tourists (ICPT). The project was developed in response to weaknesses revealed by major crises, particularly the difficulties faced by tourists when emergencies disrupted travel. UNWTO described the proposed </w:t>
      </w:r>
      <w:r w:rsidRPr="00D93541">
        <w:rPr>
          <w:rFonts w:ascii="Times New Roman" w:hAnsi="Times New Roman" w:cs="Times New Roman"/>
        </w:rPr>
        <w:lastRenderedPageBreak/>
        <w:t xml:space="preserve">Code as a framework aimed at improving tourist protection as consumers and clarifying assistance in emergency situations (UNWTO, 2020). The Code was presented to the </w:t>
      </w:r>
      <w:proofErr w:type="spellStart"/>
      <w:r w:rsidRPr="00D93541">
        <w:rPr>
          <w:rFonts w:ascii="Times New Roman" w:hAnsi="Times New Roman" w:cs="Times New Roman"/>
        </w:rPr>
        <w:t>organisation's</w:t>
      </w:r>
      <w:proofErr w:type="spellEnd"/>
      <w:r w:rsidRPr="00D93541">
        <w:rPr>
          <w:rFonts w:ascii="Times New Roman" w:hAnsi="Times New Roman" w:cs="Times New Roman"/>
        </w:rPr>
        <w:t xml:space="preserve"> General Assembly in 2021 and has since been promoted for adherence by states. Its importance lies in encouraging more consistent minimum approaches to tourist assistance and consumer protection where national systems differ.</w:t>
      </w:r>
    </w:p>
    <w:p w14:paraId="24F7558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 Tourism also acts as a forum. Cross-border tourism problems are difficult to solve if governments and industry bodies work separately. The </w:t>
      </w:r>
      <w:proofErr w:type="spellStart"/>
      <w:r w:rsidRPr="00D93541">
        <w:rPr>
          <w:rFonts w:ascii="Times New Roman" w:hAnsi="Times New Roman" w:cs="Times New Roman"/>
        </w:rPr>
        <w:t>organisation</w:t>
      </w:r>
      <w:proofErr w:type="spellEnd"/>
      <w:r w:rsidRPr="00D93541">
        <w:rPr>
          <w:rFonts w:ascii="Times New Roman" w:hAnsi="Times New Roman" w:cs="Times New Roman"/>
        </w:rPr>
        <w:t xml:space="preserve"> can bring together national tourism administrations, international </w:t>
      </w:r>
      <w:proofErr w:type="spellStart"/>
      <w:r w:rsidRPr="00D93541">
        <w:rPr>
          <w:rFonts w:ascii="Times New Roman" w:hAnsi="Times New Roman" w:cs="Times New Roman"/>
        </w:rPr>
        <w:t>organisations</w:t>
      </w:r>
      <w:proofErr w:type="spellEnd"/>
      <w:r w:rsidRPr="00D93541">
        <w:rPr>
          <w:rFonts w:ascii="Times New Roman" w:hAnsi="Times New Roman" w:cs="Times New Roman"/>
        </w:rPr>
        <w:t>, experts and private-sector stakeholders. This coordination role is visible in the development of the International Code for the Protection of Tourists, where bodies such as the European Commission, ICAO, UNCTAD and ISO were involved in consultations. This does not make every UN Tourism recommendation legally binding, but it can reduce fragmentation by helping different sectors work from similar concepts and expectations.</w:t>
      </w:r>
    </w:p>
    <w:p w14:paraId="3F993007"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4.5 Interaction Between the Legal Levels</w:t>
      </w:r>
    </w:p>
    <w:p w14:paraId="72D44C6A"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fifth finding is that regulation is strongest when these legal levels complement each other rather than compete. International conventions are effective at creating common rules for genuinely cross-border issues. National law is effective at detailed implementation, licensing, enforcement and remedies. Regional law can </w:t>
      </w:r>
      <w:proofErr w:type="spellStart"/>
      <w:r w:rsidRPr="00D93541">
        <w:rPr>
          <w:rFonts w:ascii="Times New Roman" w:hAnsi="Times New Roman" w:cs="Times New Roman"/>
        </w:rPr>
        <w:t>harmonise</w:t>
      </w:r>
      <w:proofErr w:type="spellEnd"/>
      <w:r w:rsidRPr="00D93541">
        <w:rPr>
          <w:rFonts w:ascii="Times New Roman" w:hAnsi="Times New Roman" w:cs="Times New Roman"/>
        </w:rPr>
        <w:t xml:space="preserve"> standards across a group of states. UN Tourism can identify emerging problems, spread good practice, develop shared language and support governments that lack technical capacity. Together, these functions form a multi-level governance system.</w:t>
      </w:r>
    </w:p>
    <w:p w14:paraId="55847079"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5. Discussion</w:t>
      </w:r>
    </w:p>
    <w:p w14:paraId="54DBB66F"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5.1 Complementarity of International and National Law</w:t>
      </w:r>
    </w:p>
    <w:p w14:paraId="0BF2B06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evidence supports the view that international conventions and national tourism laws are interdependent. International law provides consistency, but it usually needs domestic institutions to become meaningful for an individual </w:t>
      </w:r>
      <w:proofErr w:type="spellStart"/>
      <w:r w:rsidRPr="00D93541">
        <w:rPr>
          <w:rFonts w:ascii="Times New Roman" w:hAnsi="Times New Roman" w:cs="Times New Roman"/>
        </w:rPr>
        <w:t>traveller</w:t>
      </w:r>
      <w:proofErr w:type="spellEnd"/>
      <w:r w:rsidRPr="00D93541">
        <w:rPr>
          <w:rFonts w:ascii="Times New Roman" w:hAnsi="Times New Roman" w:cs="Times New Roman"/>
        </w:rPr>
        <w:t>. National law provides enforceability, but if every state acted completely independently, cross-border travel would become legally fragmented. A tourist would face different liability principles, contract standards and protection mechanisms at every stage of the journey. The practical value of international cooperation is therefore to reduce this fragmentation without removing the legitimate authority of states to regulate tourism inside their territories.</w:t>
      </w:r>
    </w:p>
    <w:p w14:paraId="7866C884"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hard-law and soft-law framework helps explain why the system contains different types of instruments. Binding treaties such as the Montreal Convention are valuable where states need predictable legal obligations. They can support legal certainty, common liability rules and confidence in international travel. However, binding agreements can be slow to negotiate and </w:t>
      </w:r>
      <w:r w:rsidRPr="00D93541">
        <w:rPr>
          <w:rFonts w:ascii="Times New Roman" w:hAnsi="Times New Roman" w:cs="Times New Roman"/>
        </w:rPr>
        <w:lastRenderedPageBreak/>
        <w:t>may not be ratified or implemented uniformly. Soft-law instruments such as ethical codes, guidelines and model principles are more flexible. They can involve businesses and other non-state actors, respond more quickly to emerging issues and encourage experimentation. Their weakness is that compliance may depend on reputation, political commitment or voluntary action rather than a direct legal sanction.</w:t>
      </w:r>
    </w:p>
    <w:p w14:paraId="1A277361"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5.2 UN Tourism's Contribution</w:t>
      </w:r>
    </w:p>
    <w:p w14:paraId="76821ACA"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 Tourism is particularly important in the soft-law and coordination space. Its value should not be measured by asking whether it can </w:t>
      </w:r>
      <w:proofErr w:type="spellStart"/>
      <w:r w:rsidRPr="00D93541">
        <w:rPr>
          <w:rFonts w:ascii="Times New Roman" w:hAnsi="Times New Roman" w:cs="Times New Roman"/>
        </w:rPr>
        <w:t>fine</w:t>
      </w:r>
      <w:proofErr w:type="spellEnd"/>
      <w:r w:rsidRPr="00D93541">
        <w:rPr>
          <w:rFonts w:ascii="Times New Roman" w:hAnsi="Times New Roman" w:cs="Times New Roman"/>
        </w:rPr>
        <w:t xml:space="preserve"> a hotel or order an airline to compensate a passenger. Those are normally functions of national authorities, courts or </w:t>
      </w:r>
      <w:proofErr w:type="spellStart"/>
      <w:r w:rsidRPr="00D93541">
        <w:rPr>
          <w:rFonts w:ascii="Times New Roman" w:hAnsi="Times New Roman" w:cs="Times New Roman"/>
        </w:rPr>
        <w:t>specialised</w:t>
      </w:r>
      <w:proofErr w:type="spellEnd"/>
      <w:r w:rsidRPr="00D93541">
        <w:rPr>
          <w:rFonts w:ascii="Times New Roman" w:hAnsi="Times New Roman" w:cs="Times New Roman"/>
        </w:rPr>
        <w:t xml:space="preserve"> legal regimes. A better measure is whether the </w:t>
      </w:r>
      <w:proofErr w:type="spellStart"/>
      <w:r w:rsidRPr="00D93541">
        <w:rPr>
          <w:rFonts w:ascii="Times New Roman" w:hAnsi="Times New Roman" w:cs="Times New Roman"/>
        </w:rPr>
        <w:t>organisation</w:t>
      </w:r>
      <w:proofErr w:type="spellEnd"/>
      <w:r w:rsidRPr="00D93541">
        <w:rPr>
          <w:rFonts w:ascii="Times New Roman" w:hAnsi="Times New Roman" w:cs="Times New Roman"/>
        </w:rPr>
        <w:t xml:space="preserve"> helps states identify common problems, creates standards that can be incorporated into domestic policy, supports technical capacity and encourages responsible tourism. The Global Code of Ethics, the Framework Convention on Tourism Ethics and the International Code for the Protection of Tourists show three different points on the spectrum between ethical guidance, international legal development and coordinated policy standards.</w:t>
      </w:r>
    </w:p>
    <w:p w14:paraId="784AAD51"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5.3 Limitations and Implementation Gaps</w:t>
      </w:r>
    </w:p>
    <w:p w14:paraId="63E7F908"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There are nevertheless significant limitations. The first is uneven participation. A treaty creates uniformity only among states that are legally bound by it, and even participating states can implement obligations differently. The Indonesian aviation example shows that domestic legislation may not automatically fit an international convention. The second limitation is enforcement capacity. A strong law has limited value if tourists cannot understand their rights, regulators lack resources or court procedures are too slow and expensive. The third is institutional fragmentation. Tourism can involve aviation authorities, border agencies, local councils, consumer regulators, heritage agencies and environmental bodies. Poor coordination between them can create gaps even when the individual laws are reasonable.</w:t>
      </w:r>
    </w:p>
    <w:p w14:paraId="55498471"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A further issue is the speed of change in tourism. Online booking platforms, dynamic packages, short-term accommodation, digital identification and crisis disruption can develop faster than traditional legislation. The EU package travel regime demonstrates an attempt to respond to changing booking methods, but regulation needs regular review as business models evolve. International </w:t>
      </w:r>
      <w:proofErr w:type="spellStart"/>
      <w:r w:rsidRPr="00D93541">
        <w:rPr>
          <w:rFonts w:ascii="Times New Roman" w:hAnsi="Times New Roman" w:cs="Times New Roman"/>
        </w:rPr>
        <w:t>organisations</w:t>
      </w:r>
      <w:proofErr w:type="spellEnd"/>
      <w:r w:rsidRPr="00D93541">
        <w:rPr>
          <w:rFonts w:ascii="Times New Roman" w:hAnsi="Times New Roman" w:cs="Times New Roman"/>
        </w:rPr>
        <w:t xml:space="preserve"> can help by comparing national experience and proposing common approaches, while national governments can test and enforce specific solutions. This interaction is more realistic than expecting a single global tourism law to regulate every transaction.</w:t>
      </w:r>
    </w:p>
    <w:p w14:paraId="006AC968"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multi-level governance perspective also explains why local implementation matters. Hall (2011) shows that tourism policy is shaped by relationships between governments, markets, networks and communities. </w:t>
      </w:r>
      <w:proofErr w:type="spellStart"/>
      <w:r w:rsidRPr="00D93541">
        <w:rPr>
          <w:rFonts w:ascii="Times New Roman" w:hAnsi="Times New Roman" w:cs="Times New Roman"/>
        </w:rPr>
        <w:t>Stoffelen</w:t>
      </w:r>
      <w:proofErr w:type="spellEnd"/>
      <w:r w:rsidRPr="00D93541">
        <w:rPr>
          <w:rFonts w:ascii="Times New Roman" w:hAnsi="Times New Roman" w:cs="Times New Roman"/>
        </w:rPr>
        <w:t xml:space="preserve"> et al. (2017) demonstrate that cross-border tourism cooperation can be hindered by different administrative and institutional structures. Therefore, </w:t>
      </w:r>
      <w:r w:rsidRPr="00D93541">
        <w:rPr>
          <w:rFonts w:ascii="Times New Roman" w:hAnsi="Times New Roman" w:cs="Times New Roman"/>
        </w:rPr>
        <w:lastRenderedPageBreak/>
        <w:t xml:space="preserve">legal </w:t>
      </w:r>
      <w:proofErr w:type="spellStart"/>
      <w:r w:rsidRPr="00D93541">
        <w:rPr>
          <w:rFonts w:ascii="Times New Roman" w:hAnsi="Times New Roman" w:cs="Times New Roman"/>
        </w:rPr>
        <w:t>harmonisation</w:t>
      </w:r>
      <w:proofErr w:type="spellEnd"/>
      <w:r w:rsidRPr="00D93541">
        <w:rPr>
          <w:rFonts w:ascii="Times New Roman" w:hAnsi="Times New Roman" w:cs="Times New Roman"/>
        </w:rPr>
        <w:t xml:space="preserve"> alone is not enough. Authorities need compatible procedures, communication, data sharing and clearly allocated responsibility. For example, a common international passenger rule is more useful when airlines communicate it clearly, national regulators supervise compliance and courts apply the same core principles consistently.</w:t>
      </w:r>
    </w:p>
    <w:p w14:paraId="1BBD52E8" w14:textId="77777777" w:rsidR="00D93541" w:rsidRPr="00D93541" w:rsidRDefault="00D93541" w:rsidP="00D93541">
      <w:pPr>
        <w:rPr>
          <w:rFonts w:ascii="Times New Roman" w:hAnsi="Times New Roman" w:cs="Times New Roman"/>
          <w:sz w:val="36"/>
          <w:szCs w:val="36"/>
        </w:rPr>
      </w:pPr>
      <w:r w:rsidRPr="00D93541">
        <w:rPr>
          <w:rFonts w:ascii="Times New Roman" w:hAnsi="Times New Roman" w:cs="Times New Roman"/>
          <w:b/>
          <w:bCs/>
          <w:sz w:val="36"/>
          <w:szCs w:val="36"/>
        </w:rPr>
        <w:t>5.4 Implications for Tourists, Businesses and Governments</w:t>
      </w:r>
    </w:p>
    <w:p w14:paraId="492243A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For tourists, the main benefit of a coordinated framework is greater predictability. They can travel with stronger expectations about safety, information, liability and assistance. For businesses, common rules can reduce uncertainty and create fairer competition, although compliance costs can increase. For governments, international standards can provide tested models and support cross-border cooperation. The challenge is to avoid both extremes: too little regulation can leave tourists and destinations exposed, while poorly designed regulation can impose complexity without improving outcomes.</w:t>
      </w:r>
    </w:p>
    <w:p w14:paraId="4289696B"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The most effective legal approach is therefore based on complementarity. International conventions should concentrate on problems where cross-border uniformity is genuinely valuable. National laws should provide detailed, accessible enforcement and adapt international duties to the domestic legal system without weakening the core obligation. Regional institutions can </w:t>
      </w:r>
      <w:proofErr w:type="spellStart"/>
      <w:r w:rsidRPr="00D93541">
        <w:rPr>
          <w:rFonts w:ascii="Times New Roman" w:hAnsi="Times New Roman" w:cs="Times New Roman"/>
        </w:rPr>
        <w:t>harmonise</w:t>
      </w:r>
      <w:proofErr w:type="spellEnd"/>
      <w:r w:rsidRPr="00D93541">
        <w:rPr>
          <w:rFonts w:ascii="Times New Roman" w:hAnsi="Times New Roman" w:cs="Times New Roman"/>
        </w:rPr>
        <w:t xml:space="preserve"> markets where travel is highly integrated. UN Tourism can continue to provide a global forum, encourage ethical and sustainable standards, develop legal guidance and help countries strengthen tourism governance. This division of roles respects sovereignty while </w:t>
      </w:r>
      <w:proofErr w:type="spellStart"/>
      <w:r w:rsidRPr="00D93541">
        <w:rPr>
          <w:rFonts w:ascii="Times New Roman" w:hAnsi="Times New Roman" w:cs="Times New Roman"/>
        </w:rPr>
        <w:t>recognising</w:t>
      </w:r>
      <w:proofErr w:type="spellEnd"/>
      <w:r w:rsidRPr="00D93541">
        <w:rPr>
          <w:rFonts w:ascii="Times New Roman" w:hAnsi="Times New Roman" w:cs="Times New Roman"/>
        </w:rPr>
        <w:t xml:space="preserve"> that modern tourism is too international to be regulated successfully by states acting alone.</w:t>
      </w:r>
    </w:p>
    <w:p w14:paraId="2C9DFBA6"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6. Conclusion</w:t>
      </w:r>
    </w:p>
    <w:p w14:paraId="43CBD79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International conventions and national tourism laws work together by performing different but connected roles. International conventions provide common standards for cross-border problems, while national law translates those standards into practical rules, institutions, enforcement procedures and remedies. The Chicago and Montreal Conventions show this relationship in international aviation, where common rules support a global transport system but domestic courts and regulators remain essential. The UNESCO World Heritage Convention shows a similar structure in destination protection: the international community </w:t>
      </w:r>
      <w:proofErr w:type="spellStart"/>
      <w:r w:rsidRPr="00D93541">
        <w:rPr>
          <w:rFonts w:ascii="Times New Roman" w:hAnsi="Times New Roman" w:cs="Times New Roman"/>
        </w:rPr>
        <w:t>recognises</w:t>
      </w:r>
      <w:proofErr w:type="spellEnd"/>
      <w:r w:rsidRPr="00D93541">
        <w:rPr>
          <w:rFonts w:ascii="Times New Roman" w:hAnsi="Times New Roman" w:cs="Times New Roman"/>
        </w:rPr>
        <w:t xml:space="preserve"> shared responsibility, while states retain primary responsibility for legal protection and management within their territories. Regional systems such as European package travel law add another layer by </w:t>
      </w:r>
      <w:proofErr w:type="spellStart"/>
      <w:r w:rsidRPr="00D93541">
        <w:rPr>
          <w:rFonts w:ascii="Times New Roman" w:hAnsi="Times New Roman" w:cs="Times New Roman"/>
        </w:rPr>
        <w:t>harmonising</w:t>
      </w:r>
      <w:proofErr w:type="spellEnd"/>
      <w:r w:rsidRPr="00D93541">
        <w:rPr>
          <w:rFonts w:ascii="Times New Roman" w:hAnsi="Times New Roman" w:cs="Times New Roman"/>
        </w:rPr>
        <w:t xml:space="preserve"> consumer protection across </w:t>
      </w:r>
      <w:proofErr w:type="spellStart"/>
      <w:r w:rsidRPr="00D93541">
        <w:rPr>
          <w:rFonts w:ascii="Times New Roman" w:hAnsi="Times New Roman" w:cs="Times New Roman"/>
        </w:rPr>
        <w:t>neighbouring</w:t>
      </w:r>
      <w:proofErr w:type="spellEnd"/>
      <w:r w:rsidRPr="00D93541">
        <w:rPr>
          <w:rFonts w:ascii="Times New Roman" w:hAnsi="Times New Roman" w:cs="Times New Roman"/>
        </w:rPr>
        <w:t xml:space="preserve"> states.</w:t>
      </w:r>
    </w:p>
    <w:p w14:paraId="7E1B605F"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 Tourism plays an important coordinating and standard-setting role rather than acting as a supranational tourism regulator. Through the Global Code of Ethics for Tourism, the Framework Convention on Tourism Ethics, the International Code for the Protection of Tourists, technical cooperation and policy dialogue, it helps governments and the tourism sector develop common </w:t>
      </w:r>
      <w:r w:rsidRPr="00D93541">
        <w:rPr>
          <w:rFonts w:ascii="Times New Roman" w:hAnsi="Times New Roman" w:cs="Times New Roman"/>
        </w:rPr>
        <w:lastRenderedPageBreak/>
        <w:t>principles and respond to new challenges. Its influence is strongest when states convert shared principles into effective national rules and when businesses understand and apply those standards.</w:t>
      </w:r>
    </w:p>
    <w:p w14:paraId="7B4D218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Overall, cross-border tourism regulation is best understood as a multi-level legal system. No single convention, national statute or international </w:t>
      </w:r>
      <w:proofErr w:type="spellStart"/>
      <w:r w:rsidRPr="00D93541">
        <w:rPr>
          <w:rFonts w:ascii="Times New Roman" w:hAnsi="Times New Roman" w:cs="Times New Roman"/>
        </w:rPr>
        <w:t>organisation</w:t>
      </w:r>
      <w:proofErr w:type="spellEnd"/>
      <w:r w:rsidRPr="00D93541">
        <w:rPr>
          <w:rFonts w:ascii="Times New Roman" w:hAnsi="Times New Roman" w:cs="Times New Roman"/>
        </w:rPr>
        <w:t xml:space="preserve"> can regulate the whole tourism experience. Effective protection depends on the quality of the connections between levels: states must </w:t>
      </w:r>
      <w:proofErr w:type="spellStart"/>
      <w:r w:rsidRPr="00D93541">
        <w:rPr>
          <w:rFonts w:ascii="Times New Roman" w:hAnsi="Times New Roman" w:cs="Times New Roman"/>
        </w:rPr>
        <w:t>honour</w:t>
      </w:r>
      <w:proofErr w:type="spellEnd"/>
      <w:r w:rsidRPr="00D93541">
        <w:rPr>
          <w:rFonts w:ascii="Times New Roman" w:hAnsi="Times New Roman" w:cs="Times New Roman"/>
        </w:rPr>
        <w:t xml:space="preserve"> international commitments, domestic legislation must be clear and enforceable, regional rules should reduce unnecessary differences, and international </w:t>
      </w:r>
      <w:proofErr w:type="spellStart"/>
      <w:r w:rsidRPr="00D93541">
        <w:rPr>
          <w:rFonts w:ascii="Times New Roman" w:hAnsi="Times New Roman" w:cs="Times New Roman"/>
        </w:rPr>
        <w:t>organisations</w:t>
      </w:r>
      <w:proofErr w:type="spellEnd"/>
      <w:r w:rsidRPr="00D93541">
        <w:rPr>
          <w:rFonts w:ascii="Times New Roman" w:hAnsi="Times New Roman" w:cs="Times New Roman"/>
        </w:rPr>
        <w:t xml:space="preserve"> should support cooperation and learning. When these elements work together, the result is greater legal certainty for tourists, clearer responsibilities for businesses and a stronger basis for responsible and sustainable tourism.</w:t>
      </w:r>
    </w:p>
    <w:p w14:paraId="590B61F3"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References</w:t>
      </w:r>
    </w:p>
    <w:p w14:paraId="24B98C8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Abbott, K. W., &amp; Snidal, D. (2000). Hard and soft law in international governance. International Organization, 54(3), 421-456. </w:t>
      </w:r>
      <w:hyperlink r:id="rId6" w:history="1">
        <w:r w:rsidRPr="00D93541">
          <w:rPr>
            <w:rStyle w:val="Hyperlink"/>
            <w:rFonts w:ascii="Times New Roman" w:hAnsi="Times New Roman" w:cs="Times New Roman"/>
          </w:rPr>
          <w:t>https://doi.org/10.1162/002081800551280</w:t>
        </w:r>
      </w:hyperlink>
    </w:p>
    <w:p w14:paraId="7D5019E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Arafah, A. R., </w:t>
      </w:r>
      <w:proofErr w:type="spellStart"/>
      <w:r w:rsidRPr="00D93541">
        <w:rPr>
          <w:rFonts w:ascii="Times New Roman" w:hAnsi="Times New Roman" w:cs="Times New Roman"/>
        </w:rPr>
        <w:t>Putro</w:t>
      </w:r>
      <w:proofErr w:type="spellEnd"/>
      <w:r w:rsidRPr="00D93541">
        <w:rPr>
          <w:rFonts w:ascii="Times New Roman" w:hAnsi="Times New Roman" w:cs="Times New Roman"/>
        </w:rPr>
        <w:t xml:space="preserve">, Y. M., Bais, A. N., Solita, S., &amp; Prakasa, S. U. W. (2024). Voyage rights in review: Indonesian tourism and aviation legislation. Cogent Social Sciences, 10(1), 2333980. </w:t>
      </w:r>
      <w:hyperlink r:id="rId7" w:history="1">
        <w:r w:rsidRPr="00D93541">
          <w:rPr>
            <w:rStyle w:val="Hyperlink"/>
            <w:rFonts w:ascii="Times New Roman" w:hAnsi="Times New Roman" w:cs="Times New Roman"/>
          </w:rPr>
          <w:t>https://doi.org/10.1080/23311886.2024.2333980</w:t>
        </w:r>
      </w:hyperlink>
    </w:p>
    <w:p w14:paraId="04FEF2D0"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European Parliament &amp; Council of the European Union. (2015). Directive (EU) 2015/2302 on package travel and linked travel arrangements. </w:t>
      </w:r>
      <w:hyperlink r:id="rId8" w:history="1">
        <w:r w:rsidRPr="00D93541">
          <w:rPr>
            <w:rStyle w:val="Hyperlink"/>
            <w:rFonts w:ascii="Times New Roman" w:hAnsi="Times New Roman" w:cs="Times New Roman"/>
          </w:rPr>
          <w:t>https://eur-lex.europa.eu/eli/dir/2015/2302/oj</w:t>
        </w:r>
      </w:hyperlink>
    </w:p>
    <w:p w14:paraId="43B5D015"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Hall, C. M. (2011). A typology of governance and its implications for tourism policy analysis. Journal of Sustainable Tourism, 19(4-5), 437-457. </w:t>
      </w:r>
      <w:hyperlink r:id="rId9" w:history="1">
        <w:r w:rsidRPr="00D93541">
          <w:rPr>
            <w:rStyle w:val="Hyperlink"/>
            <w:rFonts w:ascii="Times New Roman" w:hAnsi="Times New Roman" w:cs="Times New Roman"/>
          </w:rPr>
          <w:t>https://doi.org/10.1080/09669582.2011.570346</w:t>
        </w:r>
      </w:hyperlink>
    </w:p>
    <w:p w14:paraId="30FC8A26"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International Civil Aviation Organization. (1944). Convention on International Civil Aviation (Chicago Convention). </w:t>
      </w:r>
      <w:hyperlink r:id="rId10" w:history="1">
        <w:r w:rsidRPr="00D93541">
          <w:rPr>
            <w:rStyle w:val="Hyperlink"/>
            <w:rFonts w:ascii="Times New Roman" w:hAnsi="Times New Roman" w:cs="Times New Roman"/>
          </w:rPr>
          <w:t>https://www.icao.int/publications/Documents/7300_orig.pdf</w:t>
        </w:r>
      </w:hyperlink>
    </w:p>
    <w:p w14:paraId="634CA97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International Civil Aviation Organization. (1999). Convention for the Unification of Certain Rules for International Carriage by Air (Montreal Convention). </w:t>
      </w:r>
      <w:hyperlink r:id="rId11" w:history="1">
        <w:r w:rsidRPr="00D93541">
          <w:rPr>
            <w:rStyle w:val="Hyperlink"/>
            <w:rFonts w:ascii="Times New Roman" w:hAnsi="Times New Roman" w:cs="Times New Roman"/>
          </w:rPr>
          <w:t>https://www.icao.int/sites/default/files/inline-files/mtl99_en.pdf</w:t>
        </w:r>
      </w:hyperlink>
    </w:p>
    <w:p w14:paraId="0F0D6BD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International Civil Aviation Organization. (n.d.). Consumer protection. </w:t>
      </w:r>
      <w:hyperlink r:id="rId12" w:history="1">
        <w:r w:rsidRPr="00D93541">
          <w:rPr>
            <w:rStyle w:val="Hyperlink"/>
            <w:rFonts w:ascii="Times New Roman" w:hAnsi="Times New Roman" w:cs="Times New Roman"/>
          </w:rPr>
          <w:t>https://www.icao.int/consumer-protection</w:t>
        </w:r>
      </w:hyperlink>
    </w:p>
    <w:p w14:paraId="10EF8A8D"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Sarangan, B., </w:t>
      </w:r>
      <w:proofErr w:type="spellStart"/>
      <w:r w:rsidRPr="00D93541">
        <w:rPr>
          <w:rFonts w:ascii="Times New Roman" w:hAnsi="Times New Roman" w:cs="Times New Roman"/>
        </w:rPr>
        <w:t>Hewege</w:t>
      </w:r>
      <w:proofErr w:type="spellEnd"/>
      <w:r w:rsidRPr="00D93541">
        <w:rPr>
          <w:rFonts w:ascii="Times New Roman" w:hAnsi="Times New Roman" w:cs="Times New Roman"/>
        </w:rPr>
        <w:t xml:space="preserve">, C. R., &amp; Perera, C. R. (2022). Fifty years of evolutionary trajectory of tourism industry regulations: A systematic literature review. Asia Pacific Journal of Tourism Research, 27(8), 781-806. </w:t>
      </w:r>
      <w:hyperlink r:id="rId13" w:history="1">
        <w:r w:rsidRPr="00D93541">
          <w:rPr>
            <w:rStyle w:val="Hyperlink"/>
            <w:rFonts w:ascii="Times New Roman" w:hAnsi="Times New Roman" w:cs="Times New Roman"/>
          </w:rPr>
          <w:t>https://doi.org/10.1080/10941665.2022.2119876</w:t>
        </w:r>
      </w:hyperlink>
    </w:p>
    <w:p w14:paraId="50A2FC78" w14:textId="77777777" w:rsidR="00D93541" w:rsidRPr="00D93541" w:rsidRDefault="00D93541" w:rsidP="00D93541">
      <w:pPr>
        <w:rPr>
          <w:rFonts w:ascii="Times New Roman" w:hAnsi="Times New Roman" w:cs="Times New Roman"/>
        </w:rPr>
      </w:pPr>
      <w:proofErr w:type="spellStart"/>
      <w:r w:rsidRPr="00D93541">
        <w:rPr>
          <w:rFonts w:ascii="Times New Roman" w:hAnsi="Times New Roman" w:cs="Times New Roman"/>
        </w:rPr>
        <w:lastRenderedPageBreak/>
        <w:t>Stoffelen</w:t>
      </w:r>
      <w:proofErr w:type="spellEnd"/>
      <w:r w:rsidRPr="00D93541">
        <w:rPr>
          <w:rFonts w:ascii="Times New Roman" w:hAnsi="Times New Roman" w:cs="Times New Roman"/>
        </w:rPr>
        <w:t xml:space="preserve">, A., Ioannides, D., &amp; Vanneste, D. (2017). Obstacles to achieving cross-border tourism governance: A multi-scalar approach focusing on the German-Czech borderlands. Annals of Tourism Research, 64, 126-138. </w:t>
      </w:r>
      <w:hyperlink r:id="rId14" w:history="1">
        <w:r w:rsidRPr="00D93541">
          <w:rPr>
            <w:rStyle w:val="Hyperlink"/>
            <w:rFonts w:ascii="Times New Roman" w:hAnsi="Times New Roman" w:cs="Times New Roman"/>
          </w:rPr>
          <w:t>https://doi.org/10.1016/j.annals.2017.03.003</w:t>
        </w:r>
      </w:hyperlink>
    </w:p>
    <w:p w14:paraId="17BC58BE"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 Tourism. (2018). Private sector commits to the UNWTO Global Code of Ethics for Tourism at FITUR. </w:t>
      </w:r>
      <w:hyperlink r:id="rId15" w:history="1">
        <w:r w:rsidRPr="00D93541">
          <w:rPr>
            <w:rStyle w:val="Hyperlink"/>
            <w:rFonts w:ascii="Times New Roman" w:hAnsi="Times New Roman" w:cs="Times New Roman"/>
          </w:rPr>
          <w:t>https://www.unwto.org/global/press-release/2018-01-23/private-sector-commits-unwto-global-code-ethics-tourism-fitur</w:t>
        </w:r>
      </w:hyperlink>
    </w:p>
    <w:p w14:paraId="2FA54000"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 Tourism. (2019). Framework Convention on Tourism Ethics. </w:t>
      </w:r>
      <w:hyperlink r:id="rId16" w:history="1">
        <w:r w:rsidRPr="00D93541">
          <w:rPr>
            <w:rStyle w:val="Hyperlink"/>
            <w:rFonts w:ascii="Times New Roman" w:hAnsi="Times New Roman" w:cs="Times New Roman"/>
          </w:rPr>
          <w:t>https://www.unwto.org/node?o=%2F&amp;page=196</w:t>
        </w:r>
      </w:hyperlink>
    </w:p>
    <w:p w14:paraId="719504B5"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UNWTO. (2020). Advancing an International Code for Protection of Tourists. </w:t>
      </w:r>
      <w:hyperlink r:id="rId17" w:history="1">
        <w:r w:rsidRPr="00D93541">
          <w:rPr>
            <w:rStyle w:val="Hyperlink"/>
            <w:rFonts w:ascii="Times New Roman" w:hAnsi="Times New Roman" w:cs="Times New Roman"/>
          </w:rPr>
          <w:t>https://www.unwto.org/news/advancing-an-international-code-for-protection-of-tourists</w:t>
        </w:r>
      </w:hyperlink>
    </w:p>
    <w:p w14:paraId="7CE2833E"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UNWTO. (2021). 24th General Assembly: International Code for the Protection of Tourists. </w:t>
      </w:r>
      <w:hyperlink r:id="rId18" w:history="1">
        <w:r w:rsidRPr="00D93541">
          <w:rPr>
            <w:rStyle w:val="Hyperlink"/>
            <w:rFonts w:ascii="Times New Roman" w:hAnsi="Times New Roman" w:cs="Times New Roman"/>
          </w:rPr>
          <w:t>https://www.unwto.org/news/24th-general-assembly-to-put-innovation-and-education-at-heart-of-tourism-s-restart</w:t>
        </w:r>
      </w:hyperlink>
    </w:p>
    <w:p w14:paraId="18D1EC85"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United Kingdom. (2018). The Package Travel and Linked Travel Arrangements Regulations 2018 (SI 2018/634). </w:t>
      </w:r>
      <w:hyperlink r:id="rId19" w:history="1">
        <w:r w:rsidRPr="00D93541">
          <w:rPr>
            <w:rStyle w:val="Hyperlink"/>
            <w:rFonts w:ascii="Times New Roman" w:hAnsi="Times New Roman" w:cs="Times New Roman"/>
          </w:rPr>
          <w:t>https://www.legislation.gov.uk/uksi/2018/634/contents</w:t>
        </w:r>
      </w:hyperlink>
    </w:p>
    <w:p w14:paraId="486B5BB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United Nations. (1969). Vienna Convention on the Law of Treaties. </w:t>
      </w:r>
      <w:hyperlink r:id="rId20" w:history="1">
        <w:r w:rsidRPr="00D93541">
          <w:rPr>
            <w:rStyle w:val="Hyperlink"/>
            <w:rFonts w:ascii="Times New Roman" w:hAnsi="Times New Roman" w:cs="Times New Roman"/>
          </w:rPr>
          <w:t>https://legal.un.org/ilc/texts/instruments/english/conventions/1_1_1969.pdf</w:t>
        </w:r>
      </w:hyperlink>
    </w:p>
    <w:p w14:paraId="59A98A0A"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United Nations. (2025). Report of the World Tourism Organization (UN Tourism) to the United Nations General Assembly (A/80/259). </w:t>
      </w:r>
      <w:hyperlink r:id="rId21" w:history="1">
        <w:r w:rsidRPr="00D93541">
          <w:rPr>
            <w:rStyle w:val="Hyperlink"/>
            <w:rFonts w:ascii="Times New Roman" w:hAnsi="Times New Roman" w:cs="Times New Roman"/>
          </w:rPr>
          <w:t>https://digitallibrary.un.org/record/4087164</w:t>
        </w:r>
      </w:hyperlink>
    </w:p>
    <w:p w14:paraId="58217B5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 xml:space="preserve">UNESCO. (1972). Convention concerning the Protection of the World Cultural and Natural Heritage. </w:t>
      </w:r>
      <w:hyperlink r:id="rId22" w:history="1">
        <w:r w:rsidRPr="00D93541">
          <w:rPr>
            <w:rStyle w:val="Hyperlink"/>
            <w:rFonts w:ascii="Times New Roman" w:hAnsi="Times New Roman" w:cs="Times New Roman"/>
          </w:rPr>
          <w:t>https://whc.unesco.org/en/conventiontext/</w:t>
        </w:r>
      </w:hyperlink>
    </w:p>
    <w:p w14:paraId="1784E2E4" w14:textId="77777777" w:rsidR="00D93541" w:rsidRPr="00D93541" w:rsidRDefault="00D93541" w:rsidP="00D93541">
      <w:pPr>
        <w:rPr>
          <w:rFonts w:ascii="Times New Roman" w:hAnsi="Times New Roman" w:cs="Times New Roman"/>
          <w:sz w:val="48"/>
          <w:szCs w:val="48"/>
        </w:rPr>
      </w:pPr>
      <w:r w:rsidRPr="00D93541">
        <w:rPr>
          <w:rFonts w:ascii="Times New Roman" w:hAnsi="Times New Roman" w:cs="Times New Roman"/>
          <w:b/>
          <w:bCs/>
          <w:sz w:val="48"/>
          <w:szCs w:val="48"/>
        </w:rPr>
        <w:t>Appendix A: Summary of Key Legal Instruments</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1799"/>
        <w:gridCol w:w="1655"/>
        <w:gridCol w:w="2948"/>
        <w:gridCol w:w="2948"/>
      </w:tblGrid>
      <w:tr w:rsidR="00D93541" w:rsidRPr="00D93541" w14:paraId="171DE6C2" w14:textId="77777777">
        <w:tc>
          <w:tcPr>
            <w:tcW w:w="1800" w:type="dxa"/>
            <w:tcBorders>
              <w:top w:val="single" w:sz="4" w:space="0" w:color="000000"/>
              <w:left w:val="single" w:sz="4" w:space="0" w:color="000000"/>
              <w:bottom w:val="single" w:sz="4" w:space="0" w:color="000000"/>
              <w:right w:val="single" w:sz="4" w:space="0" w:color="000000"/>
            </w:tcBorders>
            <w:hideMark/>
          </w:tcPr>
          <w:p w14:paraId="60010018" w14:textId="77777777" w:rsidR="00D93541" w:rsidRPr="00D93541" w:rsidRDefault="00D93541" w:rsidP="00D93541">
            <w:pPr>
              <w:rPr>
                <w:rFonts w:ascii="Times New Roman" w:hAnsi="Times New Roman" w:cs="Times New Roman"/>
              </w:rPr>
            </w:pPr>
            <w:r w:rsidRPr="00D93541">
              <w:rPr>
                <w:rFonts w:ascii="Times New Roman" w:hAnsi="Times New Roman" w:cs="Times New Roman"/>
                <w:b/>
                <w:bCs/>
              </w:rPr>
              <w:t>Instrument</w:t>
            </w:r>
          </w:p>
        </w:tc>
        <w:tc>
          <w:tcPr>
            <w:tcW w:w="1656" w:type="dxa"/>
            <w:tcBorders>
              <w:top w:val="single" w:sz="4" w:space="0" w:color="000000"/>
              <w:left w:val="single" w:sz="4" w:space="0" w:color="000000"/>
              <w:bottom w:val="single" w:sz="4" w:space="0" w:color="000000"/>
              <w:right w:val="single" w:sz="4" w:space="0" w:color="000000"/>
            </w:tcBorders>
            <w:hideMark/>
          </w:tcPr>
          <w:p w14:paraId="216D8C8F" w14:textId="77777777" w:rsidR="00D93541" w:rsidRPr="00D93541" w:rsidRDefault="00D93541" w:rsidP="00D93541">
            <w:pPr>
              <w:rPr>
                <w:rFonts w:ascii="Times New Roman" w:hAnsi="Times New Roman" w:cs="Times New Roman"/>
              </w:rPr>
            </w:pPr>
            <w:r w:rsidRPr="00D93541">
              <w:rPr>
                <w:rFonts w:ascii="Times New Roman" w:hAnsi="Times New Roman" w:cs="Times New Roman"/>
                <w:b/>
                <w:bCs/>
              </w:rPr>
              <w:t>Main Area</w:t>
            </w:r>
          </w:p>
        </w:tc>
        <w:tc>
          <w:tcPr>
            <w:tcW w:w="2952" w:type="dxa"/>
            <w:tcBorders>
              <w:top w:val="single" w:sz="4" w:space="0" w:color="000000"/>
              <w:left w:val="single" w:sz="4" w:space="0" w:color="000000"/>
              <w:bottom w:val="single" w:sz="4" w:space="0" w:color="000000"/>
              <w:right w:val="single" w:sz="4" w:space="0" w:color="000000"/>
            </w:tcBorders>
            <w:hideMark/>
          </w:tcPr>
          <w:p w14:paraId="02B61CC0" w14:textId="77777777" w:rsidR="00D93541" w:rsidRPr="00D93541" w:rsidRDefault="00D93541" w:rsidP="00D93541">
            <w:pPr>
              <w:rPr>
                <w:rFonts w:ascii="Times New Roman" w:hAnsi="Times New Roman" w:cs="Times New Roman"/>
              </w:rPr>
            </w:pPr>
            <w:r w:rsidRPr="00D93541">
              <w:rPr>
                <w:rFonts w:ascii="Times New Roman" w:hAnsi="Times New Roman" w:cs="Times New Roman"/>
                <w:b/>
                <w:bCs/>
              </w:rPr>
              <w:t>International Function</w:t>
            </w:r>
          </w:p>
        </w:tc>
        <w:tc>
          <w:tcPr>
            <w:tcW w:w="2952" w:type="dxa"/>
            <w:tcBorders>
              <w:top w:val="single" w:sz="4" w:space="0" w:color="000000"/>
              <w:left w:val="single" w:sz="4" w:space="0" w:color="000000"/>
              <w:bottom w:val="single" w:sz="4" w:space="0" w:color="000000"/>
              <w:right w:val="single" w:sz="4" w:space="0" w:color="000000"/>
            </w:tcBorders>
            <w:hideMark/>
          </w:tcPr>
          <w:p w14:paraId="1F799A37" w14:textId="77777777" w:rsidR="00D93541" w:rsidRPr="00D93541" w:rsidRDefault="00D93541" w:rsidP="00D93541">
            <w:pPr>
              <w:rPr>
                <w:rFonts w:ascii="Times New Roman" w:hAnsi="Times New Roman" w:cs="Times New Roman"/>
              </w:rPr>
            </w:pPr>
            <w:r w:rsidRPr="00D93541">
              <w:rPr>
                <w:rFonts w:ascii="Times New Roman" w:hAnsi="Times New Roman" w:cs="Times New Roman"/>
                <w:b/>
                <w:bCs/>
              </w:rPr>
              <w:t>National Function</w:t>
            </w:r>
          </w:p>
        </w:tc>
      </w:tr>
      <w:tr w:rsidR="00D93541" w:rsidRPr="00D93541" w14:paraId="6A0D517D" w14:textId="77777777">
        <w:tc>
          <w:tcPr>
            <w:tcW w:w="1800" w:type="dxa"/>
            <w:tcBorders>
              <w:top w:val="single" w:sz="4" w:space="0" w:color="000000"/>
              <w:left w:val="single" w:sz="4" w:space="0" w:color="000000"/>
              <w:bottom w:val="single" w:sz="4" w:space="0" w:color="000000"/>
              <w:right w:val="single" w:sz="4" w:space="0" w:color="000000"/>
            </w:tcBorders>
            <w:hideMark/>
          </w:tcPr>
          <w:p w14:paraId="712A627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Vienna Convention on the Law of Treaties (1969)</w:t>
            </w:r>
          </w:p>
        </w:tc>
        <w:tc>
          <w:tcPr>
            <w:tcW w:w="1656" w:type="dxa"/>
            <w:tcBorders>
              <w:top w:val="single" w:sz="4" w:space="0" w:color="000000"/>
              <w:left w:val="single" w:sz="4" w:space="0" w:color="000000"/>
              <w:bottom w:val="single" w:sz="4" w:space="0" w:color="000000"/>
              <w:right w:val="single" w:sz="4" w:space="0" w:color="000000"/>
            </w:tcBorders>
            <w:hideMark/>
          </w:tcPr>
          <w:p w14:paraId="0211303A"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General treaty law</w:t>
            </w:r>
          </w:p>
        </w:tc>
        <w:tc>
          <w:tcPr>
            <w:tcW w:w="2952" w:type="dxa"/>
            <w:tcBorders>
              <w:top w:val="single" w:sz="4" w:space="0" w:color="000000"/>
              <w:left w:val="single" w:sz="4" w:space="0" w:color="000000"/>
              <w:bottom w:val="single" w:sz="4" w:space="0" w:color="000000"/>
              <w:right w:val="single" w:sz="4" w:space="0" w:color="000000"/>
            </w:tcBorders>
            <w:hideMark/>
          </w:tcPr>
          <w:p w14:paraId="6873DA3D"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Explains that treaties in force bind parties and should be performed in good faith.</w:t>
            </w:r>
          </w:p>
        </w:tc>
        <w:tc>
          <w:tcPr>
            <w:tcW w:w="2952" w:type="dxa"/>
            <w:tcBorders>
              <w:top w:val="single" w:sz="4" w:space="0" w:color="000000"/>
              <w:left w:val="single" w:sz="4" w:space="0" w:color="000000"/>
              <w:bottom w:val="single" w:sz="4" w:space="0" w:color="000000"/>
              <w:right w:val="single" w:sz="4" w:space="0" w:color="000000"/>
            </w:tcBorders>
            <w:hideMark/>
          </w:tcPr>
          <w:p w14:paraId="3F8846B5"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States align conduct and domestic rules with treaty obligations.</w:t>
            </w:r>
          </w:p>
        </w:tc>
      </w:tr>
      <w:tr w:rsidR="00D93541" w:rsidRPr="00D93541" w14:paraId="77516352" w14:textId="77777777">
        <w:tc>
          <w:tcPr>
            <w:tcW w:w="1800" w:type="dxa"/>
            <w:tcBorders>
              <w:top w:val="single" w:sz="4" w:space="0" w:color="000000"/>
              <w:left w:val="single" w:sz="4" w:space="0" w:color="000000"/>
              <w:bottom w:val="single" w:sz="4" w:space="0" w:color="000000"/>
              <w:right w:val="single" w:sz="4" w:space="0" w:color="000000"/>
            </w:tcBorders>
            <w:hideMark/>
          </w:tcPr>
          <w:p w14:paraId="1BFC0A0B"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Chicago Convention (1944)</w:t>
            </w:r>
          </w:p>
        </w:tc>
        <w:tc>
          <w:tcPr>
            <w:tcW w:w="1656" w:type="dxa"/>
            <w:tcBorders>
              <w:top w:val="single" w:sz="4" w:space="0" w:color="000000"/>
              <w:left w:val="single" w:sz="4" w:space="0" w:color="000000"/>
              <w:bottom w:val="single" w:sz="4" w:space="0" w:color="000000"/>
              <w:right w:val="single" w:sz="4" w:space="0" w:color="000000"/>
            </w:tcBorders>
            <w:hideMark/>
          </w:tcPr>
          <w:p w14:paraId="2F1A157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International civil aviation</w:t>
            </w:r>
          </w:p>
        </w:tc>
        <w:tc>
          <w:tcPr>
            <w:tcW w:w="2952" w:type="dxa"/>
            <w:tcBorders>
              <w:top w:val="single" w:sz="4" w:space="0" w:color="000000"/>
              <w:left w:val="single" w:sz="4" w:space="0" w:color="000000"/>
              <w:bottom w:val="single" w:sz="4" w:space="0" w:color="000000"/>
              <w:right w:val="single" w:sz="4" w:space="0" w:color="000000"/>
            </w:tcBorders>
            <w:hideMark/>
          </w:tcPr>
          <w:p w14:paraId="16B695C1"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Creates core principles for international aviation and establishes ICAO.</w:t>
            </w:r>
          </w:p>
        </w:tc>
        <w:tc>
          <w:tcPr>
            <w:tcW w:w="2952" w:type="dxa"/>
            <w:tcBorders>
              <w:top w:val="single" w:sz="4" w:space="0" w:color="000000"/>
              <w:left w:val="single" w:sz="4" w:space="0" w:color="000000"/>
              <w:bottom w:val="single" w:sz="4" w:space="0" w:color="000000"/>
              <w:right w:val="single" w:sz="4" w:space="0" w:color="000000"/>
            </w:tcBorders>
            <w:hideMark/>
          </w:tcPr>
          <w:p w14:paraId="759BDBEF"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National aviation authorities apply standards and regulate operators.</w:t>
            </w:r>
          </w:p>
        </w:tc>
      </w:tr>
      <w:tr w:rsidR="00D93541" w:rsidRPr="00D93541" w14:paraId="1D79A6F1" w14:textId="77777777">
        <w:tc>
          <w:tcPr>
            <w:tcW w:w="1800" w:type="dxa"/>
            <w:tcBorders>
              <w:top w:val="single" w:sz="4" w:space="0" w:color="000000"/>
              <w:left w:val="single" w:sz="4" w:space="0" w:color="000000"/>
              <w:bottom w:val="single" w:sz="4" w:space="0" w:color="000000"/>
              <w:right w:val="single" w:sz="4" w:space="0" w:color="000000"/>
            </w:tcBorders>
            <w:hideMark/>
          </w:tcPr>
          <w:p w14:paraId="085C389A"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lastRenderedPageBreak/>
              <w:t>Montreal Convention (1999)</w:t>
            </w:r>
          </w:p>
        </w:tc>
        <w:tc>
          <w:tcPr>
            <w:tcW w:w="1656" w:type="dxa"/>
            <w:tcBorders>
              <w:top w:val="single" w:sz="4" w:space="0" w:color="000000"/>
              <w:left w:val="single" w:sz="4" w:space="0" w:color="000000"/>
              <w:bottom w:val="single" w:sz="4" w:space="0" w:color="000000"/>
              <w:right w:val="single" w:sz="4" w:space="0" w:color="000000"/>
            </w:tcBorders>
            <w:hideMark/>
          </w:tcPr>
          <w:p w14:paraId="54F43081"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Air-carrier liability</w:t>
            </w:r>
          </w:p>
        </w:tc>
        <w:tc>
          <w:tcPr>
            <w:tcW w:w="2952" w:type="dxa"/>
            <w:tcBorders>
              <w:top w:val="single" w:sz="4" w:space="0" w:color="000000"/>
              <w:left w:val="single" w:sz="4" w:space="0" w:color="000000"/>
              <w:bottom w:val="single" w:sz="4" w:space="0" w:color="000000"/>
              <w:right w:val="single" w:sz="4" w:space="0" w:color="000000"/>
            </w:tcBorders>
            <w:hideMark/>
          </w:tcPr>
          <w:p w14:paraId="36F5A66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Creates uniform rules for international passenger, baggage and delay claims.</w:t>
            </w:r>
          </w:p>
        </w:tc>
        <w:tc>
          <w:tcPr>
            <w:tcW w:w="2952" w:type="dxa"/>
            <w:tcBorders>
              <w:top w:val="single" w:sz="4" w:space="0" w:color="000000"/>
              <w:left w:val="single" w:sz="4" w:space="0" w:color="000000"/>
              <w:bottom w:val="single" w:sz="4" w:space="0" w:color="000000"/>
              <w:right w:val="single" w:sz="4" w:space="0" w:color="000000"/>
            </w:tcBorders>
            <w:hideMark/>
          </w:tcPr>
          <w:p w14:paraId="08FE43BF"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Domestic courts and procedures enforce applicable rights.</w:t>
            </w:r>
          </w:p>
        </w:tc>
      </w:tr>
      <w:tr w:rsidR="00D93541" w:rsidRPr="00D93541" w14:paraId="095E5141" w14:textId="77777777">
        <w:tc>
          <w:tcPr>
            <w:tcW w:w="1800" w:type="dxa"/>
            <w:tcBorders>
              <w:top w:val="single" w:sz="4" w:space="0" w:color="000000"/>
              <w:left w:val="single" w:sz="4" w:space="0" w:color="000000"/>
              <w:bottom w:val="single" w:sz="4" w:space="0" w:color="000000"/>
              <w:right w:val="single" w:sz="4" w:space="0" w:color="000000"/>
            </w:tcBorders>
            <w:hideMark/>
          </w:tcPr>
          <w:p w14:paraId="5F063A00"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World Heritage Convention (1972)</w:t>
            </w:r>
          </w:p>
        </w:tc>
        <w:tc>
          <w:tcPr>
            <w:tcW w:w="1656" w:type="dxa"/>
            <w:tcBorders>
              <w:top w:val="single" w:sz="4" w:space="0" w:color="000000"/>
              <w:left w:val="single" w:sz="4" w:space="0" w:color="000000"/>
              <w:bottom w:val="single" w:sz="4" w:space="0" w:color="000000"/>
              <w:right w:val="single" w:sz="4" w:space="0" w:color="000000"/>
            </w:tcBorders>
            <w:hideMark/>
          </w:tcPr>
          <w:p w14:paraId="0CEBF2A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Cultural and natural heritage</w:t>
            </w:r>
          </w:p>
        </w:tc>
        <w:tc>
          <w:tcPr>
            <w:tcW w:w="2952" w:type="dxa"/>
            <w:tcBorders>
              <w:top w:val="single" w:sz="4" w:space="0" w:color="000000"/>
              <w:left w:val="single" w:sz="4" w:space="0" w:color="000000"/>
              <w:bottom w:val="single" w:sz="4" w:space="0" w:color="000000"/>
              <w:right w:val="single" w:sz="4" w:space="0" w:color="000000"/>
            </w:tcBorders>
            <w:hideMark/>
          </w:tcPr>
          <w:p w14:paraId="52C8FD02"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Creates international cooperation for protection of heritage of outstanding universal value.</w:t>
            </w:r>
          </w:p>
        </w:tc>
        <w:tc>
          <w:tcPr>
            <w:tcW w:w="2952" w:type="dxa"/>
            <w:tcBorders>
              <w:top w:val="single" w:sz="4" w:space="0" w:color="000000"/>
              <w:left w:val="single" w:sz="4" w:space="0" w:color="000000"/>
              <w:bottom w:val="single" w:sz="4" w:space="0" w:color="000000"/>
              <w:right w:val="single" w:sz="4" w:space="0" w:color="000000"/>
            </w:tcBorders>
            <w:hideMark/>
          </w:tcPr>
          <w:p w14:paraId="039F17BD"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States use planning, conservation and site-management law.</w:t>
            </w:r>
          </w:p>
        </w:tc>
      </w:tr>
      <w:tr w:rsidR="00D93541" w:rsidRPr="00D93541" w14:paraId="509EA68A" w14:textId="77777777">
        <w:tc>
          <w:tcPr>
            <w:tcW w:w="1800" w:type="dxa"/>
            <w:tcBorders>
              <w:top w:val="single" w:sz="4" w:space="0" w:color="000000"/>
              <w:left w:val="single" w:sz="4" w:space="0" w:color="000000"/>
              <w:bottom w:val="single" w:sz="4" w:space="0" w:color="000000"/>
              <w:right w:val="single" w:sz="4" w:space="0" w:color="000000"/>
            </w:tcBorders>
            <w:hideMark/>
          </w:tcPr>
          <w:p w14:paraId="025FE8CF"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EU Package Travel Directive (2015)</w:t>
            </w:r>
          </w:p>
        </w:tc>
        <w:tc>
          <w:tcPr>
            <w:tcW w:w="1656" w:type="dxa"/>
            <w:tcBorders>
              <w:top w:val="single" w:sz="4" w:space="0" w:color="000000"/>
              <w:left w:val="single" w:sz="4" w:space="0" w:color="000000"/>
              <w:bottom w:val="single" w:sz="4" w:space="0" w:color="000000"/>
              <w:right w:val="single" w:sz="4" w:space="0" w:color="000000"/>
            </w:tcBorders>
            <w:hideMark/>
          </w:tcPr>
          <w:p w14:paraId="3472F78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Consumer protection</w:t>
            </w:r>
          </w:p>
        </w:tc>
        <w:tc>
          <w:tcPr>
            <w:tcW w:w="2952" w:type="dxa"/>
            <w:tcBorders>
              <w:top w:val="single" w:sz="4" w:space="0" w:color="000000"/>
              <w:left w:val="single" w:sz="4" w:space="0" w:color="000000"/>
              <w:bottom w:val="single" w:sz="4" w:space="0" w:color="000000"/>
              <w:right w:val="single" w:sz="4" w:space="0" w:color="000000"/>
            </w:tcBorders>
            <w:hideMark/>
          </w:tcPr>
          <w:p w14:paraId="398F0E4D" w14:textId="77777777" w:rsidR="00D93541" w:rsidRPr="00D93541" w:rsidRDefault="00D93541" w:rsidP="00D93541">
            <w:pPr>
              <w:rPr>
                <w:rFonts w:ascii="Times New Roman" w:hAnsi="Times New Roman" w:cs="Times New Roman"/>
              </w:rPr>
            </w:pPr>
            <w:proofErr w:type="spellStart"/>
            <w:r w:rsidRPr="00D93541">
              <w:rPr>
                <w:rFonts w:ascii="Times New Roman" w:hAnsi="Times New Roman" w:cs="Times New Roman"/>
              </w:rPr>
              <w:t>Harmonises</w:t>
            </w:r>
            <w:proofErr w:type="spellEnd"/>
            <w:r w:rsidRPr="00D93541">
              <w:rPr>
                <w:rFonts w:ascii="Times New Roman" w:hAnsi="Times New Roman" w:cs="Times New Roman"/>
              </w:rPr>
              <w:t xml:space="preserve"> important package-travel rights across EU Member States.</w:t>
            </w:r>
          </w:p>
        </w:tc>
        <w:tc>
          <w:tcPr>
            <w:tcW w:w="2952" w:type="dxa"/>
            <w:tcBorders>
              <w:top w:val="single" w:sz="4" w:space="0" w:color="000000"/>
              <w:left w:val="single" w:sz="4" w:space="0" w:color="000000"/>
              <w:bottom w:val="single" w:sz="4" w:space="0" w:color="000000"/>
              <w:right w:val="single" w:sz="4" w:space="0" w:color="000000"/>
            </w:tcBorders>
            <w:hideMark/>
          </w:tcPr>
          <w:p w14:paraId="40246E0C"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Member States transpose and enforce requirements nationally.</w:t>
            </w:r>
          </w:p>
        </w:tc>
      </w:tr>
      <w:tr w:rsidR="00D93541" w:rsidRPr="00D93541" w14:paraId="0DF87F34" w14:textId="77777777">
        <w:tc>
          <w:tcPr>
            <w:tcW w:w="1800" w:type="dxa"/>
            <w:tcBorders>
              <w:top w:val="single" w:sz="4" w:space="0" w:color="000000"/>
              <w:left w:val="single" w:sz="4" w:space="0" w:color="000000"/>
              <w:bottom w:val="single" w:sz="4" w:space="0" w:color="000000"/>
              <w:right w:val="single" w:sz="4" w:space="0" w:color="000000"/>
            </w:tcBorders>
            <w:hideMark/>
          </w:tcPr>
          <w:p w14:paraId="7167D059"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UN Tourism ethics and tourist-protection instruments</w:t>
            </w:r>
          </w:p>
        </w:tc>
        <w:tc>
          <w:tcPr>
            <w:tcW w:w="1656" w:type="dxa"/>
            <w:tcBorders>
              <w:top w:val="single" w:sz="4" w:space="0" w:color="000000"/>
              <w:left w:val="single" w:sz="4" w:space="0" w:color="000000"/>
              <w:bottom w:val="single" w:sz="4" w:space="0" w:color="000000"/>
              <w:right w:val="single" w:sz="4" w:space="0" w:color="000000"/>
            </w:tcBorders>
            <w:hideMark/>
          </w:tcPr>
          <w:p w14:paraId="36B0ECD4"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Tourism governance</w:t>
            </w:r>
          </w:p>
        </w:tc>
        <w:tc>
          <w:tcPr>
            <w:tcW w:w="2952" w:type="dxa"/>
            <w:tcBorders>
              <w:top w:val="single" w:sz="4" w:space="0" w:color="000000"/>
              <w:left w:val="single" w:sz="4" w:space="0" w:color="000000"/>
              <w:bottom w:val="single" w:sz="4" w:space="0" w:color="000000"/>
              <w:right w:val="single" w:sz="4" w:space="0" w:color="000000"/>
            </w:tcBorders>
            <w:hideMark/>
          </w:tcPr>
          <w:p w14:paraId="3C7A5CA7"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Develop shared principles, ethics and minimum approaches to tourist protection.</w:t>
            </w:r>
          </w:p>
        </w:tc>
        <w:tc>
          <w:tcPr>
            <w:tcW w:w="2952" w:type="dxa"/>
            <w:tcBorders>
              <w:top w:val="single" w:sz="4" w:space="0" w:color="000000"/>
              <w:left w:val="single" w:sz="4" w:space="0" w:color="000000"/>
              <w:bottom w:val="single" w:sz="4" w:space="0" w:color="000000"/>
              <w:right w:val="single" w:sz="4" w:space="0" w:color="000000"/>
            </w:tcBorders>
            <w:hideMark/>
          </w:tcPr>
          <w:p w14:paraId="3D415221" w14:textId="77777777" w:rsidR="00D93541" w:rsidRPr="00D93541" w:rsidRDefault="00D93541" w:rsidP="00D93541">
            <w:pPr>
              <w:rPr>
                <w:rFonts w:ascii="Times New Roman" w:hAnsi="Times New Roman" w:cs="Times New Roman"/>
              </w:rPr>
            </w:pPr>
            <w:r w:rsidRPr="00D93541">
              <w:rPr>
                <w:rFonts w:ascii="Times New Roman" w:hAnsi="Times New Roman" w:cs="Times New Roman"/>
              </w:rPr>
              <w:t>States adopt, adapt or use the principles through domestic policy and law.</w:t>
            </w:r>
          </w:p>
        </w:tc>
      </w:tr>
    </w:tbl>
    <w:p w14:paraId="11349EBF" w14:textId="77777777" w:rsidR="00D93541" w:rsidRPr="00D93541" w:rsidRDefault="00D93541" w:rsidP="00D93541">
      <w:pPr>
        <w:rPr>
          <w:rFonts w:ascii="Times New Roman" w:hAnsi="Times New Roman" w:cs="Times New Roman"/>
        </w:rPr>
      </w:pPr>
    </w:p>
    <w:p w14:paraId="6357A206" w14:textId="77777777" w:rsidR="00D9432D" w:rsidRPr="00D93541" w:rsidRDefault="00D9432D">
      <w:pPr>
        <w:rPr>
          <w:rFonts w:ascii="Times New Roman" w:hAnsi="Times New Roman" w:cs="Times New Roman"/>
        </w:rPr>
      </w:pPr>
    </w:p>
    <w:sectPr w:rsidR="00D9432D" w:rsidRPr="00D935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F81CEC"/>
    <w:multiLevelType w:val="multilevel"/>
    <w:tmpl w:val="74567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5550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541"/>
    <w:rsid w:val="002B57C5"/>
    <w:rsid w:val="006006E7"/>
    <w:rsid w:val="00D93541"/>
    <w:rsid w:val="00D9432D"/>
    <w:rsid w:val="00FE161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F9F5"/>
  <w15:chartTrackingRefBased/>
  <w15:docId w15:val="{C79B62B8-7F3C-4400-8475-036159134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541"/>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D93541"/>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D93541"/>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935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5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5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5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5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5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541"/>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D93541"/>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93541"/>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935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5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5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5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5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541"/>
    <w:rPr>
      <w:rFonts w:eastAsiaTheme="majorEastAsia" w:cstheme="majorBidi"/>
      <w:color w:val="272727" w:themeColor="text1" w:themeTint="D8"/>
    </w:rPr>
  </w:style>
  <w:style w:type="paragraph" w:styleId="Title">
    <w:name w:val="Title"/>
    <w:basedOn w:val="Normal"/>
    <w:next w:val="Normal"/>
    <w:link w:val="TitleChar"/>
    <w:uiPriority w:val="10"/>
    <w:qFormat/>
    <w:rsid w:val="00D9354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93541"/>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93541"/>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93541"/>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93541"/>
    <w:pPr>
      <w:spacing w:before="160"/>
      <w:jc w:val="center"/>
    </w:pPr>
    <w:rPr>
      <w:i/>
      <w:iCs/>
      <w:color w:val="404040" w:themeColor="text1" w:themeTint="BF"/>
    </w:rPr>
  </w:style>
  <w:style w:type="character" w:customStyle="1" w:styleId="QuoteChar">
    <w:name w:val="Quote Char"/>
    <w:basedOn w:val="DefaultParagraphFont"/>
    <w:link w:val="Quote"/>
    <w:uiPriority w:val="29"/>
    <w:rsid w:val="00D93541"/>
    <w:rPr>
      <w:i/>
      <w:iCs/>
      <w:color w:val="404040" w:themeColor="text1" w:themeTint="BF"/>
    </w:rPr>
  </w:style>
  <w:style w:type="paragraph" w:styleId="ListParagraph">
    <w:name w:val="List Paragraph"/>
    <w:basedOn w:val="Normal"/>
    <w:uiPriority w:val="34"/>
    <w:qFormat/>
    <w:rsid w:val="00D93541"/>
    <w:pPr>
      <w:ind w:left="720"/>
      <w:contextualSpacing/>
    </w:pPr>
  </w:style>
  <w:style w:type="character" w:styleId="IntenseEmphasis">
    <w:name w:val="Intense Emphasis"/>
    <w:basedOn w:val="DefaultParagraphFont"/>
    <w:uiPriority w:val="21"/>
    <w:qFormat/>
    <w:rsid w:val="00D93541"/>
    <w:rPr>
      <w:i/>
      <w:iCs/>
      <w:color w:val="0F4761" w:themeColor="accent1" w:themeShade="BF"/>
    </w:rPr>
  </w:style>
  <w:style w:type="paragraph" w:styleId="IntenseQuote">
    <w:name w:val="Intense Quote"/>
    <w:basedOn w:val="Normal"/>
    <w:next w:val="Normal"/>
    <w:link w:val="IntenseQuoteChar"/>
    <w:uiPriority w:val="30"/>
    <w:qFormat/>
    <w:rsid w:val="00D93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541"/>
    <w:rPr>
      <w:i/>
      <w:iCs/>
      <w:color w:val="0F4761" w:themeColor="accent1" w:themeShade="BF"/>
    </w:rPr>
  </w:style>
  <w:style w:type="character" w:styleId="IntenseReference">
    <w:name w:val="Intense Reference"/>
    <w:basedOn w:val="DefaultParagraphFont"/>
    <w:uiPriority w:val="32"/>
    <w:qFormat/>
    <w:rsid w:val="00D93541"/>
    <w:rPr>
      <w:b/>
      <w:bCs/>
      <w:smallCaps/>
      <w:color w:val="0F4761" w:themeColor="accent1" w:themeShade="BF"/>
      <w:spacing w:val="5"/>
    </w:rPr>
  </w:style>
  <w:style w:type="character" w:styleId="Hyperlink">
    <w:name w:val="Hyperlink"/>
    <w:basedOn w:val="DefaultParagraphFont"/>
    <w:uiPriority w:val="99"/>
    <w:unhideWhenUsed/>
    <w:rsid w:val="00D93541"/>
    <w:rPr>
      <w:color w:val="467886" w:themeColor="hyperlink"/>
      <w:u w:val="single"/>
    </w:rPr>
  </w:style>
  <w:style w:type="character" w:styleId="UnresolvedMention">
    <w:name w:val="Unresolved Mention"/>
    <w:basedOn w:val="DefaultParagraphFont"/>
    <w:uiPriority w:val="99"/>
    <w:semiHidden/>
    <w:unhideWhenUsed/>
    <w:rsid w:val="00D93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eli/dir/2015/2302/oj" TargetMode="External"/><Relationship Id="rId13" Type="http://schemas.openxmlformats.org/officeDocument/2006/relationships/hyperlink" Target="https://doi.org/10.1080/10941665.2022.2119876" TargetMode="External"/><Relationship Id="rId18" Type="http://schemas.openxmlformats.org/officeDocument/2006/relationships/hyperlink" Target="https://www.unwto.org/news/24th-general-assembly-to-put-innovation-and-education-at-heart-of-tourism-s-restart" TargetMode="External"/><Relationship Id="rId3" Type="http://schemas.openxmlformats.org/officeDocument/2006/relationships/settings" Target="settings.xml"/><Relationship Id="rId21" Type="http://schemas.openxmlformats.org/officeDocument/2006/relationships/hyperlink" Target="https://digitallibrary.un.org/record/4087164" TargetMode="External"/><Relationship Id="rId7" Type="http://schemas.openxmlformats.org/officeDocument/2006/relationships/hyperlink" Target="https://doi.org/10.1080/23311886.2024.2333980" TargetMode="External"/><Relationship Id="rId12" Type="http://schemas.openxmlformats.org/officeDocument/2006/relationships/hyperlink" Target="https://www.icao.int/consumer-protection" TargetMode="External"/><Relationship Id="rId17" Type="http://schemas.openxmlformats.org/officeDocument/2006/relationships/hyperlink" Target="https://www.unwto.org/news/advancing-an-international-code-for-protection-of-tourists" TargetMode="External"/><Relationship Id="rId2" Type="http://schemas.openxmlformats.org/officeDocument/2006/relationships/styles" Target="styles.xml"/><Relationship Id="rId16" Type="http://schemas.openxmlformats.org/officeDocument/2006/relationships/hyperlink" Target="https://www.unwto.org/node?o=%2F&amp;page=196" TargetMode="External"/><Relationship Id="rId20" Type="http://schemas.openxmlformats.org/officeDocument/2006/relationships/hyperlink" Target="https://legal.un.org/ilc/texts/instruments/english/conventions/1_1_1969.pdf" TargetMode="External"/><Relationship Id="rId1" Type="http://schemas.openxmlformats.org/officeDocument/2006/relationships/numbering" Target="numbering.xml"/><Relationship Id="rId6" Type="http://schemas.openxmlformats.org/officeDocument/2006/relationships/hyperlink" Target="https://doi.org/10.1162/002081800551280" TargetMode="External"/><Relationship Id="rId11" Type="http://schemas.openxmlformats.org/officeDocument/2006/relationships/hyperlink" Target="https://www.icao.int/sites/default/files/inline-files/mtl99_en.pdf"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unwto.org/global/press-release/2018-01-23/private-sector-commits-unwto-global-code-ethics-tourism-fitur" TargetMode="External"/><Relationship Id="rId23" Type="http://schemas.openxmlformats.org/officeDocument/2006/relationships/fontTable" Target="fontTable.xml"/><Relationship Id="rId10" Type="http://schemas.openxmlformats.org/officeDocument/2006/relationships/hyperlink" Target="https://www.icao.int/publications/Documents/7300_orig.pdf" TargetMode="External"/><Relationship Id="rId19" Type="http://schemas.openxmlformats.org/officeDocument/2006/relationships/hyperlink" Target="https://www.legislation.gov.uk/uksi/2018/634/contents" TargetMode="External"/><Relationship Id="rId4" Type="http://schemas.openxmlformats.org/officeDocument/2006/relationships/webSettings" Target="webSettings.xml"/><Relationship Id="rId9" Type="http://schemas.openxmlformats.org/officeDocument/2006/relationships/hyperlink" Target="https://doi.org/10.1080/09669582.2011.570346" TargetMode="External"/><Relationship Id="rId14" Type="http://schemas.openxmlformats.org/officeDocument/2006/relationships/hyperlink" Target="https://doi.org/10.1016/j.annals.2017.03.003" TargetMode="External"/><Relationship Id="rId22" Type="http://schemas.openxmlformats.org/officeDocument/2006/relationships/hyperlink" Target="https://whc.unesco.org/en/convention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5784</Words>
  <Characters>32975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vikanshu bangar</dc:creator>
  <cp:keywords/>
  <dc:description/>
  <cp:lastModifiedBy>vikanshu bangar</cp:lastModifiedBy>
  <cp:revision>1</cp:revision>
  <dcterms:created xsi:type="dcterms:W3CDTF">2026-09-21T12:24:00Z</dcterms:created>
  <dcterms:modified xsi:type="dcterms:W3CDTF">2026-09-21T12:40:00Z</dcterms:modified>
</cp:coreProperties>
</file>