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6592" w:rsidRDefault="00D26592" w:rsidP="00D26592">
      <w:pPr>
        <w:jc w:val="center"/>
        <w:rPr>
          <w:b/>
          <w:bCs/>
          <w:sz w:val="48"/>
          <w:szCs w:val="48"/>
        </w:rPr>
      </w:pPr>
      <w:r>
        <w:rPr>
          <w:b/>
          <w:noProof/>
          <w:sz w:val="48"/>
          <w:szCs w:val="48"/>
        </w:rPr>
        <w:drawing>
          <wp:inline distT="0" distB="0" distL="0" distR="0">
            <wp:extent cx="5474970" cy="1715770"/>
            <wp:effectExtent l="0" t="0" r="0" b="0"/>
            <wp:docPr id="1"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5"/>
                    <a:srcRect/>
                    <a:stretch>
                      <a:fillRect/>
                    </a:stretch>
                  </pic:blipFill>
                  <pic:spPr bwMode="auto">
                    <a:xfrm>
                      <a:off x="0" y="0"/>
                      <a:ext cx="5474970" cy="1715770"/>
                    </a:xfrm>
                    <a:prstGeom prst="rect">
                      <a:avLst/>
                    </a:prstGeom>
                    <a:noFill/>
                    <a:ln w="9525">
                      <a:noFill/>
                      <a:miter lim="800000"/>
                      <a:headEnd/>
                      <a:tailEnd/>
                    </a:ln>
                  </pic:spPr>
                </pic:pic>
              </a:graphicData>
            </a:graphic>
          </wp:inline>
        </w:drawing>
      </w:r>
    </w:p>
    <w:p w:rsidR="00D26592" w:rsidRPr="003F650B" w:rsidRDefault="00D26592" w:rsidP="003F650B">
      <w:pPr>
        <w:jc w:val="center"/>
        <w:rPr>
          <w:b/>
          <w:bCs/>
          <w:sz w:val="48"/>
          <w:szCs w:val="48"/>
        </w:rPr>
      </w:pPr>
      <w:r>
        <w:rPr>
          <w:b/>
          <w:bCs/>
          <w:sz w:val="48"/>
          <w:szCs w:val="48"/>
        </w:rPr>
        <w:t xml:space="preserve">Title: </w:t>
      </w:r>
      <w:r w:rsidR="003F650B" w:rsidRPr="003F650B">
        <w:rPr>
          <w:b/>
          <w:bCs/>
          <w:sz w:val="48"/>
          <w:szCs w:val="48"/>
        </w:rPr>
        <w:t>Reinventing Agra: A TALC-Based Strategy for Sustainable and Inclusive Heritage Tourism</w:t>
      </w:r>
      <w:r>
        <w:rPr>
          <w:b/>
          <w:sz w:val="40"/>
          <w:szCs w:val="40"/>
        </w:rPr>
        <w:br/>
      </w:r>
      <w:r>
        <w:rPr>
          <w:sz w:val="40"/>
          <w:szCs w:val="40"/>
        </w:rPr>
        <w:br/>
      </w:r>
      <w:r w:rsidR="003F650B">
        <w:rPr>
          <w:sz w:val="40"/>
          <w:szCs w:val="40"/>
        </w:rPr>
        <w:br/>
      </w:r>
      <w:r w:rsidR="003F650B">
        <w:rPr>
          <w:sz w:val="44"/>
          <w:szCs w:val="44"/>
        </w:rPr>
        <w:t xml:space="preserve">Student Name: </w:t>
      </w:r>
      <w:proofErr w:type="spellStart"/>
      <w:r w:rsidR="003F650B">
        <w:rPr>
          <w:sz w:val="44"/>
          <w:szCs w:val="44"/>
        </w:rPr>
        <w:t>Vikram</w:t>
      </w:r>
      <w:proofErr w:type="spellEnd"/>
      <w:r w:rsidR="003F650B">
        <w:rPr>
          <w:sz w:val="44"/>
          <w:szCs w:val="44"/>
        </w:rPr>
        <w:t xml:space="preserve"> Kumar</w:t>
      </w:r>
      <w:r w:rsidR="003F650B">
        <w:rPr>
          <w:sz w:val="44"/>
          <w:szCs w:val="44"/>
        </w:rPr>
        <w:br/>
        <w:t>Student ID: DE240041</w:t>
      </w:r>
    </w:p>
    <w:p w:rsidR="003F650B" w:rsidRDefault="003F650B" w:rsidP="00D26592">
      <w:pPr>
        <w:jc w:val="center"/>
        <w:rPr>
          <w:sz w:val="44"/>
          <w:szCs w:val="44"/>
        </w:rPr>
      </w:pPr>
    </w:p>
    <w:p w:rsidR="00D26592" w:rsidRDefault="00D26592" w:rsidP="00D26592">
      <w:pPr>
        <w:jc w:val="center"/>
        <w:rPr>
          <w:sz w:val="44"/>
          <w:szCs w:val="44"/>
        </w:rPr>
      </w:pPr>
      <w:r>
        <w:rPr>
          <w:sz w:val="44"/>
          <w:szCs w:val="44"/>
        </w:rPr>
        <w:t>Submission date: 25.06.2025</w:t>
      </w:r>
    </w:p>
    <w:p w:rsidR="00672EA7" w:rsidRDefault="00672EA7" w:rsidP="00D26592"/>
    <w:p w:rsidR="00C448D7" w:rsidRDefault="00C448D7" w:rsidP="00D26592"/>
    <w:p w:rsidR="00C448D7" w:rsidRDefault="00C448D7" w:rsidP="00D26592"/>
    <w:p w:rsidR="00C448D7" w:rsidRDefault="00C448D7" w:rsidP="00D26592"/>
    <w:p w:rsidR="00C448D7" w:rsidRDefault="00C448D7" w:rsidP="00D26592"/>
    <w:p w:rsidR="00C448D7" w:rsidRDefault="00C448D7" w:rsidP="00D26592"/>
    <w:p w:rsidR="00B74537" w:rsidRDefault="00B74537" w:rsidP="00D26592"/>
    <w:p w:rsidR="0081643C" w:rsidRDefault="0081643C" w:rsidP="00D26592"/>
    <w:p w:rsidR="0081643C" w:rsidRDefault="0081643C" w:rsidP="00D26592"/>
    <w:p w:rsidR="0081643C" w:rsidRDefault="0081643C" w:rsidP="0081643C">
      <w:pPr>
        <w:pStyle w:val="Heading1"/>
      </w:pPr>
      <w:r>
        <w:rPr>
          <w:rStyle w:val="Strong"/>
          <w:b/>
          <w:bCs/>
        </w:rPr>
        <w:lastRenderedPageBreak/>
        <w:t>Table of Contents</w:t>
      </w:r>
    </w:p>
    <w:p w:rsidR="0081643C" w:rsidRDefault="0081643C" w:rsidP="0081643C">
      <w:pPr>
        <w:pStyle w:val="NormalWeb"/>
        <w:numPr>
          <w:ilvl w:val="0"/>
          <w:numId w:val="19"/>
        </w:numPr>
      </w:pPr>
      <w:r>
        <w:t>Abstract</w:t>
      </w:r>
    </w:p>
    <w:p w:rsidR="0081643C" w:rsidRDefault="0081643C" w:rsidP="0081643C">
      <w:pPr>
        <w:pStyle w:val="NormalWeb"/>
        <w:numPr>
          <w:ilvl w:val="0"/>
          <w:numId w:val="19"/>
        </w:numPr>
      </w:pPr>
      <w:r>
        <w:t>Introduction</w:t>
      </w:r>
    </w:p>
    <w:p w:rsidR="0081643C" w:rsidRDefault="0081643C" w:rsidP="0081643C">
      <w:pPr>
        <w:pStyle w:val="NormalWeb"/>
        <w:numPr>
          <w:ilvl w:val="0"/>
          <w:numId w:val="19"/>
        </w:numPr>
      </w:pPr>
      <w:r>
        <w:t>Literature Review</w:t>
      </w:r>
    </w:p>
    <w:p w:rsidR="0081643C" w:rsidRDefault="0081643C" w:rsidP="0081643C">
      <w:pPr>
        <w:pStyle w:val="NormalWeb"/>
        <w:numPr>
          <w:ilvl w:val="0"/>
          <w:numId w:val="19"/>
        </w:numPr>
      </w:pPr>
      <w:r>
        <w:t>Methodology</w:t>
      </w:r>
    </w:p>
    <w:p w:rsidR="0081643C" w:rsidRDefault="0081643C" w:rsidP="0081643C">
      <w:pPr>
        <w:pStyle w:val="NormalWeb"/>
        <w:numPr>
          <w:ilvl w:val="0"/>
          <w:numId w:val="19"/>
        </w:numPr>
      </w:pPr>
      <w:r>
        <w:t>Findings</w:t>
      </w:r>
    </w:p>
    <w:p w:rsidR="0081643C" w:rsidRDefault="0081643C" w:rsidP="0081643C">
      <w:pPr>
        <w:pStyle w:val="NormalWeb"/>
        <w:numPr>
          <w:ilvl w:val="0"/>
          <w:numId w:val="19"/>
        </w:numPr>
      </w:pPr>
      <w:r>
        <w:t>Discussion</w:t>
      </w:r>
    </w:p>
    <w:p w:rsidR="0081643C" w:rsidRDefault="0081643C" w:rsidP="0081643C">
      <w:pPr>
        <w:pStyle w:val="NormalWeb"/>
        <w:numPr>
          <w:ilvl w:val="0"/>
          <w:numId w:val="19"/>
        </w:numPr>
      </w:pPr>
      <w:r>
        <w:t>Conclusion</w:t>
      </w:r>
    </w:p>
    <w:p w:rsidR="0081643C" w:rsidRDefault="0081643C" w:rsidP="0081643C">
      <w:pPr>
        <w:pStyle w:val="NormalWeb"/>
        <w:numPr>
          <w:ilvl w:val="0"/>
          <w:numId w:val="19"/>
        </w:numPr>
      </w:pPr>
      <w:r>
        <w:t>References</w:t>
      </w:r>
    </w:p>
    <w:p w:rsidR="00EF1015" w:rsidRDefault="00EF1015" w:rsidP="0081643C">
      <w:pPr>
        <w:pStyle w:val="Heading2"/>
        <w:rPr>
          <w:rStyle w:val="Strong"/>
          <w:b/>
          <w:bCs/>
        </w:rPr>
      </w:pPr>
    </w:p>
    <w:p w:rsidR="00EF1015" w:rsidRPr="00EF1015" w:rsidRDefault="00EF1015" w:rsidP="00EF1015">
      <w:pPr>
        <w:spacing w:before="100" w:beforeAutospacing="1" w:after="100" w:afterAutospacing="1" w:line="240" w:lineRule="auto"/>
        <w:outlineLvl w:val="1"/>
        <w:rPr>
          <w:rFonts w:ascii="Times New Roman" w:eastAsia="Times New Roman" w:hAnsi="Times New Roman" w:cs="Times New Roman"/>
          <w:b/>
          <w:bCs/>
          <w:sz w:val="36"/>
          <w:szCs w:val="36"/>
        </w:rPr>
      </w:pPr>
      <w:r w:rsidRPr="00EF1015">
        <w:rPr>
          <w:rFonts w:ascii="Times New Roman" w:eastAsia="Times New Roman" w:hAnsi="Times New Roman" w:cs="Times New Roman"/>
          <w:b/>
          <w:bCs/>
          <w:sz w:val="36"/>
          <w:szCs w:val="36"/>
        </w:rPr>
        <w:t>1. Abstract</w:t>
      </w:r>
    </w:p>
    <w:p w:rsidR="00EF1015" w:rsidRPr="00EF1015" w:rsidRDefault="00EF1015" w:rsidP="00EF1015">
      <w:pPr>
        <w:spacing w:before="100" w:beforeAutospacing="1" w:after="100" w:afterAutospacing="1" w:line="240" w:lineRule="auto"/>
        <w:rPr>
          <w:rFonts w:ascii="Times New Roman" w:eastAsia="Times New Roman" w:hAnsi="Times New Roman" w:cs="Times New Roman"/>
          <w:sz w:val="24"/>
          <w:szCs w:val="24"/>
        </w:rPr>
      </w:pPr>
      <w:r w:rsidRPr="00EF1015">
        <w:rPr>
          <w:rFonts w:ascii="Times New Roman" w:eastAsia="Times New Roman" w:hAnsi="Times New Roman" w:cs="Times New Roman"/>
          <w:sz w:val="24"/>
          <w:szCs w:val="24"/>
        </w:rPr>
        <w:t xml:space="preserve">Agra, located in Uttar Pradesh, India, is globally recognized for the iconic </w:t>
      </w:r>
      <w:proofErr w:type="spellStart"/>
      <w:r w:rsidRPr="00EF1015">
        <w:rPr>
          <w:rFonts w:ascii="Times New Roman" w:eastAsia="Times New Roman" w:hAnsi="Times New Roman" w:cs="Times New Roman"/>
          <w:sz w:val="24"/>
          <w:szCs w:val="24"/>
        </w:rPr>
        <w:t>Taj</w:t>
      </w:r>
      <w:proofErr w:type="spellEnd"/>
      <w:r w:rsidRPr="00EF1015">
        <w:rPr>
          <w:rFonts w:ascii="Times New Roman" w:eastAsia="Times New Roman" w:hAnsi="Times New Roman" w:cs="Times New Roman"/>
          <w:sz w:val="24"/>
          <w:szCs w:val="24"/>
        </w:rPr>
        <w:t xml:space="preserve"> </w:t>
      </w:r>
      <w:proofErr w:type="spellStart"/>
      <w:r w:rsidRPr="00EF1015">
        <w:rPr>
          <w:rFonts w:ascii="Times New Roman" w:eastAsia="Times New Roman" w:hAnsi="Times New Roman" w:cs="Times New Roman"/>
          <w:sz w:val="24"/>
          <w:szCs w:val="24"/>
        </w:rPr>
        <w:t>Mahal</w:t>
      </w:r>
      <w:proofErr w:type="spellEnd"/>
      <w:r w:rsidRPr="00EF1015">
        <w:rPr>
          <w:rFonts w:ascii="Times New Roman" w:eastAsia="Times New Roman" w:hAnsi="Times New Roman" w:cs="Times New Roman"/>
          <w:sz w:val="24"/>
          <w:szCs w:val="24"/>
        </w:rPr>
        <w:t xml:space="preserve">, a </w:t>
      </w:r>
      <w:proofErr w:type="gramStart"/>
      <w:r w:rsidRPr="00EF1015">
        <w:rPr>
          <w:rFonts w:ascii="Times New Roman" w:eastAsia="Times New Roman" w:hAnsi="Times New Roman" w:cs="Times New Roman"/>
          <w:sz w:val="24"/>
          <w:szCs w:val="24"/>
        </w:rPr>
        <w:t>UNESCO World Heritage site that attracts millions of domestic and international visitors annually.</w:t>
      </w:r>
      <w:proofErr w:type="gramEnd"/>
      <w:r w:rsidRPr="00EF1015">
        <w:rPr>
          <w:rFonts w:ascii="Times New Roman" w:eastAsia="Times New Roman" w:hAnsi="Times New Roman" w:cs="Times New Roman"/>
          <w:sz w:val="24"/>
          <w:szCs w:val="24"/>
        </w:rPr>
        <w:t xml:space="preserve"> Despite this global appeal, Agra faces significant limitations in leveraging its full tourism potential. The average duration of stay remains under one day, indicating that the city is seen as a transit stop rather than a comprehensive travel destination (Jain &amp; </w:t>
      </w:r>
      <w:proofErr w:type="spellStart"/>
      <w:r w:rsidRPr="00EF1015">
        <w:rPr>
          <w:rFonts w:ascii="Times New Roman" w:eastAsia="Times New Roman" w:hAnsi="Times New Roman" w:cs="Times New Roman"/>
          <w:sz w:val="24"/>
          <w:szCs w:val="24"/>
        </w:rPr>
        <w:t>Trivedi</w:t>
      </w:r>
      <w:proofErr w:type="spellEnd"/>
      <w:r w:rsidRPr="00EF1015">
        <w:rPr>
          <w:rFonts w:ascii="Times New Roman" w:eastAsia="Times New Roman" w:hAnsi="Times New Roman" w:cs="Times New Roman"/>
          <w:sz w:val="24"/>
          <w:szCs w:val="24"/>
        </w:rPr>
        <w:t>, 2020). This trend limits local economic growth, employment opportunities, and broader cultural engagement.</w:t>
      </w:r>
    </w:p>
    <w:p w:rsidR="00EF1015" w:rsidRPr="00EF1015" w:rsidRDefault="00EF1015" w:rsidP="00EF1015">
      <w:pPr>
        <w:spacing w:before="100" w:beforeAutospacing="1" w:after="100" w:afterAutospacing="1" w:line="240" w:lineRule="auto"/>
        <w:rPr>
          <w:rFonts w:ascii="Times New Roman" w:eastAsia="Times New Roman" w:hAnsi="Times New Roman" w:cs="Times New Roman"/>
          <w:sz w:val="24"/>
          <w:szCs w:val="24"/>
        </w:rPr>
      </w:pPr>
      <w:r w:rsidRPr="00EF1015">
        <w:rPr>
          <w:rFonts w:ascii="Times New Roman" w:eastAsia="Times New Roman" w:hAnsi="Times New Roman" w:cs="Times New Roman"/>
          <w:sz w:val="24"/>
          <w:szCs w:val="24"/>
        </w:rPr>
        <w:t xml:space="preserve">The city’s tourism pattern reflects stagnation, aligning closely with Butler’s Tourism Area Life Cycle (TALC) model. Stagnation occurs when destinations experience </w:t>
      </w:r>
      <w:proofErr w:type="spellStart"/>
      <w:r w:rsidRPr="00EF1015">
        <w:rPr>
          <w:rFonts w:ascii="Times New Roman" w:eastAsia="Times New Roman" w:hAnsi="Times New Roman" w:cs="Times New Roman"/>
          <w:sz w:val="24"/>
          <w:szCs w:val="24"/>
        </w:rPr>
        <w:t>plateaued</w:t>
      </w:r>
      <w:proofErr w:type="spellEnd"/>
      <w:r w:rsidRPr="00EF1015">
        <w:rPr>
          <w:rFonts w:ascii="Times New Roman" w:eastAsia="Times New Roman" w:hAnsi="Times New Roman" w:cs="Times New Roman"/>
          <w:sz w:val="24"/>
          <w:szCs w:val="24"/>
        </w:rPr>
        <w:t xml:space="preserve"> growth, visitor dissatisfaction, and over-commercialization (Butler, 1980). In Agra’s case, the overcrowding of the </w:t>
      </w:r>
      <w:proofErr w:type="spellStart"/>
      <w:r w:rsidRPr="00EF1015">
        <w:rPr>
          <w:rFonts w:ascii="Times New Roman" w:eastAsia="Times New Roman" w:hAnsi="Times New Roman" w:cs="Times New Roman"/>
          <w:sz w:val="24"/>
          <w:szCs w:val="24"/>
        </w:rPr>
        <w:t>Taj</w:t>
      </w:r>
      <w:proofErr w:type="spellEnd"/>
      <w:r w:rsidRPr="00EF1015">
        <w:rPr>
          <w:rFonts w:ascii="Times New Roman" w:eastAsia="Times New Roman" w:hAnsi="Times New Roman" w:cs="Times New Roman"/>
          <w:sz w:val="24"/>
          <w:szCs w:val="24"/>
        </w:rPr>
        <w:t xml:space="preserve"> </w:t>
      </w:r>
      <w:proofErr w:type="spellStart"/>
      <w:r w:rsidRPr="00EF1015">
        <w:rPr>
          <w:rFonts w:ascii="Times New Roman" w:eastAsia="Times New Roman" w:hAnsi="Times New Roman" w:cs="Times New Roman"/>
          <w:sz w:val="24"/>
          <w:szCs w:val="24"/>
        </w:rPr>
        <w:t>Mahal</w:t>
      </w:r>
      <w:proofErr w:type="spellEnd"/>
      <w:r w:rsidRPr="00EF1015">
        <w:rPr>
          <w:rFonts w:ascii="Times New Roman" w:eastAsia="Times New Roman" w:hAnsi="Times New Roman" w:cs="Times New Roman"/>
          <w:sz w:val="24"/>
          <w:szCs w:val="24"/>
        </w:rPr>
        <w:t>, poor visitor management, underutilization of other historical assets, and limited modern tourism infrastructure signal a pressing need for reinvention (Singh, 2016; Sharma &amp; Gupta, 2019).</w:t>
      </w:r>
    </w:p>
    <w:p w:rsidR="00EF1015" w:rsidRPr="00EF1015" w:rsidRDefault="00EF1015" w:rsidP="00EF1015">
      <w:pPr>
        <w:spacing w:before="100" w:beforeAutospacing="1" w:after="100" w:afterAutospacing="1" w:line="240" w:lineRule="auto"/>
        <w:rPr>
          <w:rFonts w:ascii="Times New Roman" w:eastAsia="Times New Roman" w:hAnsi="Times New Roman" w:cs="Times New Roman"/>
          <w:sz w:val="24"/>
          <w:szCs w:val="24"/>
        </w:rPr>
      </w:pPr>
      <w:r w:rsidRPr="00EF1015">
        <w:rPr>
          <w:rFonts w:ascii="Times New Roman" w:eastAsia="Times New Roman" w:hAnsi="Times New Roman" w:cs="Times New Roman"/>
          <w:sz w:val="24"/>
          <w:szCs w:val="24"/>
        </w:rPr>
        <w:t xml:space="preserve">This paper proposes a comprehensive revitalization strategy that moves beyond the "monument-only" model of tourism. By integrating lesser-known </w:t>
      </w:r>
      <w:proofErr w:type="spellStart"/>
      <w:r w:rsidRPr="00EF1015">
        <w:rPr>
          <w:rFonts w:ascii="Times New Roman" w:eastAsia="Times New Roman" w:hAnsi="Times New Roman" w:cs="Times New Roman"/>
          <w:sz w:val="24"/>
          <w:szCs w:val="24"/>
        </w:rPr>
        <w:t>Mughal</w:t>
      </w:r>
      <w:proofErr w:type="spellEnd"/>
      <w:r w:rsidRPr="00EF1015">
        <w:rPr>
          <w:rFonts w:ascii="Times New Roman" w:eastAsia="Times New Roman" w:hAnsi="Times New Roman" w:cs="Times New Roman"/>
          <w:sz w:val="24"/>
          <w:szCs w:val="24"/>
        </w:rPr>
        <w:t>-era sites and neighboring rural experiences, Agra can offer a richer, multi-day tourism experience. The inclusion of experiential tourism—such as local cuisine trails, artisan workshops, and cultural performances—can diversify offerings and prolong visitor stays (</w:t>
      </w:r>
      <w:proofErr w:type="spellStart"/>
      <w:r w:rsidRPr="00EF1015">
        <w:rPr>
          <w:rFonts w:ascii="Times New Roman" w:eastAsia="Times New Roman" w:hAnsi="Times New Roman" w:cs="Times New Roman"/>
          <w:sz w:val="24"/>
          <w:szCs w:val="24"/>
        </w:rPr>
        <w:t>Scheyvens</w:t>
      </w:r>
      <w:proofErr w:type="spellEnd"/>
      <w:r w:rsidRPr="00EF1015">
        <w:rPr>
          <w:rFonts w:ascii="Times New Roman" w:eastAsia="Times New Roman" w:hAnsi="Times New Roman" w:cs="Times New Roman"/>
          <w:sz w:val="24"/>
          <w:szCs w:val="24"/>
        </w:rPr>
        <w:t>, 1999; Richards, 2011).</w:t>
      </w:r>
    </w:p>
    <w:p w:rsidR="00EF1015" w:rsidRPr="00EF1015" w:rsidRDefault="00EF1015" w:rsidP="00EF1015">
      <w:pPr>
        <w:spacing w:before="100" w:beforeAutospacing="1" w:after="100" w:afterAutospacing="1" w:line="240" w:lineRule="auto"/>
        <w:rPr>
          <w:rFonts w:ascii="Times New Roman" w:eastAsia="Times New Roman" w:hAnsi="Times New Roman" w:cs="Times New Roman"/>
          <w:sz w:val="24"/>
          <w:szCs w:val="24"/>
        </w:rPr>
      </w:pPr>
      <w:r w:rsidRPr="00EF1015">
        <w:rPr>
          <w:rFonts w:ascii="Times New Roman" w:eastAsia="Times New Roman" w:hAnsi="Times New Roman" w:cs="Times New Roman"/>
          <w:sz w:val="24"/>
          <w:szCs w:val="24"/>
        </w:rPr>
        <w:t>Moreover, the incorporation of smart tourism practices—like digital storytelling, e-ticketing, real-time transport systems, and multilingual virtual guides—can enhance visitor satisfaction while reducing stress points like congestion and navigation challenges (</w:t>
      </w:r>
      <w:proofErr w:type="spellStart"/>
      <w:r w:rsidRPr="00EF1015">
        <w:rPr>
          <w:rFonts w:ascii="Times New Roman" w:eastAsia="Times New Roman" w:hAnsi="Times New Roman" w:cs="Times New Roman"/>
          <w:sz w:val="24"/>
          <w:szCs w:val="24"/>
        </w:rPr>
        <w:t>Gretzel</w:t>
      </w:r>
      <w:proofErr w:type="spellEnd"/>
      <w:r w:rsidRPr="00EF1015">
        <w:rPr>
          <w:rFonts w:ascii="Times New Roman" w:eastAsia="Times New Roman" w:hAnsi="Times New Roman" w:cs="Times New Roman"/>
          <w:sz w:val="24"/>
          <w:szCs w:val="24"/>
        </w:rPr>
        <w:t xml:space="preserve"> et al., 2015). These interventions align with global trends of tech-enabled tourism and are necessary for engaging the modern traveler.</w:t>
      </w:r>
    </w:p>
    <w:p w:rsidR="00EF1015" w:rsidRPr="00EF1015" w:rsidRDefault="00EF1015" w:rsidP="00EF1015">
      <w:pPr>
        <w:spacing w:before="100" w:beforeAutospacing="1" w:after="100" w:afterAutospacing="1" w:line="240" w:lineRule="auto"/>
        <w:rPr>
          <w:rFonts w:ascii="Times New Roman" w:eastAsia="Times New Roman" w:hAnsi="Times New Roman" w:cs="Times New Roman"/>
          <w:sz w:val="24"/>
          <w:szCs w:val="24"/>
        </w:rPr>
      </w:pPr>
      <w:r w:rsidRPr="00EF1015">
        <w:rPr>
          <w:rFonts w:ascii="Times New Roman" w:eastAsia="Times New Roman" w:hAnsi="Times New Roman" w:cs="Times New Roman"/>
          <w:sz w:val="24"/>
          <w:szCs w:val="24"/>
        </w:rPr>
        <w:t xml:space="preserve">A community-based approach is critical for sustainable tourism development. By empowering local stakeholders and rural communities around Agra, inclusive growth can be achieved. Integrating local artisans, </w:t>
      </w:r>
      <w:proofErr w:type="spellStart"/>
      <w:r w:rsidRPr="00EF1015">
        <w:rPr>
          <w:rFonts w:ascii="Times New Roman" w:eastAsia="Times New Roman" w:hAnsi="Times New Roman" w:cs="Times New Roman"/>
          <w:sz w:val="24"/>
          <w:szCs w:val="24"/>
        </w:rPr>
        <w:t>homestays</w:t>
      </w:r>
      <w:proofErr w:type="spellEnd"/>
      <w:r w:rsidRPr="00EF1015">
        <w:rPr>
          <w:rFonts w:ascii="Times New Roman" w:eastAsia="Times New Roman" w:hAnsi="Times New Roman" w:cs="Times New Roman"/>
          <w:sz w:val="24"/>
          <w:szCs w:val="24"/>
        </w:rPr>
        <w:t xml:space="preserve">, and </w:t>
      </w:r>
      <w:proofErr w:type="spellStart"/>
      <w:r w:rsidRPr="00EF1015">
        <w:rPr>
          <w:rFonts w:ascii="Times New Roman" w:eastAsia="Times New Roman" w:hAnsi="Times New Roman" w:cs="Times New Roman"/>
          <w:sz w:val="24"/>
          <w:szCs w:val="24"/>
        </w:rPr>
        <w:t>agritourism</w:t>
      </w:r>
      <w:proofErr w:type="spellEnd"/>
      <w:r w:rsidRPr="00EF1015">
        <w:rPr>
          <w:rFonts w:ascii="Times New Roman" w:eastAsia="Times New Roman" w:hAnsi="Times New Roman" w:cs="Times New Roman"/>
          <w:sz w:val="24"/>
          <w:szCs w:val="24"/>
        </w:rPr>
        <w:t xml:space="preserve"> initiatives provides an authentic experience </w:t>
      </w:r>
      <w:r w:rsidRPr="00EF1015">
        <w:rPr>
          <w:rFonts w:ascii="Times New Roman" w:eastAsia="Times New Roman" w:hAnsi="Times New Roman" w:cs="Times New Roman"/>
          <w:sz w:val="24"/>
          <w:szCs w:val="24"/>
        </w:rPr>
        <w:lastRenderedPageBreak/>
        <w:t xml:space="preserve">for tourists and drives local employment and cultural preservation (Timothy &amp; </w:t>
      </w:r>
      <w:proofErr w:type="spellStart"/>
      <w:r w:rsidRPr="00EF1015">
        <w:rPr>
          <w:rFonts w:ascii="Times New Roman" w:eastAsia="Times New Roman" w:hAnsi="Times New Roman" w:cs="Times New Roman"/>
          <w:sz w:val="24"/>
          <w:szCs w:val="24"/>
        </w:rPr>
        <w:t>Nyaupane</w:t>
      </w:r>
      <w:proofErr w:type="spellEnd"/>
      <w:r w:rsidRPr="00EF1015">
        <w:rPr>
          <w:rFonts w:ascii="Times New Roman" w:eastAsia="Times New Roman" w:hAnsi="Times New Roman" w:cs="Times New Roman"/>
          <w:sz w:val="24"/>
          <w:szCs w:val="24"/>
        </w:rPr>
        <w:t>, 2009; George &amp; George, 2004).</w:t>
      </w:r>
    </w:p>
    <w:p w:rsidR="00EF1015" w:rsidRPr="00EF1015" w:rsidRDefault="00EF1015" w:rsidP="00EF1015">
      <w:pPr>
        <w:spacing w:before="100" w:beforeAutospacing="1" w:after="100" w:afterAutospacing="1" w:line="240" w:lineRule="auto"/>
        <w:rPr>
          <w:rFonts w:ascii="Times New Roman" w:eastAsia="Times New Roman" w:hAnsi="Times New Roman" w:cs="Times New Roman"/>
          <w:sz w:val="24"/>
          <w:szCs w:val="24"/>
        </w:rPr>
      </w:pPr>
      <w:r w:rsidRPr="00EF1015">
        <w:rPr>
          <w:rFonts w:ascii="Times New Roman" w:eastAsia="Times New Roman" w:hAnsi="Times New Roman" w:cs="Times New Roman"/>
          <w:sz w:val="24"/>
          <w:szCs w:val="24"/>
        </w:rPr>
        <w:t xml:space="preserve">Ultimately, this study argues that Agra must reinvent itself as a multi-dimensional cultural and historical hub. Such repositioning requires policy shifts, private-sector collaboration, and branding strategies that move beyond the shadow of the </w:t>
      </w:r>
      <w:proofErr w:type="spellStart"/>
      <w:r w:rsidRPr="00EF1015">
        <w:rPr>
          <w:rFonts w:ascii="Times New Roman" w:eastAsia="Times New Roman" w:hAnsi="Times New Roman" w:cs="Times New Roman"/>
          <w:sz w:val="24"/>
          <w:szCs w:val="24"/>
        </w:rPr>
        <w:t>Taj</w:t>
      </w:r>
      <w:proofErr w:type="spellEnd"/>
      <w:r w:rsidRPr="00EF1015">
        <w:rPr>
          <w:rFonts w:ascii="Times New Roman" w:eastAsia="Times New Roman" w:hAnsi="Times New Roman" w:cs="Times New Roman"/>
          <w:sz w:val="24"/>
          <w:szCs w:val="24"/>
        </w:rPr>
        <w:t xml:space="preserve"> </w:t>
      </w:r>
      <w:proofErr w:type="spellStart"/>
      <w:r w:rsidRPr="00EF1015">
        <w:rPr>
          <w:rFonts w:ascii="Times New Roman" w:eastAsia="Times New Roman" w:hAnsi="Times New Roman" w:cs="Times New Roman"/>
          <w:sz w:val="24"/>
          <w:szCs w:val="24"/>
        </w:rPr>
        <w:t>Mahal</w:t>
      </w:r>
      <w:proofErr w:type="spellEnd"/>
      <w:r w:rsidRPr="00EF1015">
        <w:rPr>
          <w:rFonts w:ascii="Times New Roman" w:eastAsia="Times New Roman" w:hAnsi="Times New Roman" w:cs="Times New Roman"/>
          <w:sz w:val="24"/>
          <w:szCs w:val="24"/>
        </w:rPr>
        <w:t>. The TALC-based reinvention strategy serves as a blueprint for other stagnating heritage destinations as well.</w:t>
      </w:r>
    </w:p>
    <w:p w:rsidR="00EF1015" w:rsidRPr="00EF1015" w:rsidRDefault="00EF1015" w:rsidP="00EF1015">
      <w:pPr>
        <w:spacing w:after="0" w:line="240" w:lineRule="auto"/>
        <w:rPr>
          <w:rFonts w:ascii="Times New Roman" w:eastAsia="Times New Roman" w:hAnsi="Times New Roman" w:cs="Times New Roman"/>
          <w:sz w:val="24"/>
          <w:szCs w:val="24"/>
        </w:rPr>
      </w:pPr>
    </w:p>
    <w:p w:rsidR="00EF1015" w:rsidRPr="00EF1015" w:rsidRDefault="00EF1015" w:rsidP="00EF1015">
      <w:pPr>
        <w:spacing w:before="100" w:beforeAutospacing="1" w:after="100" w:afterAutospacing="1" w:line="240" w:lineRule="auto"/>
        <w:outlineLvl w:val="1"/>
        <w:rPr>
          <w:rFonts w:ascii="Times New Roman" w:eastAsia="Times New Roman" w:hAnsi="Times New Roman" w:cs="Times New Roman"/>
          <w:b/>
          <w:bCs/>
          <w:sz w:val="36"/>
          <w:szCs w:val="36"/>
        </w:rPr>
      </w:pPr>
      <w:r w:rsidRPr="00EF1015">
        <w:rPr>
          <w:rFonts w:ascii="Times New Roman" w:eastAsia="Times New Roman" w:hAnsi="Times New Roman" w:cs="Times New Roman"/>
          <w:b/>
          <w:bCs/>
          <w:sz w:val="36"/>
          <w:szCs w:val="36"/>
        </w:rPr>
        <w:t>2. Introduction</w:t>
      </w:r>
    </w:p>
    <w:p w:rsidR="00EF1015" w:rsidRPr="00EF1015" w:rsidRDefault="00EF1015" w:rsidP="00EF1015">
      <w:pPr>
        <w:spacing w:before="100" w:beforeAutospacing="1" w:after="100" w:afterAutospacing="1" w:line="240" w:lineRule="auto"/>
        <w:rPr>
          <w:rFonts w:ascii="Times New Roman" w:eastAsia="Times New Roman" w:hAnsi="Times New Roman" w:cs="Times New Roman"/>
          <w:sz w:val="24"/>
          <w:szCs w:val="24"/>
        </w:rPr>
      </w:pPr>
      <w:r w:rsidRPr="00EF1015">
        <w:rPr>
          <w:rFonts w:ascii="Times New Roman" w:eastAsia="Times New Roman" w:hAnsi="Times New Roman" w:cs="Times New Roman"/>
          <w:sz w:val="24"/>
          <w:szCs w:val="24"/>
        </w:rPr>
        <w:t xml:space="preserve">Agra stands as a symbol of India’s historical grandeur, attracting millions with its most prominent jewel—the </w:t>
      </w:r>
      <w:proofErr w:type="spellStart"/>
      <w:r w:rsidRPr="00EF1015">
        <w:rPr>
          <w:rFonts w:ascii="Times New Roman" w:eastAsia="Times New Roman" w:hAnsi="Times New Roman" w:cs="Times New Roman"/>
          <w:sz w:val="24"/>
          <w:szCs w:val="24"/>
        </w:rPr>
        <w:t>Taj</w:t>
      </w:r>
      <w:proofErr w:type="spellEnd"/>
      <w:r w:rsidRPr="00EF1015">
        <w:rPr>
          <w:rFonts w:ascii="Times New Roman" w:eastAsia="Times New Roman" w:hAnsi="Times New Roman" w:cs="Times New Roman"/>
          <w:sz w:val="24"/>
          <w:szCs w:val="24"/>
        </w:rPr>
        <w:t xml:space="preserve"> </w:t>
      </w:r>
      <w:proofErr w:type="spellStart"/>
      <w:r w:rsidRPr="00EF1015">
        <w:rPr>
          <w:rFonts w:ascii="Times New Roman" w:eastAsia="Times New Roman" w:hAnsi="Times New Roman" w:cs="Times New Roman"/>
          <w:sz w:val="24"/>
          <w:szCs w:val="24"/>
        </w:rPr>
        <w:t>Mahal</w:t>
      </w:r>
      <w:proofErr w:type="spellEnd"/>
      <w:r w:rsidRPr="00EF1015">
        <w:rPr>
          <w:rFonts w:ascii="Times New Roman" w:eastAsia="Times New Roman" w:hAnsi="Times New Roman" w:cs="Times New Roman"/>
          <w:sz w:val="24"/>
          <w:szCs w:val="24"/>
        </w:rPr>
        <w:t xml:space="preserve">. However, the city's global popularity does not translate into proportionate economic or social benefits for its residents. The issue lies in Agra’s overdependence on one site, resulting in a high influx of day-trippers who do not engage with the city beyond the monument (Jain &amp; </w:t>
      </w:r>
      <w:proofErr w:type="spellStart"/>
      <w:r w:rsidRPr="00EF1015">
        <w:rPr>
          <w:rFonts w:ascii="Times New Roman" w:eastAsia="Times New Roman" w:hAnsi="Times New Roman" w:cs="Times New Roman"/>
          <w:sz w:val="24"/>
          <w:szCs w:val="24"/>
        </w:rPr>
        <w:t>Trivedi</w:t>
      </w:r>
      <w:proofErr w:type="spellEnd"/>
      <w:r w:rsidRPr="00EF1015">
        <w:rPr>
          <w:rFonts w:ascii="Times New Roman" w:eastAsia="Times New Roman" w:hAnsi="Times New Roman" w:cs="Times New Roman"/>
          <w:sz w:val="24"/>
          <w:szCs w:val="24"/>
        </w:rPr>
        <w:t>, 2020). This lack of tourist dispersion restricts spending across sectors and leads to missed opportunities in hospitality, retail, and artisanal economies.</w:t>
      </w:r>
    </w:p>
    <w:p w:rsidR="00EF1015" w:rsidRPr="00EF1015" w:rsidRDefault="00EF1015" w:rsidP="00EF1015">
      <w:pPr>
        <w:spacing w:before="100" w:beforeAutospacing="1" w:after="100" w:afterAutospacing="1" w:line="240" w:lineRule="auto"/>
        <w:rPr>
          <w:rFonts w:ascii="Times New Roman" w:eastAsia="Times New Roman" w:hAnsi="Times New Roman" w:cs="Times New Roman"/>
          <w:sz w:val="24"/>
          <w:szCs w:val="24"/>
        </w:rPr>
      </w:pPr>
      <w:r w:rsidRPr="00EF1015">
        <w:rPr>
          <w:rFonts w:ascii="Times New Roman" w:eastAsia="Times New Roman" w:hAnsi="Times New Roman" w:cs="Times New Roman"/>
          <w:sz w:val="24"/>
          <w:szCs w:val="24"/>
        </w:rPr>
        <w:t xml:space="preserve">Tourism in Agra has reached a plateau, marked by signs of stagnation such as overcrowded attractions, declining visitor satisfaction, and poor infrastructure (Sharma &amp; Gupta, 2019). Over-tourism around the </w:t>
      </w:r>
      <w:proofErr w:type="spellStart"/>
      <w:r w:rsidRPr="00EF1015">
        <w:rPr>
          <w:rFonts w:ascii="Times New Roman" w:eastAsia="Times New Roman" w:hAnsi="Times New Roman" w:cs="Times New Roman"/>
          <w:sz w:val="24"/>
          <w:szCs w:val="24"/>
        </w:rPr>
        <w:t>Taj</w:t>
      </w:r>
      <w:proofErr w:type="spellEnd"/>
      <w:r w:rsidRPr="00EF1015">
        <w:rPr>
          <w:rFonts w:ascii="Times New Roman" w:eastAsia="Times New Roman" w:hAnsi="Times New Roman" w:cs="Times New Roman"/>
          <w:sz w:val="24"/>
          <w:szCs w:val="24"/>
        </w:rPr>
        <w:t xml:space="preserve"> has caused environmental degradation, logistical bottlenecks, and local discontent. These problems are compounded by insufficient promotion of Agra’s other heritage assets and the near-total absence of a nighttime economy (Singh, 2016). As a result, the city's tourism industry is underperforming in comparison to its potential.</w:t>
      </w:r>
    </w:p>
    <w:p w:rsidR="00EF1015" w:rsidRPr="00EF1015" w:rsidRDefault="00EF1015" w:rsidP="00EF1015">
      <w:pPr>
        <w:spacing w:before="100" w:beforeAutospacing="1" w:after="100" w:afterAutospacing="1" w:line="240" w:lineRule="auto"/>
        <w:rPr>
          <w:rFonts w:ascii="Times New Roman" w:eastAsia="Times New Roman" w:hAnsi="Times New Roman" w:cs="Times New Roman"/>
          <w:sz w:val="24"/>
          <w:szCs w:val="24"/>
        </w:rPr>
      </w:pPr>
      <w:r w:rsidRPr="00EF1015">
        <w:rPr>
          <w:rFonts w:ascii="Times New Roman" w:eastAsia="Times New Roman" w:hAnsi="Times New Roman" w:cs="Times New Roman"/>
          <w:sz w:val="24"/>
          <w:szCs w:val="24"/>
        </w:rPr>
        <w:t>The Tourism Area Life Cycle (TALC) model offers a structured lens to analyze this situation. According to Butler (1980), stagnation in tourism occurs when visitor numbers peak and begin to decline due to factors such as overdevelopment, loss of authenticity, and limited innovation. Agra shows many of these symptoms, especially in the form of repetitive tourist experiences and poor diversification of attractions. This makes TALC an apt theoretical model for understanding Agra’s current challenges.</w:t>
      </w:r>
    </w:p>
    <w:p w:rsidR="00EF1015" w:rsidRPr="00EF1015" w:rsidRDefault="00EF1015" w:rsidP="00EF1015">
      <w:pPr>
        <w:spacing w:before="100" w:beforeAutospacing="1" w:after="100" w:afterAutospacing="1" w:line="240" w:lineRule="auto"/>
        <w:rPr>
          <w:rFonts w:ascii="Times New Roman" w:eastAsia="Times New Roman" w:hAnsi="Times New Roman" w:cs="Times New Roman"/>
          <w:sz w:val="24"/>
          <w:szCs w:val="24"/>
        </w:rPr>
      </w:pPr>
      <w:r w:rsidRPr="00EF1015">
        <w:rPr>
          <w:rFonts w:ascii="Times New Roman" w:eastAsia="Times New Roman" w:hAnsi="Times New Roman" w:cs="Times New Roman"/>
          <w:sz w:val="24"/>
          <w:szCs w:val="24"/>
        </w:rPr>
        <w:t xml:space="preserve">The lack of tourist dispersion also negatively impacts rural and suburban areas surrounding Agra, such as </w:t>
      </w:r>
      <w:proofErr w:type="spellStart"/>
      <w:r w:rsidRPr="00EF1015">
        <w:rPr>
          <w:rFonts w:ascii="Times New Roman" w:eastAsia="Times New Roman" w:hAnsi="Times New Roman" w:cs="Times New Roman"/>
          <w:sz w:val="24"/>
          <w:szCs w:val="24"/>
        </w:rPr>
        <w:t>Kachhpura</w:t>
      </w:r>
      <w:proofErr w:type="spellEnd"/>
      <w:r w:rsidRPr="00EF1015">
        <w:rPr>
          <w:rFonts w:ascii="Times New Roman" w:eastAsia="Times New Roman" w:hAnsi="Times New Roman" w:cs="Times New Roman"/>
          <w:sz w:val="24"/>
          <w:szCs w:val="24"/>
        </w:rPr>
        <w:t xml:space="preserve"> and </w:t>
      </w:r>
      <w:proofErr w:type="spellStart"/>
      <w:r w:rsidRPr="00EF1015">
        <w:rPr>
          <w:rFonts w:ascii="Times New Roman" w:eastAsia="Times New Roman" w:hAnsi="Times New Roman" w:cs="Times New Roman"/>
          <w:sz w:val="24"/>
          <w:szCs w:val="24"/>
        </w:rPr>
        <w:t>Fatehpur</w:t>
      </w:r>
      <w:proofErr w:type="spellEnd"/>
      <w:r w:rsidRPr="00EF1015">
        <w:rPr>
          <w:rFonts w:ascii="Times New Roman" w:eastAsia="Times New Roman" w:hAnsi="Times New Roman" w:cs="Times New Roman"/>
          <w:sz w:val="24"/>
          <w:szCs w:val="24"/>
        </w:rPr>
        <w:t xml:space="preserve"> </w:t>
      </w:r>
      <w:proofErr w:type="spellStart"/>
      <w:r w:rsidRPr="00EF1015">
        <w:rPr>
          <w:rFonts w:ascii="Times New Roman" w:eastAsia="Times New Roman" w:hAnsi="Times New Roman" w:cs="Times New Roman"/>
          <w:sz w:val="24"/>
          <w:szCs w:val="24"/>
        </w:rPr>
        <w:t>Sikri</w:t>
      </w:r>
      <w:proofErr w:type="spellEnd"/>
      <w:r w:rsidRPr="00EF1015">
        <w:rPr>
          <w:rFonts w:ascii="Times New Roman" w:eastAsia="Times New Roman" w:hAnsi="Times New Roman" w:cs="Times New Roman"/>
          <w:sz w:val="24"/>
          <w:szCs w:val="24"/>
        </w:rPr>
        <w:t xml:space="preserve">. Despite being rich in cultural and natural resources, these areas remain disconnected from the primary tourism circuit (Asher, 2006). This spatial inequality in tourism development fosters a </w:t>
      </w:r>
      <w:proofErr w:type="spellStart"/>
      <w:r w:rsidRPr="00EF1015">
        <w:rPr>
          <w:rFonts w:ascii="Times New Roman" w:eastAsia="Times New Roman" w:hAnsi="Times New Roman" w:cs="Times New Roman"/>
          <w:sz w:val="24"/>
          <w:szCs w:val="24"/>
        </w:rPr>
        <w:t>monocultural</w:t>
      </w:r>
      <w:proofErr w:type="spellEnd"/>
      <w:r w:rsidRPr="00EF1015">
        <w:rPr>
          <w:rFonts w:ascii="Times New Roman" w:eastAsia="Times New Roman" w:hAnsi="Times New Roman" w:cs="Times New Roman"/>
          <w:sz w:val="24"/>
          <w:szCs w:val="24"/>
        </w:rPr>
        <w:t xml:space="preserve"> economy and prevents local communities from reaping the benefits of tourism growth.</w:t>
      </w:r>
    </w:p>
    <w:p w:rsidR="00EF1015" w:rsidRPr="00EF1015" w:rsidRDefault="00EF1015" w:rsidP="00EF1015">
      <w:pPr>
        <w:spacing w:before="100" w:beforeAutospacing="1" w:after="100" w:afterAutospacing="1" w:line="240" w:lineRule="auto"/>
        <w:rPr>
          <w:rFonts w:ascii="Times New Roman" w:eastAsia="Times New Roman" w:hAnsi="Times New Roman" w:cs="Times New Roman"/>
          <w:sz w:val="24"/>
          <w:szCs w:val="24"/>
        </w:rPr>
      </w:pPr>
      <w:r w:rsidRPr="00EF1015">
        <w:rPr>
          <w:rFonts w:ascii="Times New Roman" w:eastAsia="Times New Roman" w:hAnsi="Times New Roman" w:cs="Times New Roman"/>
          <w:sz w:val="24"/>
          <w:szCs w:val="24"/>
        </w:rPr>
        <w:t>Additionally, the absence of smart tourism infrastructure limits Agra’s appeal to younger, tech-savvy travelers who expect seamless digital integration in their journeys (</w:t>
      </w:r>
      <w:proofErr w:type="spellStart"/>
      <w:r w:rsidRPr="00EF1015">
        <w:rPr>
          <w:rFonts w:ascii="Times New Roman" w:eastAsia="Times New Roman" w:hAnsi="Times New Roman" w:cs="Times New Roman"/>
          <w:sz w:val="24"/>
          <w:szCs w:val="24"/>
        </w:rPr>
        <w:t>Gretzel</w:t>
      </w:r>
      <w:proofErr w:type="spellEnd"/>
      <w:r w:rsidRPr="00EF1015">
        <w:rPr>
          <w:rFonts w:ascii="Times New Roman" w:eastAsia="Times New Roman" w:hAnsi="Times New Roman" w:cs="Times New Roman"/>
          <w:sz w:val="24"/>
          <w:szCs w:val="24"/>
        </w:rPr>
        <w:t xml:space="preserve"> et al., 2015). Inadequate signage, poor transit connectivity, and outdated booking systems frustrate visitors and inhibit return tourism. These issues underscore the urgent need for both digital modernization and stakeholder collaboration across sectors.</w:t>
      </w:r>
    </w:p>
    <w:p w:rsidR="00EF1015" w:rsidRPr="00EF1015" w:rsidRDefault="00EF1015" w:rsidP="00EF1015">
      <w:pPr>
        <w:spacing w:before="100" w:beforeAutospacing="1" w:after="100" w:afterAutospacing="1" w:line="240" w:lineRule="auto"/>
        <w:rPr>
          <w:rFonts w:ascii="Times New Roman" w:eastAsia="Times New Roman" w:hAnsi="Times New Roman" w:cs="Times New Roman"/>
          <w:sz w:val="24"/>
          <w:szCs w:val="24"/>
        </w:rPr>
      </w:pPr>
      <w:r w:rsidRPr="00EF1015">
        <w:rPr>
          <w:rFonts w:ascii="Times New Roman" w:eastAsia="Times New Roman" w:hAnsi="Times New Roman" w:cs="Times New Roman"/>
          <w:sz w:val="24"/>
          <w:szCs w:val="24"/>
        </w:rPr>
        <w:lastRenderedPageBreak/>
        <w:t>Given these multi-layered issues, this paper aims to explore a reinvention strategy for Agra, using the TALC model as a diagnostic tool. By proposing multidimensional approaches rooted in sustainability, cultural diversification, and smart infrastructure, the paper hopes to offer a roadmap for Agra’s transformation into a dynamic, resilient, and inclusive tourism destination.</w:t>
      </w:r>
    </w:p>
    <w:p w:rsidR="00EF1015" w:rsidRPr="00EF1015" w:rsidRDefault="00EF1015" w:rsidP="00EF1015">
      <w:pPr>
        <w:spacing w:after="0" w:line="240" w:lineRule="auto"/>
        <w:rPr>
          <w:rFonts w:ascii="Times New Roman" w:eastAsia="Times New Roman" w:hAnsi="Times New Roman" w:cs="Times New Roman"/>
          <w:sz w:val="24"/>
          <w:szCs w:val="24"/>
        </w:rPr>
      </w:pPr>
    </w:p>
    <w:p w:rsidR="00EF1015" w:rsidRPr="00EF1015" w:rsidRDefault="00EF1015" w:rsidP="00EF1015">
      <w:pPr>
        <w:spacing w:before="100" w:beforeAutospacing="1" w:after="100" w:afterAutospacing="1" w:line="240" w:lineRule="auto"/>
        <w:outlineLvl w:val="1"/>
        <w:rPr>
          <w:rFonts w:ascii="Times New Roman" w:eastAsia="Times New Roman" w:hAnsi="Times New Roman" w:cs="Times New Roman"/>
          <w:b/>
          <w:bCs/>
          <w:sz w:val="36"/>
          <w:szCs w:val="36"/>
        </w:rPr>
      </w:pPr>
      <w:r w:rsidRPr="00EF1015">
        <w:rPr>
          <w:rFonts w:ascii="Times New Roman" w:eastAsia="Times New Roman" w:hAnsi="Times New Roman" w:cs="Times New Roman"/>
          <w:b/>
          <w:bCs/>
          <w:sz w:val="36"/>
          <w:szCs w:val="36"/>
        </w:rPr>
        <w:t>3. Literature Review</w:t>
      </w:r>
    </w:p>
    <w:p w:rsidR="00EF1015" w:rsidRPr="00EF1015" w:rsidRDefault="00EF1015" w:rsidP="00EF1015">
      <w:pPr>
        <w:spacing w:before="100" w:beforeAutospacing="1" w:after="100" w:afterAutospacing="1" w:line="240" w:lineRule="auto"/>
        <w:outlineLvl w:val="2"/>
        <w:rPr>
          <w:rFonts w:ascii="Times New Roman" w:eastAsia="Times New Roman" w:hAnsi="Times New Roman" w:cs="Times New Roman"/>
          <w:b/>
          <w:bCs/>
          <w:sz w:val="27"/>
          <w:szCs w:val="27"/>
        </w:rPr>
      </w:pPr>
      <w:r w:rsidRPr="00EF1015">
        <w:rPr>
          <w:rFonts w:ascii="Times New Roman" w:eastAsia="Times New Roman" w:hAnsi="Times New Roman" w:cs="Times New Roman"/>
          <w:b/>
          <w:bCs/>
          <w:sz w:val="27"/>
          <w:szCs w:val="27"/>
        </w:rPr>
        <w:t>3.1 TALC and Urban Heritage Cities</w:t>
      </w:r>
    </w:p>
    <w:p w:rsidR="00EF1015" w:rsidRPr="00EF1015" w:rsidRDefault="00EF1015" w:rsidP="00EF1015">
      <w:pPr>
        <w:spacing w:before="100" w:beforeAutospacing="1" w:after="100" w:afterAutospacing="1" w:line="240" w:lineRule="auto"/>
        <w:rPr>
          <w:rFonts w:ascii="Times New Roman" w:eastAsia="Times New Roman" w:hAnsi="Times New Roman" w:cs="Times New Roman"/>
          <w:sz w:val="24"/>
          <w:szCs w:val="24"/>
        </w:rPr>
      </w:pPr>
      <w:r w:rsidRPr="00EF1015">
        <w:rPr>
          <w:rFonts w:ascii="Times New Roman" w:eastAsia="Times New Roman" w:hAnsi="Times New Roman" w:cs="Times New Roman"/>
          <w:sz w:val="24"/>
          <w:szCs w:val="24"/>
        </w:rPr>
        <w:t xml:space="preserve">The Tourism Area Life Cycle (TALC) model introduced by Butler (1980) describes the evolutionary stages of tourist destinations, including exploration, development, stagnation, and potential decline. Urban heritage cities like Agra are prone to stagnation once their iconic sites become saturated and </w:t>
      </w:r>
      <w:proofErr w:type="spellStart"/>
      <w:r w:rsidRPr="00EF1015">
        <w:rPr>
          <w:rFonts w:ascii="Times New Roman" w:eastAsia="Times New Roman" w:hAnsi="Times New Roman" w:cs="Times New Roman"/>
          <w:sz w:val="24"/>
          <w:szCs w:val="24"/>
        </w:rPr>
        <w:t>overcommercialized</w:t>
      </w:r>
      <w:proofErr w:type="spellEnd"/>
      <w:r w:rsidRPr="00EF1015">
        <w:rPr>
          <w:rFonts w:ascii="Times New Roman" w:eastAsia="Times New Roman" w:hAnsi="Times New Roman" w:cs="Times New Roman"/>
          <w:sz w:val="24"/>
          <w:szCs w:val="24"/>
        </w:rPr>
        <w:t>. Studies have highlighted that Agra's reliance on a single monument has resulted in tourism fatigue, leading to minimal innovation in tourist offerings (Sharma &amp; Gupta, 2019; Singh, 2016). The stagnation stage is also marked by poor visitor experience, infrastructural stress, and diminishing economic returns despite stable visitor numbers.</w:t>
      </w:r>
    </w:p>
    <w:p w:rsidR="00EF1015" w:rsidRPr="00EF1015" w:rsidRDefault="00EF1015" w:rsidP="00EF1015">
      <w:pPr>
        <w:spacing w:before="100" w:beforeAutospacing="1" w:after="100" w:afterAutospacing="1" w:line="240" w:lineRule="auto"/>
        <w:rPr>
          <w:rFonts w:ascii="Times New Roman" w:eastAsia="Times New Roman" w:hAnsi="Times New Roman" w:cs="Times New Roman"/>
          <w:sz w:val="24"/>
          <w:szCs w:val="24"/>
        </w:rPr>
      </w:pPr>
      <w:r w:rsidRPr="00EF1015">
        <w:rPr>
          <w:rFonts w:ascii="Times New Roman" w:eastAsia="Times New Roman" w:hAnsi="Times New Roman" w:cs="Times New Roman"/>
          <w:sz w:val="24"/>
          <w:szCs w:val="24"/>
        </w:rPr>
        <w:t xml:space="preserve">Recent applications of TALC in cities like Venice and Athens show how over-tourism accelerates destination fatigue, especially in heritage cities that fail to innovate (Russo, 2002; </w:t>
      </w:r>
      <w:proofErr w:type="spellStart"/>
      <w:r w:rsidRPr="00EF1015">
        <w:rPr>
          <w:rFonts w:ascii="Times New Roman" w:eastAsia="Times New Roman" w:hAnsi="Times New Roman" w:cs="Times New Roman"/>
          <w:sz w:val="24"/>
          <w:szCs w:val="24"/>
        </w:rPr>
        <w:t>Koens</w:t>
      </w:r>
      <w:proofErr w:type="spellEnd"/>
      <w:r w:rsidRPr="00EF1015">
        <w:rPr>
          <w:rFonts w:ascii="Times New Roman" w:eastAsia="Times New Roman" w:hAnsi="Times New Roman" w:cs="Times New Roman"/>
          <w:sz w:val="24"/>
          <w:szCs w:val="24"/>
        </w:rPr>
        <w:t xml:space="preserve"> et al., 2018). Agra reflects similar trends—limited policy diversification, uneven spatial development, and minimal reinvestment into emerging tourism clusters. Scholars argue that failure to diversify tourism narratives beyond a single monument contributes significantly to stagnation (</w:t>
      </w:r>
      <w:proofErr w:type="spellStart"/>
      <w:r w:rsidRPr="00EF1015">
        <w:rPr>
          <w:rFonts w:ascii="Times New Roman" w:eastAsia="Times New Roman" w:hAnsi="Times New Roman" w:cs="Times New Roman"/>
          <w:sz w:val="24"/>
          <w:szCs w:val="24"/>
        </w:rPr>
        <w:t>Briedenhann</w:t>
      </w:r>
      <w:proofErr w:type="spellEnd"/>
      <w:r w:rsidRPr="00EF1015">
        <w:rPr>
          <w:rFonts w:ascii="Times New Roman" w:eastAsia="Times New Roman" w:hAnsi="Times New Roman" w:cs="Times New Roman"/>
          <w:sz w:val="24"/>
          <w:szCs w:val="24"/>
        </w:rPr>
        <w:t xml:space="preserve"> &amp; </w:t>
      </w:r>
      <w:proofErr w:type="spellStart"/>
      <w:r w:rsidRPr="00EF1015">
        <w:rPr>
          <w:rFonts w:ascii="Times New Roman" w:eastAsia="Times New Roman" w:hAnsi="Times New Roman" w:cs="Times New Roman"/>
          <w:sz w:val="24"/>
          <w:szCs w:val="24"/>
        </w:rPr>
        <w:t>Wickens</w:t>
      </w:r>
      <w:proofErr w:type="spellEnd"/>
      <w:r w:rsidRPr="00EF1015">
        <w:rPr>
          <w:rFonts w:ascii="Times New Roman" w:eastAsia="Times New Roman" w:hAnsi="Times New Roman" w:cs="Times New Roman"/>
          <w:sz w:val="24"/>
          <w:szCs w:val="24"/>
        </w:rPr>
        <w:t>, 2004).</w:t>
      </w:r>
    </w:p>
    <w:p w:rsidR="00EF1015" w:rsidRPr="00EF1015" w:rsidRDefault="00EF1015" w:rsidP="00EF1015">
      <w:pPr>
        <w:spacing w:before="100" w:beforeAutospacing="1" w:after="100" w:afterAutospacing="1" w:line="240" w:lineRule="auto"/>
        <w:outlineLvl w:val="2"/>
        <w:rPr>
          <w:rFonts w:ascii="Times New Roman" w:eastAsia="Times New Roman" w:hAnsi="Times New Roman" w:cs="Times New Roman"/>
          <w:b/>
          <w:bCs/>
          <w:sz w:val="27"/>
          <w:szCs w:val="27"/>
        </w:rPr>
      </w:pPr>
      <w:r w:rsidRPr="00EF1015">
        <w:rPr>
          <w:rFonts w:ascii="Times New Roman" w:eastAsia="Times New Roman" w:hAnsi="Times New Roman" w:cs="Times New Roman"/>
          <w:b/>
          <w:bCs/>
          <w:sz w:val="27"/>
          <w:szCs w:val="27"/>
        </w:rPr>
        <w:t>3.2 Tourism Monoculture Risks</w:t>
      </w:r>
    </w:p>
    <w:p w:rsidR="00EF1015" w:rsidRPr="00EF1015" w:rsidRDefault="00EF1015" w:rsidP="00EF1015">
      <w:pPr>
        <w:spacing w:before="100" w:beforeAutospacing="1" w:after="100" w:afterAutospacing="1" w:line="240" w:lineRule="auto"/>
        <w:rPr>
          <w:rFonts w:ascii="Times New Roman" w:eastAsia="Times New Roman" w:hAnsi="Times New Roman" w:cs="Times New Roman"/>
          <w:sz w:val="24"/>
          <w:szCs w:val="24"/>
        </w:rPr>
      </w:pPr>
      <w:r w:rsidRPr="00EF1015">
        <w:rPr>
          <w:rFonts w:ascii="Times New Roman" w:eastAsia="Times New Roman" w:hAnsi="Times New Roman" w:cs="Times New Roman"/>
          <w:sz w:val="24"/>
          <w:szCs w:val="24"/>
        </w:rPr>
        <w:t xml:space="preserve">Monoculture in tourism refers to an over-reliance on one form or site of attraction. Agra presents a textbook case where tourism monoculture around the </w:t>
      </w:r>
      <w:proofErr w:type="spellStart"/>
      <w:r w:rsidRPr="00EF1015">
        <w:rPr>
          <w:rFonts w:ascii="Times New Roman" w:eastAsia="Times New Roman" w:hAnsi="Times New Roman" w:cs="Times New Roman"/>
          <w:sz w:val="24"/>
          <w:szCs w:val="24"/>
        </w:rPr>
        <w:t>Taj</w:t>
      </w:r>
      <w:proofErr w:type="spellEnd"/>
      <w:r w:rsidRPr="00EF1015">
        <w:rPr>
          <w:rFonts w:ascii="Times New Roman" w:eastAsia="Times New Roman" w:hAnsi="Times New Roman" w:cs="Times New Roman"/>
          <w:sz w:val="24"/>
          <w:szCs w:val="24"/>
        </w:rPr>
        <w:t xml:space="preserve"> </w:t>
      </w:r>
      <w:proofErr w:type="spellStart"/>
      <w:r w:rsidRPr="00EF1015">
        <w:rPr>
          <w:rFonts w:ascii="Times New Roman" w:eastAsia="Times New Roman" w:hAnsi="Times New Roman" w:cs="Times New Roman"/>
          <w:sz w:val="24"/>
          <w:szCs w:val="24"/>
        </w:rPr>
        <w:t>Mahal</w:t>
      </w:r>
      <w:proofErr w:type="spellEnd"/>
      <w:r w:rsidRPr="00EF1015">
        <w:rPr>
          <w:rFonts w:ascii="Times New Roman" w:eastAsia="Times New Roman" w:hAnsi="Times New Roman" w:cs="Times New Roman"/>
          <w:sz w:val="24"/>
          <w:szCs w:val="24"/>
        </w:rPr>
        <w:t xml:space="preserve"> has resulted in the marginalization of other cultural, culinary, and historical assets (Richards, 2011). This singularity in tourism strategy makes the city vulnerable to sudden drops in tourist arrivals and offers little incentive for tourists to extend their stay or explore further.</w:t>
      </w:r>
    </w:p>
    <w:p w:rsidR="00EF1015" w:rsidRPr="00EF1015" w:rsidRDefault="00EF1015" w:rsidP="00EF1015">
      <w:pPr>
        <w:spacing w:before="100" w:beforeAutospacing="1" w:after="100" w:afterAutospacing="1" w:line="240" w:lineRule="auto"/>
        <w:rPr>
          <w:rFonts w:ascii="Times New Roman" w:eastAsia="Times New Roman" w:hAnsi="Times New Roman" w:cs="Times New Roman"/>
          <w:sz w:val="24"/>
          <w:szCs w:val="24"/>
        </w:rPr>
      </w:pPr>
      <w:r w:rsidRPr="00EF1015">
        <w:rPr>
          <w:rFonts w:ascii="Times New Roman" w:eastAsia="Times New Roman" w:hAnsi="Times New Roman" w:cs="Times New Roman"/>
          <w:sz w:val="24"/>
          <w:szCs w:val="24"/>
        </w:rPr>
        <w:t xml:space="preserve">Furthermore, monoculture tourism often leads to the </w:t>
      </w:r>
      <w:proofErr w:type="spellStart"/>
      <w:r w:rsidRPr="00EF1015">
        <w:rPr>
          <w:rFonts w:ascii="Times New Roman" w:eastAsia="Times New Roman" w:hAnsi="Times New Roman" w:cs="Times New Roman"/>
          <w:sz w:val="24"/>
          <w:szCs w:val="24"/>
        </w:rPr>
        <w:t>commodification</w:t>
      </w:r>
      <w:proofErr w:type="spellEnd"/>
      <w:r w:rsidRPr="00EF1015">
        <w:rPr>
          <w:rFonts w:ascii="Times New Roman" w:eastAsia="Times New Roman" w:hAnsi="Times New Roman" w:cs="Times New Roman"/>
          <w:sz w:val="24"/>
          <w:szCs w:val="24"/>
        </w:rPr>
        <w:t xml:space="preserve"> of heritage, loss of authenticity, and spatial inequality (Timothy &amp; </w:t>
      </w:r>
      <w:proofErr w:type="spellStart"/>
      <w:r w:rsidRPr="00EF1015">
        <w:rPr>
          <w:rFonts w:ascii="Times New Roman" w:eastAsia="Times New Roman" w:hAnsi="Times New Roman" w:cs="Times New Roman"/>
          <w:sz w:val="24"/>
          <w:szCs w:val="24"/>
        </w:rPr>
        <w:t>Nyaupane</w:t>
      </w:r>
      <w:proofErr w:type="spellEnd"/>
      <w:r w:rsidRPr="00EF1015">
        <w:rPr>
          <w:rFonts w:ascii="Times New Roman" w:eastAsia="Times New Roman" w:hAnsi="Times New Roman" w:cs="Times New Roman"/>
          <w:sz w:val="24"/>
          <w:szCs w:val="24"/>
        </w:rPr>
        <w:t xml:space="preserve">, 2009). Local businesses, especially those situated away from the </w:t>
      </w:r>
      <w:proofErr w:type="spellStart"/>
      <w:r w:rsidRPr="00EF1015">
        <w:rPr>
          <w:rFonts w:ascii="Times New Roman" w:eastAsia="Times New Roman" w:hAnsi="Times New Roman" w:cs="Times New Roman"/>
          <w:sz w:val="24"/>
          <w:szCs w:val="24"/>
        </w:rPr>
        <w:t>Taj’s</w:t>
      </w:r>
      <w:proofErr w:type="spellEnd"/>
      <w:r w:rsidRPr="00EF1015">
        <w:rPr>
          <w:rFonts w:ascii="Times New Roman" w:eastAsia="Times New Roman" w:hAnsi="Times New Roman" w:cs="Times New Roman"/>
          <w:sz w:val="24"/>
          <w:szCs w:val="24"/>
        </w:rPr>
        <w:t xml:space="preserve"> immediate vicinity, struggle to attract footfall. This restricts the multiplier effect of tourism, which is essential for holistic development. Diversification through cultural corridors and rural experiences is therefore critical to breaking the monoculture cycle (George &amp; George, 2004).</w:t>
      </w:r>
    </w:p>
    <w:p w:rsidR="00EF1015" w:rsidRPr="00EF1015" w:rsidRDefault="00EF1015" w:rsidP="00EF1015">
      <w:pPr>
        <w:spacing w:before="100" w:beforeAutospacing="1" w:after="100" w:afterAutospacing="1" w:line="240" w:lineRule="auto"/>
        <w:outlineLvl w:val="2"/>
        <w:rPr>
          <w:rFonts w:ascii="Times New Roman" w:eastAsia="Times New Roman" w:hAnsi="Times New Roman" w:cs="Times New Roman"/>
          <w:b/>
          <w:bCs/>
          <w:sz w:val="27"/>
          <w:szCs w:val="27"/>
        </w:rPr>
      </w:pPr>
      <w:r w:rsidRPr="00EF1015">
        <w:rPr>
          <w:rFonts w:ascii="Times New Roman" w:eastAsia="Times New Roman" w:hAnsi="Times New Roman" w:cs="Times New Roman"/>
          <w:b/>
          <w:bCs/>
          <w:sz w:val="27"/>
          <w:szCs w:val="27"/>
        </w:rPr>
        <w:t xml:space="preserve">3.3 </w:t>
      </w:r>
      <w:proofErr w:type="spellStart"/>
      <w:r w:rsidRPr="00EF1015">
        <w:rPr>
          <w:rFonts w:ascii="Times New Roman" w:eastAsia="Times New Roman" w:hAnsi="Times New Roman" w:cs="Times New Roman"/>
          <w:b/>
          <w:bCs/>
          <w:sz w:val="27"/>
          <w:szCs w:val="27"/>
        </w:rPr>
        <w:t>Mughal</w:t>
      </w:r>
      <w:proofErr w:type="spellEnd"/>
      <w:r w:rsidRPr="00EF1015">
        <w:rPr>
          <w:rFonts w:ascii="Times New Roman" w:eastAsia="Times New Roman" w:hAnsi="Times New Roman" w:cs="Times New Roman"/>
          <w:b/>
          <w:bCs/>
          <w:sz w:val="27"/>
          <w:szCs w:val="27"/>
        </w:rPr>
        <w:t xml:space="preserve"> Heritage and Cultural Routes</w:t>
      </w:r>
    </w:p>
    <w:p w:rsidR="00EF1015" w:rsidRPr="00EF1015" w:rsidRDefault="00EF1015" w:rsidP="00EF1015">
      <w:pPr>
        <w:spacing w:before="100" w:beforeAutospacing="1" w:after="100" w:afterAutospacing="1" w:line="240" w:lineRule="auto"/>
        <w:rPr>
          <w:rFonts w:ascii="Times New Roman" w:eastAsia="Times New Roman" w:hAnsi="Times New Roman" w:cs="Times New Roman"/>
          <w:sz w:val="24"/>
          <w:szCs w:val="24"/>
        </w:rPr>
      </w:pPr>
      <w:r w:rsidRPr="00EF1015">
        <w:rPr>
          <w:rFonts w:ascii="Times New Roman" w:eastAsia="Times New Roman" w:hAnsi="Times New Roman" w:cs="Times New Roman"/>
          <w:sz w:val="24"/>
          <w:szCs w:val="24"/>
        </w:rPr>
        <w:lastRenderedPageBreak/>
        <w:t xml:space="preserve">Agra’s potential lies in its rich </w:t>
      </w:r>
      <w:proofErr w:type="spellStart"/>
      <w:r w:rsidRPr="00EF1015">
        <w:rPr>
          <w:rFonts w:ascii="Times New Roman" w:eastAsia="Times New Roman" w:hAnsi="Times New Roman" w:cs="Times New Roman"/>
          <w:sz w:val="24"/>
          <w:szCs w:val="24"/>
        </w:rPr>
        <w:t>Mughal</w:t>
      </w:r>
      <w:proofErr w:type="spellEnd"/>
      <w:r w:rsidRPr="00EF1015">
        <w:rPr>
          <w:rFonts w:ascii="Times New Roman" w:eastAsia="Times New Roman" w:hAnsi="Times New Roman" w:cs="Times New Roman"/>
          <w:sz w:val="24"/>
          <w:szCs w:val="24"/>
        </w:rPr>
        <w:t xml:space="preserve"> heritage, which remains largely underexploited. Sites such as Agra Fort, </w:t>
      </w:r>
      <w:proofErr w:type="spellStart"/>
      <w:r w:rsidRPr="00EF1015">
        <w:rPr>
          <w:rFonts w:ascii="Times New Roman" w:eastAsia="Times New Roman" w:hAnsi="Times New Roman" w:cs="Times New Roman"/>
          <w:sz w:val="24"/>
          <w:szCs w:val="24"/>
        </w:rPr>
        <w:t>Fatehpur</w:t>
      </w:r>
      <w:proofErr w:type="spellEnd"/>
      <w:r w:rsidRPr="00EF1015">
        <w:rPr>
          <w:rFonts w:ascii="Times New Roman" w:eastAsia="Times New Roman" w:hAnsi="Times New Roman" w:cs="Times New Roman"/>
          <w:sz w:val="24"/>
          <w:szCs w:val="24"/>
        </w:rPr>
        <w:t xml:space="preserve"> </w:t>
      </w:r>
      <w:proofErr w:type="spellStart"/>
      <w:r w:rsidRPr="00EF1015">
        <w:rPr>
          <w:rFonts w:ascii="Times New Roman" w:eastAsia="Times New Roman" w:hAnsi="Times New Roman" w:cs="Times New Roman"/>
          <w:sz w:val="24"/>
          <w:szCs w:val="24"/>
        </w:rPr>
        <w:t>Sikri</w:t>
      </w:r>
      <w:proofErr w:type="spellEnd"/>
      <w:r w:rsidRPr="00EF1015">
        <w:rPr>
          <w:rFonts w:ascii="Times New Roman" w:eastAsia="Times New Roman" w:hAnsi="Times New Roman" w:cs="Times New Roman"/>
          <w:sz w:val="24"/>
          <w:szCs w:val="24"/>
        </w:rPr>
        <w:t xml:space="preserve">, </w:t>
      </w:r>
      <w:proofErr w:type="spellStart"/>
      <w:r w:rsidRPr="00EF1015">
        <w:rPr>
          <w:rFonts w:ascii="Times New Roman" w:eastAsia="Times New Roman" w:hAnsi="Times New Roman" w:cs="Times New Roman"/>
          <w:sz w:val="24"/>
          <w:szCs w:val="24"/>
        </w:rPr>
        <w:t>Mehtab</w:t>
      </w:r>
      <w:proofErr w:type="spellEnd"/>
      <w:r w:rsidRPr="00EF1015">
        <w:rPr>
          <w:rFonts w:ascii="Times New Roman" w:eastAsia="Times New Roman" w:hAnsi="Times New Roman" w:cs="Times New Roman"/>
          <w:sz w:val="24"/>
          <w:szCs w:val="24"/>
        </w:rPr>
        <w:t xml:space="preserve"> </w:t>
      </w:r>
      <w:proofErr w:type="spellStart"/>
      <w:r w:rsidRPr="00EF1015">
        <w:rPr>
          <w:rFonts w:ascii="Times New Roman" w:eastAsia="Times New Roman" w:hAnsi="Times New Roman" w:cs="Times New Roman"/>
          <w:sz w:val="24"/>
          <w:szCs w:val="24"/>
        </w:rPr>
        <w:t>Bagh</w:t>
      </w:r>
      <w:proofErr w:type="spellEnd"/>
      <w:r w:rsidRPr="00EF1015">
        <w:rPr>
          <w:rFonts w:ascii="Times New Roman" w:eastAsia="Times New Roman" w:hAnsi="Times New Roman" w:cs="Times New Roman"/>
          <w:sz w:val="24"/>
          <w:szCs w:val="24"/>
        </w:rPr>
        <w:t xml:space="preserve">, and the tomb of </w:t>
      </w:r>
      <w:proofErr w:type="spellStart"/>
      <w:r w:rsidRPr="00EF1015">
        <w:rPr>
          <w:rFonts w:ascii="Times New Roman" w:eastAsia="Times New Roman" w:hAnsi="Times New Roman" w:cs="Times New Roman"/>
          <w:sz w:val="24"/>
          <w:szCs w:val="24"/>
        </w:rPr>
        <w:t>Itimad-ud-Daulah</w:t>
      </w:r>
      <w:proofErr w:type="spellEnd"/>
      <w:r w:rsidRPr="00EF1015">
        <w:rPr>
          <w:rFonts w:ascii="Times New Roman" w:eastAsia="Times New Roman" w:hAnsi="Times New Roman" w:cs="Times New Roman"/>
          <w:sz w:val="24"/>
          <w:szCs w:val="24"/>
        </w:rPr>
        <w:t xml:space="preserve"> can be stitched together to create a heritage trail (Asher, 2006). However, these sites suffer from poor maintenance, inadequate signage, and limited integration with the city’s core tourism strategy. Their spatial detachment from the </w:t>
      </w:r>
      <w:proofErr w:type="spellStart"/>
      <w:r w:rsidRPr="00EF1015">
        <w:rPr>
          <w:rFonts w:ascii="Times New Roman" w:eastAsia="Times New Roman" w:hAnsi="Times New Roman" w:cs="Times New Roman"/>
          <w:sz w:val="24"/>
          <w:szCs w:val="24"/>
        </w:rPr>
        <w:t>Taj</w:t>
      </w:r>
      <w:proofErr w:type="spellEnd"/>
      <w:r w:rsidRPr="00EF1015">
        <w:rPr>
          <w:rFonts w:ascii="Times New Roman" w:eastAsia="Times New Roman" w:hAnsi="Times New Roman" w:cs="Times New Roman"/>
          <w:sz w:val="24"/>
          <w:szCs w:val="24"/>
        </w:rPr>
        <w:t xml:space="preserve"> further isolates them in the tourism experience.</w:t>
      </w:r>
    </w:p>
    <w:p w:rsidR="00EF1015" w:rsidRPr="00EF1015" w:rsidRDefault="00EF1015" w:rsidP="00EF1015">
      <w:pPr>
        <w:spacing w:before="100" w:beforeAutospacing="1" w:after="100" w:afterAutospacing="1" w:line="240" w:lineRule="auto"/>
        <w:rPr>
          <w:rFonts w:ascii="Times New Roman" w:eastAsia="Times New Roman" w:hAnsi="Times New Roman" w:cs="Times New Roman"/>
          <w:sz w:val="24"/>
          <w:szCs w:val="24"/>
        </w:rPr>
      </w:pPr>
      <w:r w:rsidRPr="00EF1015">
        <w:rPr>
          <w:rFonts w:ascii="Times New Roman" w:eastAsia="Times New Roman" w:hAnsi="Times New Roman" w:cs="Times New Roman"/>
          <w:sz w:val="24"/>
          <w:szCs w:val="24"/>
        </w:rPr>
        <w:t>Creating thematic heritage circuits can encourage longer stays and distribute tourist footfall more evenly (Bhatia, 2011). Cultural route development, combined with storytelling, can rejuvenate interest in lesser-visited sites. Scholars recommend integrating architectural history, cuisine, and crafts in these trails to offer an immersive experience (Timothy &amp; Boyd, 2003). Such integration aligns with UNESCO’s cultural tourism guidelines and presents a sustainable model for heritage promotion.</w:t>
      </w:r>
    </w:p>
    <w:p w:rsidR="00EF1015" w:rsidRPr="00EF1015" w:rsidRDefault="00EF1015" w:rsidP="00EF1015">
      <w:pPr>
        <w:spacing w:before="100" w:beforeAutospacing="1" w:after="100" w:afterAutospacing="1" w:line="240" w:lineRule="auto"/>
        <w:outlineLvl w:val="2"/>
        <w:rPr>
          <w:rFonts w:ascii="Times New Roman" w:eastAsia="Times New Roman" w:hAnsi="Times New Roman" w:cs="Times New Roman"/>
          <w:b/>
          <w:bCs/>
          <w:sz w:val="27"/>
          <w:szCs w:val="27"/>
        </w:rPr>
      </w:pPr>
      <w:r w:rsidRPr="00EF1015">
        <w:rPr>
          <w:rFonts w:ascii="Times New Roman" w:eastAsia="Times New Roman" w:hAnsi="Times New Roman" w:cs="Times New Roman"/>
          <w:b/>
          <w:bCs/>
          <w:sz w:val="27"/>
          <w:szCs w:val="27"/>
        </w:rPr>
        <w:t>3.4 Experiential and Rural Tourism</w:t>
      </w:r>
    </w:p>
    <w:p w:rsidR="00EF1015" w:rsidRPr="00EF1015" w:rsidRDefault="00EF1015" w:rsidP="00EF1015">
      <w:pPr>
        <w:spacing w:before="100" w:beforeAutospacing="1" w:after="100" w:afterAutospacing="1" w:line="240" w:lineRule="auto"/>
        <w:rPr>
          <w:rFonts w:ascii="Times New Roman" w:eastAsia="Times New Roman" w:hAnsi="Times New Roman" w:cs="Times New Roman"/>
          <w:sz w:val="24"/>
          <w:szCs w:val="24"/>
        </w:rPr>
      </w:pPr>
      <w:r w:rsidRPr="00EF1015">
        <w:rPr>
          <w:rFonts w:ascii="Times New Roman" w:eastAsia="Times New Roman" w:hAnsi="Times New Roman" w:cs="Times New Roman"/>
          <w:sz w:val="24"/>
          <w:szCs w:val="24"/>
        </w:rPr>
        <w:t>Experiential tourism focuses on meaningful, personalized, and immersive travel, offering a sharp contrast to passive sightseeing (</w:t>
      </w:r>
      <w:proofErr w:type="spellStart"/>
      <w:r w:rsidRPr="00EF1015">
        <w:rPr>
          <w:rFonts w:ascii="Times New Roman" w:eastAsia="Times New Roman" w:hAnsi="Times New Roman" w:cs="Times New Roman"/>
          <w:sz w:val="24"/>
          <w:szCs w:val="24"/>
        </w:rPr>
        <w:t>Scheyvens</w:t>
      </w:r>
      <w:proofErr w:type="spellEnd"/>
      <w:r w:rsidRPr="00EF1015">
        <w:rPr>
          <w:rFonts w:ascii="Times New Roman" w:eastAsia="Times New Roman" w:hAnsi="Times New Roman" w:cs="Times New Roman"/>
          <w:sz w:val="24"/>
          <w:szCs w:val="24"/>
        </w:rPr>
        <w:t xml:space="preserve">, 1999). </w:t>
      </w:r>
      <w:proofErr w:type="gramStart"/>
      <w:r w:rsidRPr="00EF1015">
        <w:rPr>
          <w:rFonts w:ascii="Times New Roman" w:eastAsia="Times New Roman" w:hAnsi="Times New Roman" w:cs="Times New Roman"/>
          <w:sz w:val="24"/>
          <w:szCs w:val="24"/>
        </w:rPr>
        <w:t xml:space="preserve">For Agra, nearby rural areas like </w:t>
      </w:r>
      <w:proofErr w:type="spellStart"/>
      <w:r w:rsidRPr="00EF1015">
        <w:rPr>
          <w:rFonts w:ascii="Times New Roman" w:eastAsia="Times New Roman" w:hAnsi="Times New Roman" w:cs="Times New Roman"/>
          <w:sz w:val="24"/>
          <w:szCs w:val="24"/>
        </w:rPr>
        <w:t>Kachhpura</w:t>
      </w:r>
      <w:proofErr w:type="spellEnd"/>
      <w:r w:rsidRPr="00EF1015">
        <w:rPr>
          <w:rFonts w:ascii="Times New Roman" w:eastAsia="Times New Roman" w:hAnsi="Times New Roman" w:cs="Times New Roman"/>
          <w:sz w:val="24"/>
          <w:szCs w:val="24"/>
        </w:rPr>
        <w:t xml:space="preserve"> and </w:t>
      </w:r>
      <w:proofErr w:type="spellStart"/>
      <w:r w:rsidRPr="00EF1015">
        <w:rPr>
          <w:rFonts w:ascii="Times New Roman" w:eastAsia="Times New Roman" w:hAnsi="Times New Roman" w:cs="Times New Roman"/>
          <w:sz w:val="24"/>
          <w:szCs w:val="24"/>
        </w:rPr>
        <w:t>Korai</w:t>
      </w:r>
      <w:proofErr w:type="spellEnd"/>
      <w:r w:rsidRPr="00EF1015">
        <w:rPr>
          <w:rFonts w:ascii="Times New Roman" w:eastAsia="Times New Roman" w:hAnsi="Times New Roman" w:cs="Times New Roman"/>
          <w:sz w:val="24"/>
          <w:szCs w:val="24"/>
        </w:rPr>
        <w:t xml:space="preserve"> can serve as sites for </w:t>
      </w:r>
      <w:proofErr w:type="spellStart"/>
      <w:r w:rsidRPr="00EF1015">
        <w:rPr>
          <w:rFonts w:ascii="Times New Roman" w:eastAsia="Times New Roman" w:hAnsi="Times New Roman" w:cs="Times New Roman"/>
          <w:sz w:val="24"/>
          <w:szCs w:val="24"/>
        </w:rPr>
        <w:t>homestays</w:t>
      </w:r>
      <w:proofErr w:type="spellEnd"/>
      <w:r w:rsidRPr="00EF1015">
        <w:rPr>
          <w:rFonts w:ascii="Times New Roman" w:eastAsia="Times New Roman" w:hAnsi="Times New Roman" w:cs="Times New Roman"/>
          <w:sz w:val="24"/>
          <w:szCs w:val="24"/>
        </w:rPr>
        <w:t>, traditional cooking classes, and handicraft workshops.</w:t>
      </w:r>
      <w:proofErr w:type="gramEnd"/>
      <w:r w:rsidRPr="00EF1015">
        <w:rPr>
          <w:rFonts w:ascii="Times New Roman" w:eastAsia="Times New Roman" w:hAnsi="Times New Roman" w:cs="Times New Roman"/>
          <w:sz w:val="24"/>
          <w:szCs w:val="24"/>
        </w:rPr>
        <w:t xml:space="preserve"> These experiences enhance tourist engagement and create income opportunities for local communities (George &amp; George, 2004; Timothy &amp; </w:t>
      </w:r>
      <w:proofErr w:type="spellStart"/>
      <w:r w:rsidRPr="00EF1015">
        <w:rPr>
          <w:rFonts w:ascii="Times New Roman" w:eastAsia="Times New Roman" w:hAnsi="Times New Roman" w:cs="Times New Roman"/>
          <w:sz w:val="24"/>
          <w:szCs w:val="24"/>
        </w:rPr>
        <w:t>Nyaupane</w:t>
      </w:r>
      <w:proofErr w:type="spellEnd"/>
      <w:r w:rsidRPr="00EF1015">
        <w:rPr>
          <w:rFonts w:ascii="Times New Roman" w:eastAsia="Times New Roman" w:hAnsi="Times New Roman" w:cs="Times New Roman"/>
          <w:sz w:val="24"/>
          <w:szCs w:val="24"/>
        </w:rPr>
        <w:t>, 2009).</w:t>
      </w:r>
    </w:p>
    <w:p w:rsidR="00EF1015" w:rsidRPr="00EF1015" w:rsidRDefault="00EF1015" w:rsidP="00EF1015">
      <w:pPr>
        <w:spacing w:before="100" w:beforeAutospacing="1" w:after="100" w:afterAutospacing="1" w:line="240" w:lineRule="auto"/>
        <w:rPr>
          <w:rFonts w:ascii="Times New Roman" w:eastAsia="Times New Roman" w:hAnsi="Times New Roman" w:cs="Times New Roman"/>
          <w:sz w:val="24"/>
          <w:szCs w:val="24"/>
        </w:rPr>
      </w:pPr>
      <w:r w:rsidRPr="00EF1015">
        <w:rPr>
          <w:rFonts w:ascii="Times New Roman" w:eastAsia="Times New Roman" w:hAnsi="Times New Roman" w:cs="Times New Roman"/>
          <w:sz w:val="24"/>
          <w:szCs w:val="24"/>
        </w:rPr>
        <w:t xml:space="preserve">Moreover, rural and experiential tourism extends the tourist life cycle and spreads the benefits of tourism beyond urban centers. This approach has shown success in other heritage-rich regions such as Rajasthan and Kerala, where rural circuits now form essential parts of tourism planning (Singh, 2016; </w:t>
      </w:r>
      <w:proofErr w:type="spellStart"/>
      <w:r w:rsidRPr="00EF1015">
        <w:rPr>
          <w:rFonts w:ascii="Times New Roman" w:eastAsia="Times New Roman" w:hAnsi="Times New Roman" w:cs="Times New Roman"/>
          <w:sz w:val="24"/>
          <w:szCs w:val="24"/>
        </w:rPr>
        <w:t>Chhabra</w:t>
      </w:r>
      <w:proofErr w:type="spellEnd"/>
      <w:r w:rsidRPr="00EF1015">
        <w:rPr>
          <w:rFonts w:ascii="Times New Roman" w:eastAsia="Times New Roman" w:hAnsi="Times New Roman" w:cs="Times New Roman"/>
          <w:sz w:val="24"/>
          <w:szCs w:val="24"/>
        </w:rPr>
        <w:t>, 2012). Involving local stakeholders is critical to ensuring authenticity, cultural sensitivity, and equitable development.</w:t>
      </w:r>
    </w:p>
    <w:p w:rsidR="00EF1015" w:rsidRPr="00EF1015" w:rsidRDefault="00EF1015" w:rsidP="00EF1015">
      <w:pPr>
        <w:spacing w:before="100" w:beforeAutospacing="1" w:after="100" w:afterAutospacing="1" w:line="240" w:lineRule="auto"/>
        <w:outlineLvl w:val="2"/>
        <w:rPr>
          <w:rFonts w:ascii="Times New Roman" w:eastAsia="Times New Roman" w:hAnsi="Times New Roman" w:cs="Times New Roman"/>
          <w:b/>
          <w:bCs/>
          <w:sz w:val="27"/>
          <w:szCs w:val="27"/>
        </w:rPr>
      </w:pPr>
      <w:r w:rsidRPr="00EF1015">
        <w:rPr>
          <w:rFonts w:ascii="Times New Roman" w:eastAsia="Times New Roman" w:hAnsi="Times New Roman" w:cs="Times New Roman"/>
          <w:b/>
          <w:bCs/>
          <w:sz w:val="27"/>
          <w:szCs w:val="27"/>
        </w:rPr>
        <w:t>3.5 Smart Tourism and Urban Mobility</w:t>
      </w:r>
    </w:p>
    <w:p w:rsidR="00EF1015" w:rsidRPr="00EF1015" w:rsidRDefault="00EF1015" w:rsidP="00EF1015">
      <w:pPr>
        <w:spacing w:before="100" w:beforeAutospacing="1" w:after="100" w:afterAutospacing="1" w:line="240" w:lineRule="auto"/>
        <w:rPr>
          <w:rFonts w:ascii="Times New Roman" w:eastAsia="Times New Roman" w:hAnsi="Times New Roman" w:cs="Times New Roman"/>
          <w:sz w:val="24"/>
          <w:szCs w:val="24"/>
        </w:rPr>
      </w:pPr>
      <w:r w:rsidRPr="00EF1015">
        <w:rPr>
          <w:rFonts w:ascii="Times New Roman" w:eastAsia="Times New Roman" w:hAnsi="Times New Roman" w:cs="Times New Roman"/>
          <w:sz w:val="24"/>
          <w:szCs w:val="24"/>
        </w:rPr>
        <w:t>Smart tourism leverages digital innovation to enhance visitor experience, streamline operations, and reduce environmental impact (</w:t>
      </w:r>
      <w:proofErr w:type="spellStart"/>
      <w:r w:rsidRPr="00EF1015">
        <w:rPr>
          <w:rFonts w:ascii="Times New Roman" w:eastAsia="Times New Roman" w:hAnsi="Times New Roman" w:cs="Times New Roman"/>
          <w:sz w:val="24"/>
          <w:szCs w:val="24"/>
        </w:rPr>
        <w:t>Gretzel</w:t>
      </w:r>
      <w:proofErr w:type="spellEnd"/>
      <w:r w:rsidRPr="00EF1015">
        <w:rPr>
          <w:rFonts w:ascii="Times New Roman" w:eastAsia="Times New Roman" w:hAnsi="Times New Roman" w:cs="Times New Roman"/>
          <w:sz w:val="24"/>
          <w:szCs w:val="24"/>
        </w:rPr>
        <w:t xml:space="preserve"> et al., 2015). In Agra, smart interventions such as GPS-based navigation apps, multilingual virtual guides, and real-time ticketing can transform the way tourists interact with the city. These tools also improve accessibility for differently-</w:t>
      </w:r>
      <w:proofErr w:type="spellStart"/>
      <w:r w:rsidRPr="00EF1015">
        <w:rPr>
          <w:rFonts w:ascii="Times New Roman" w:eastAsia="Times New Roman" w:hAnsi="Times New Roman" w:cs="Times New Roman"/>
          <w:sz w:val="24"/>
          <w:szCs w:val="24"/>
        </w:rPr>
        <w:t>abled</w:t>
      </w:r>
      <w:proofErr w:type="spellEnd"/>
      <w:r w:rsidRPr="00EF1015">
        <w:rPr>
          <w:rFonts w:ascii="Times New Roman" w:eastAsia="Times New Roman" w:hAnsi="Times New Roman" w:cs="Times New Roman"/>
          <w:sz w:val="24"/>
          <w:szCs w:val="24"/>
        </w:rPr>
        <w:t xml:space="preserve"> travelers and reduce dependency on unregulated local guides (</w:t>
      </w:r>
      <w:proofErr w:type="spellStart"/>
      <w:r w:rsidRPr="00EF1015">
        <w:rPr>
          <w:rFonts w:ascii="Times New Roman" w:eastAsia="Times New Roman" w:hAnsi="Times New Roman" w:cs="Times New Roman"/>
          <w:sz w:val="24"/>
          <w:szCs w:val="24"/>
        </w:rPr>
        <w:t>Buhalis</w:t>
      </w:r>
      <w:proofErr w:type="spellEnd"/>
      <w:r w:rsidRPr="00EF1015">
        <w:rPr>
          <w:rFonts w:ascii="Times New Roman" w:eastAsia="Times New Roman" w:hAnsi="Times New Roman" w:cs="Times New Roman"/>
          <w:sz w:val="24"/>
          <w:szCs w:val="24"/>
        </w:rPr>
        <w:t xml:space="preserve"> &amp; </w:t>
      </w:r>
      <w:proofErr w:type="spellStart"/>
      <w:r w:rsidRPr="00EF1015">
        <w:rPr>
          <w:rFonts w:ascii="Times New Roman" w:eastAsia="Times New Roman" w:hAnsi="Times New Roman" w:cs="Times New Roman"/>
          <w:sz w:val="24"/>
          <w:szCs w:val="24"/>
        </w:rPr>
        <w:t>Amaranggana</w:t>
      </w:r>
      <w:proofErr w:type="spellEnd"/>
      <w:r w:rsidRPr="00EF1015">
        <w:rPr>
          <w:rFonts w:ascii="Times New Roman" w:eastAsia="Times New Roman" w:hAnsi="Times New Roman" w:cs="Times New Roman"/>
          <w:sz w:val="24"/>
          <w:szCs w:val="24"/>
        </w:rPr>
        <w:t>, 2015).</w:t>
      </w:r>
    </w:p>
    <w:p w:rsidR="00EF1015" w:rsidRPr="00EF1015" w:rsidRDefault="00EF1015" w:rsidP="00EF1015">
      <w:pPr>
        <w:spacing w:before="100" w:beforeAutospacing="1" w:after="100" w:afterAutospacing="1" w:line="240" w:lineRule="auto"/>
        <w:rPr>
          <w:rFonts w:ascii="Times New Roman" w:eastAsia="Times New Roman" w:hAnsi="Times New Roman" w:cs="Times New Roman"/>
          <w:sz w:val="24"/>
          <w:szCs w:val="24"/>
        </w:rPr>
      </w:pPr>
      <w:r w:rsidRPr="00EF1015">
        <w:rPr>
          <w:rFonts w:ascii="Times New Roman" w:eastAsia="Times New Roman" w:hAnsi="Times New Roman" w:cs="Times New Roman"/>
          <w:sz w:val="24"/>
          <w:szCs w:val="24"/>
        </w:rPr>
        <w:t>Inadequate transport and signage limit connectivity between key attractions in Agra. Smart mobility solutions like integrated bus networks, app-based electric rickshaws, and guided cycling tours can offer environmentally friendly and tourist-centric mobility (Zhang et al., 2019). These solutions align with the Indian government’s Smart Cities Mission and hold promise for sustainable tourism development.</w:t>
      </w:r>
    </w:p>
    <w:p w:rsidR="00EF1015" w:rsidRPr="00EF1015" w:rsidRDefault="00EF1015" w:rsidP="00EF1015">
      <w:pPr>
        <w:spacing w:after="0" w:line="240" w:lineRule="auto"/>
        <w:rPr>
          <w:rFonts w:ascii="Times New Roman" w:eastAsia="Times New Roman" w:hAnsi="Times New Roman" w:cs="Times New Roman"/>
          <w:sz w:val="24"/>
          <w:szCs w:val="24"/>
        </w:rPr>
      </w:pPr>
    </w:p>
    <w:p w:rsidR="00EF1015" w:rsidRPr="00EF1015" w:rsidRDefault="00EF1015" w:rsidP="00EF1015">
      <w:pPr>
        <w:spacing w:before="100" w:beforeAutospacing="1" w:after="100" w:afterAutospacing="1" w:line="240" w:lineRule="auto"/>
        <w:outlineLvl w:val="1"/>
        <w:rPr>
          <w:rFonts w:ascii="Times New Roman" w:eastAsia="Times New Roman" w:hAnsi="Times New Roman" w:cs="Times New Roman"/>
          <w:b/>
          <w:bCs/>
          <w:sz w:val="36"/>
          <w:szCs w:val="36"/>
        </w:rPr>
      </w:pPr>
      <w:r w:rsidRPr="00EF1015">
        <w:rPr>
          <w:rFonts w:ascii="Times New Roman" w:eastAsia="Times New Roman" w:hAnsi="Times New Roman" w:cs="Times New Roman"/>
          <w:b/>
          <w:bCs/>
          <w:sz w:val="36"/>
          <w:szCs w:val="36"/>
        </w:rPr>
        <w:t>4. Methodology</w:t>
      </w:r>
    </w:p>
    <w:p w:rsidR="00EF1015" w:rsidRPr="00EF1015" w:rsidRDefault="00EF1015" w:rsidP="00EF1015">
      <w:pPr>
        <w:spacing w:before="100" w:beforeAutospacing="1" w:after="100" w:afterAutospacing="1" w:line="240" w:lineRule="auto"/>
        <w:rPr>
          <w:rFonts w:ascii="Times New Roman" w:eastAsia="Times New Roman" w:hAnsi="Times New Roman" w:cs="Times New Roman"/>
          <w:sz w:val="24"/>
          <w:szCs w:val="24"/>
        </w:rPr>
      </w:pPr>
      <w:r w:rsidRPr="00EF1015">
        <w:rPr>
          <w:rFonts w:ascii="Times New Roman" w:eastAsia="Times New Roman" w:hAnsi="Times New Roman" w:cs="Times New Roman"/>
          <w:sz w:val="24"/>
          <w:szCs w:val="24"/>
        </w:rPr>
        <w:lastRenderedPageBreak/>
        <w:t>The research adopts a qualitative exploratory design to deeply understand the stagnation of Agra’s tourism sector and identify actionable strategies. A case study method is chosen to explore the multi-dimensional challenges and opportunities in a specific heritage city context. Qualitative methods are appropriate for tourism research where perceptions, policies, and spatial dynamics need to be interpreted contextually (</w:t>
      </w:r>
      <w:proofErr w:type="spellStart"/>
      <w:r w:rsidRPr="00EF1015">
        <w:rPr>
          <w:rFonts w:ascii="Times New Roman" w:eastAsia="Times New Roman" w:hAnsi="Times New Roman" w:cs="Times New Roman"/>
          <w:sz w:val="24"/>
          <w:szCs w:val="24"/>
        </w:rPr>
        <w:t>Denzin</w:t>
      </w:r>
      <w:proofErr w:type="spellEnd"/>
      <w:r w:rsidRPr="00EF1015">
        <w:rPr>
          <w:rFonts w:ascii="Times New Roman" w:eastAsia="Times New Roman" w:hAnsi="Times New Roman" w:cs="Times New Roman"/>
          <w:sz w:val="24"/>
          <w:szCs w:val="24"/>
        </w:rPr>
        <w:t xml:space="preserve"> &amp; Lincoln, 2011; Yin, 2018).</w:t>
      </w:r>
    </w:p>
    <w:p w:rsidR="00EF1015" w:rsidRPr="00EF1015" w:rsidRDefault="00EF1015" w:rsidP="00EF1015">
      <w:pPr>
        <w:spacing w:before="100" w:beforeAutospacing="1" w:after="100" w:afterAutospacing="1" w:line="240" w:lineRule="auto"/>
        <w:rPr>
          <w:rFonts w:ascii="Times New Roman" w:eastAsia="Times New Roman" w:hAnsi="Times New Roman" w:cs="Times New Roman"/>
          <w:sz w:val="24"/>
          <w:szCs w:val="24"/>
        </w:rPr>
      </w:pPr>
      <w:r w:rsidRPr="00EF1015">
        <w:rPr>
          <w:rFonts w:ascii="Times New Roman" w:eastAsia="Times New Roman" w:hAnsi="Times New Roman" w:cs="Times New Roman"/>
          <w:sz w:val="24"/>
          <w:szCs w:val="24"/>
        </w:rPr>
        <w:t xml:space="preserve">Data was primarily collected through secondary sources, including academic publications, tourism policy documents, and government reports. Key sources include the Ministry of Tourism (India), the Archaeological Survey of India (ASI), and Uttar Pradesh Tourism Development Corporation. In addition, local newspapers and scholarly articles provided insights into on-ground realities such as congestion, local resentment, and policy gaps (Sharma &amp; Gupta, 2019; Jain &amp; </w:t>
      </w:r>
      <w:proofErr w:type="spellStart"/>
      <w:r w:rsidRPr="00EF1015">
        <w:rPr>
          <w:rFonts w:ascii="Times New Roman" w:eastAsia="Times New Roman" w:hAnsi="Times New Roman" w:cs="Times New Roman"/>
          <w:sz w:val="24"/>
          <w:szCs w:val="24"/>
        </w:rPr>
        <w:t>Trivedi</w:t>
      </w:r>
      <w:proofErr w:type="spellEnd"/>
      <w:r w:rsidRPr="00EF1015">
        <w:rPr>
          <w:rFonts w:ascii="Times New Roman" w:eastAsia="Times New Roman" w:hAnsi="Times New Roman" w:cs="Times New Roman"/>
          <w:sz w:val="24"/>
          <w:szCs w:val="24"/>
        </w:rPr>
        <w:t>, 2020).</w:t>
      </w:r>
    </w:p>
    <w:p w:rsidR="00EF1015" w:rsidRPr="00EF1015" w:rsidRDefault="00EF1015" w:rsidP="00EF1015">
      <w:pPr>
        <w:spacing w:before="100" w:beforeAutospacing="1" w:after="100" w:afterAutospacing="1" w:line="240" w:lineRule="auto"/>
        <w:rPr>
          <w:rFonts w:ascii="Times New Roman" w:eastAsia="Times New Roman" w:hAnsi="Times New Roman" w:cs="Times New Roman"/>
          <w:sz w:val="24"/>
          <w:szCs w:val="24"/>
        </w:rPr>
      </w:pPr>
      <w:r w:rsidRPr="00EF1015">
        <w:rPr>
          <w:rFonts w:ascii="Times New Roman" w:eastAsia="Times New Roman" w:hAnsi="Times New Roman" w:cs="Times New Roman"/>
          <w:sz w:val="24"/>
          <w:szCs w:val="24"/>
        </w:rPr>
        <w:t xml:space="preserve">Analytical tools used include TALC staging to determine the current phase of Agra’s tourism development, SWOT analysis to identify internal and external factors affecting tourism, and gap analysis to assess the underperformance of attractions beyond the </w:t>
      </w:r>
      <w:proofErr w:type="spellStart"/>
      <w:r w:rsidRPr="00EF1015">
        <w:rPr>
          <w:rFonts w:ascii="Times New Roman" w:eastAsia="Times New Roman" w:hAnsi="Times New Roman" w:cs="Times New Roman"/>
          <w:sz w:val="24"/>
          <w:szCs w:val="24"/>
        </w:rPr>
        <w:t>Taj</w:t>
      </w:r>
      <w:proofErr w:type="spellEnd"/>
      <w:r w:rsidRPr="00EF1015">
        <w:rPr>
          <w:rFonts w:ascii="Times New Roman" w:eastAsia="Times New Roman" w:hAnsi="Times New Roman" w:cs="Times New Roman"/>
          <w:sz w:val="24"/>
          <w:szCs w:val="24"/>
        </w:rPr>
        <w:t xml:space="preserve"> </w:t>
      </w:r>
      <w:proofErr w:type="spellStart"/>
      <w:r w:rsidRPr="00EF1015">
        <w:rPr>
          <w:rFonts w:ascii="Times New Roman" w:eastAsia="Times New Roman" w:hAnsi="Times New Roman" w:cs="Times New Roman"/>
          <w:sz w:val="24"/>
          <w:szCs w:val="24"/>
        </w:rPr>
        <w:t>Mahal</w:t>
      </w:r>
      <w:proofErr w:type="spellEnd"/>
      <w:r w:rsidRPr="00EF1015">
        <w:rPr>
          <w:rFonts w:ascii="Times New Roman" w:eastAsia="Times New Roman" w:hAnsi="Times New Roman" w:cs="Times New Roman"/>
          <w:sz w:val="24"/>
          <w:szCs w:val="24"/>
        </w:rPr>
        <w:t xml:space="preserve">. These frameworks are widely used in tourism planning and allow for structured diagnosis and strategy formulation (Butler, 1980; </w:t>
      </w:r>
      <w:proofErr w:type="spellStart"/>
      <w:r w:rsidRPr="00EF1015">
        <w:rPr>
          <w:rFonts w:ascii="Times New Roman" w:eastAsia="Times New Roman" w:hAnsi="Times New Roman" w:cs="Times New Roman"/>
          <w:sz w:val="24"/>
          <w:szCs w:val="24"/>
        </w:rPr>
        <w:t>Briedenhann</w:t>
      </w:r>
      <w:proofErr w:type="spellEnd"/>
      <w:r w:rsidRPr="00EF1015">
        <w:rPr>
          <w:rFonts w:ascii="Times New Roman" w:eastAsia="Times New Roman" w:hAnsi="Times New Roman" w:cs="Times New Roman"/>
          <w:sz w:val="24"/>
          <w:szCs w:val="24"/>
        </w:rPr>
        <w:t xml:space="preserve"> &amp; </w:t>
      </w:r>
      <w:proofErr w:type="spellStart"/>
      <w:r w:rsidRPr="00EF1015">
        <w:rPr>
          <w:rFonts w:ascii="Times New Roman" w:eastAsia="Times New Roman" w:hAnsi="Times New Roman" w:cs="Times New Roman"/>
          <w:sz w:val="24"/>
          <w:szCs w:val="24"/>
        </w:rPr>
        <w:t>Wickens</w:t>
      </w:r>
      <w:proofErr w:type="spellEnd"/>
      <w:r w:rsidRPr="00EF1015">
        <w:rPr>
          <w:rFonts w:ascii="Times New Roman" w:eastAsia="Times New Roman" w:hAnsi="Times New Roman" w:cs="Times New Roman"/>
          <w:sz w:val="24"/>
          <w:szCs w:val="24"/>
        </w:rPr>
        <w:t>, 2004).</w:t>
      </w:r>
    </w:p>
    <w:p w:rsidR="00EF1015" w:rsidRPr="00EF1015" w:rsidRDefault="00EF1015" w:rsidP="00EF1015">
      <w:pPr>
        <w:spacing w:before="100" w:beforeAutospacing="1" w:after="100" w:afterAutospacing="1" w:line="240" w:lineRule="auto"/>
        <w:rPr>
          <w:rFonts w:ascii="Times New Roman" w:eastAsia="Times New Roman" w:hAnsi="Times New Roman" w:cs="Times New Roman"/>
          <w:sz w:val="24"/>
          <w:szCs w:val="24"/>
        </w:rPr>
      </w:pPr>
      <w:r w:rsidRPr="00EF1015">
        <w:rPr>
          <w:rFonts w:ascii="Times New Roman" w:eastAsia="Times New Roman" w:hAnsi="Times New Roman" w:cs="Times New Roman"/>
          <w:sz w:val="24"/>
          <w:szCs w:val="24"/>
        </w:rPr>
        <w:t>The research also draws upon cultural tourism theory, sustainable development frameworks, and digital innovation literature to build a comprehensive reinvention model. The triangulation of theories ensures that the analysis remains holistic and actionable. Ethical considerations include acknowledgment of all sources and objective interpretation of secondary data without bias.</w:t>
      </w:r>
    </w:p>
    <w:p w:rsidR="00EF1015" w:rsidRPr="00EF1015" w:rsidRDefault="00EF1015" w:rsidP="00EF1015">
      <w:pPr>
        <w:spacing w:before="100" w:beforeAutospacing="1" w:after="100" w:afterAutospacing="1" w:line="240" w:lineRule="auto"/>
        <w:rPr>
          <w:rFonts w:ascii="Times New Roman" w:eastAsia="Times New Roman" w:hAnsi="Times New Roman" w:cs="Times New Roman"/>
          <w:sz w:val="24"/>
          <w:szCs w:val="24"/>
        </w:rPr>
      </w:pPr>
      <w:r w:rsidRPr="00EF1015">
        <w:rPr>
          <w:rFonts w:ascii="Times New Roman" w:eastAsia="Times New Roman" w:hAnsi="Times New Roman" w:cs="Times New Roman"/>
          <w:sz w:val="24"/>
          <w:szCs w:val="24"/>
        </w:rPr>
        <w:t>While primary data like surveys or interviews could have enhanced the study, the breadth of existing literature and policy reviews allows for a robust qualitative understanding. Future studies may incorporate empirical data through focus groups, stakeholder interviews, and tourist feedback surveys to validate and refine the recommendations proposed here.</w:t>
      </w:r>
    </w:p>
    <w:p w:rsidR="00EF1015" w:rsidRDefault="00EF1015" w:rsidP="0081643C">
      <w:pPr>
        <w:pStyle w:val="Heading2"/>
        <w:rPr>
          <w:rStyle w:val="Strong"/>
          <w:b/>
          <w:bCs/>
        </w:rPr>
      </w:pPr>
    </w:p>
    <w:p w:rsidR="0081643C" w:rsidRDefault="0081643C" w:rsidP="0081643C">
      <w:pPr>
        <w:pStyle w:val="Heading2"/>
      </w:pPr>
      <w:r>
        <w:rPr>
          <w:rStyle w:val="Strong"/>
          <w:b/>
          <w:bCs/>
        </w:rPr>
        <w:t>5. Findings</w:t>
      </w:r>
    </w:p>
    <w:p w:rsidR="0081643C" w:rsidRDefault="0081643C" w:rsidP="0081643C">
      <w:pPr>
        <w:pStyle w:val="Heading3"/>
      </w:pPr>
      <w:r>
        <w:t>5.1 Current TALC Stage: Stagnation</w:t>
      </w:r>
    </w:p>
    <w:p w:rsidR="0081643C" w:rsidRDefault="0081643C" w:rsidP="0081643C">
      <w:pPr>
        <w:pStyle w:val="NormalWeb"/>
        <w:numPr>
          <w:ilvl w:val="0"/>
          <w:numId w:val="23"/>
        </w:numPr>
      </w:pPr>
      <w:r>
        <w:t xml:space="preserve">Overconcentration of visitors at the </w:t>
      </w:r>
      <w:proofErr w:type="spellStart"/>
      <w:r>
        <w:t>Taj</w:t>
      </w:r>
      <w:proofErr w:type="spellEnd"/>
      <w:r>
        <w:t xml:space="preserve"> </w:t>
      </w:r>
      <w:proofErr w:type="spellStart"/>
      <w:r>
        <w:t>Mahal</w:t>
      </w:r>
      <w:proofErr w:type="spellEnd"/>
    </w:p>
    <w:p w:rsidR="0081643C" w:rsidRDefault="0081643C" w:rsidP="0081643C">
      <w:pPr>
        <w:pStyle w:val="NormalWeb"/>
        <w:numPr>
          <w:ilvl w:val="0"/>
          <w:numId w:val="23"/>
        </w:numPr>
      </w:pPr>
      <w:r>
        <w:t>Short average stay (~0.5 to 1.2 days)</w:t>
      </w:r>
    </w:p>
    <w:p w:rsidR="0081643C" w:rsidRDefault="0081643C" w:rsidP="0081643C">
      <w:pPr>
        <w:pStyle w:val="NormalWeb"/>
        <w:numPr>
          <w:ilvl w:val="0"/>
          <w:numId w:val="23"/>
        </w:numPr>
      </w:pPr>
      <w:r>
        <w:t>Neglect of non-monumental assets</w:t>
      </w:r>
    </w:p>
    <w:p w:rsidR="0081643C" w:rsidRDefault="0081643C" w:rsidP="0081643C">
      <w:pPr>
        <w:pStyle w:val="NormalWeb"/>
        <w:numPr>
          <w:ilvl w:val="0"/>
          <w:numId w:val="23"/>
        </w:numPr>
      </w:pPr>
      <w:r>
        <w:t>Minimal engagement with local communities</w:t>
      </w:r>
    </w:p>
    <w:p w:rsidR="0081643C" w:rsidRDefault="0081643C" w:rsidP="0081643C">
      <w:pPr>
        <w:pStyle w:val="NormalWeb"/>
        <w:numPr>
          <w:ilvl w:val="0"/>
          <w:numId w:val="23"/>
        </w:numPr>
      </w:pPr>
      <w:r>
        <w:t>Lack of after-dark tourism</w:t>
      </w:r>
    </w:p>
    <w:p w:rsidR="0081643C" w:rsidRDefault="0081643C" w:rsidP="0081643C">
      <w:pPr>
        <w:pStyle w:val="Heading3"/>
      </w:pPr>
      <w:r>
        <w:t>5.2 Internal Challenges</w:t>
      </w:r>
    </w:p>
    <w:p w:rsidR="0081643C" w:rsidRDefault="0081643C" w:rsidP="0081643C">
      <w:pPr>
        <w:pStyle w:val="NormalWeb"/>
        <w:numPr>
          <w:ilvl w:val="0"/>
          <w:numId w:val="24"/>
        </w:numPr>
      </w:pPr>
      <w:r>
        <w:t>Poor signage and accessibility to secondary sites</w:t>
      </w:r>
    </w:p>
    <w:p w:rsidR="0081643C" w:rsidRDefault="0081643C" w:rsidP="0081643C">
      <w:pPr>
        <w:pStyle w:val="NormalWeb"/>
        <w:numPr>
          <w:ilvl w:val="0"/>
          <w:numId w:val="24"/>
        </w:numPr>
      </w:pPr>
      <w:r>
        <w:t>Underinvestment in regional roads and trails</w:t>
      </w:r>
    </w:p>
    <w:p w:rsidR="0081643C" w:rsidRDefault="0081643C" w:rsidP="0081643C">
      <w:pPr>
        <w:pStyle w:val="NormalWeb"/>
        <w:numPr>
          <w:ilvl w:val="0"/>
          <w:numId w:val="24"/>
        </w:numPr>
      </w:pPr>
      <w:r>
        <w:lastRenderedPageBreak/>
        <w:t xml:space="preserve">Commercialization around </w:t>
      </w:r>
      <w:proofErr w:type="spellStart"/>
      <w:r>
        <w:t>Taj</w:t>
      </w:r>
      <w:proofErr w:type="spellEnd"/>
      <w:r>
        <w:t xml:space="preserve"> </w:t>
      </w:r>
      <w:proofErr w:type="spellStart"/>
      <w:r>
        <w:t>Mahal</w:t>
      </w:r>
      <w:proofErr w:type="spellEnd"/>
      <w:r>
        <w:t xml:space="preserve"> diminishing heritage atmosphere</w:t>
      </w:r>
    </w:p>
    <w:p w:rsidR="0081643C" w:rsidRDefault="0081643C" w:rsidP="0081643C">
      <w:pPr>
        <w:pStyle w:val="NormalWeb"/>
        <w:numPr>
          <w:ilvl w:val="0"/>
          <w:numId w:val="24"/>
        </w:numPr>
      </w:pPr>
      <w:r>
        <w:t>Limited interpretation of history beyond architecture</w:t>
      </w:r>
    </w:p>
    <w:p w:rsidR="0081643C" w:rsidRDefault="0081643C" w:rsidP="0081643C">
      <w:pPr>
        <w:pStyle w:val="Heading3"/>
      </w:pPr>
      <w:r>
        <w:t>5.3 External Challenges</w:t>
      </w:r>
    </w:p>
    <w:p w:rsidR="0081643C" w:rsidRDefault="0081643C" w:rsidP="0081643C">
      <w:pPr>
        <w:pStyle w:val="NormalWeb"/>
        <w:numPr>
          <w:ilvl w:val="0"/>
          <w:numId w:val="25"/>
        </w:numPr>
      </w:pPr>
      <w:r>
        <w:t xml:space="preserve">Competition from </w:t>
      </w:r>
      <w:proofErr w:type="spellStart"/>
      <w:r>
        <w:t>Jaipur</w:t>
      </w:r>
      <w:proofErr w:type="spellEnd"/>
      <w:r>
        <w:t>, Delhi, and other Golden Triangle circuits</w:t>
      </w:r>
    </w:p>
    <w:p w:rsidR="0081643C" w:rsidRDefault="0081643C" w:rsidP="0081643C">
      <w:pPr>
        <w:pStyle w:val="NormalWeb"/>
        <w:numPr>
          <w:ilvl w:val="0"/>
          <w:numId w:val="25"/>
        </w:numPr>
      </w:pPr>
      <w:r>
        <w:t>Seasonal weather extremes limiting tourist comfort</w:t>
      </w:r>
    </w:p>
    <w:p w:rsidR="0081643C" w:rsidRDefault="0081643C" w:rsidP="0081643C">
      <w:pPr>
        <w:pStyle w:val="NormalWeb"/>
        <w:numPr>
          <w:ilvl w:val="0"/>
          <w:numId w:val="25"/>
        </w:numPr>
      </w:pPr>
      <w:r>
        <w:t>Lack of awareness about broader offerings</w:t>
      </w:r>
    </w:p>
    <w:p w:rsidR="00EF1015" w:rsidRDefault="00EF1015" w:rsidP="0081643C">
      <w:pPr>
        <w:pStyle w:val="Heading2"/>
        <w:rPr>
          <w:rStyle w:val="Strong"/>
          <w:b/>
          <w:bCs/>
        </w:rPr>
      </w:pPr>
    </w:p>
    <w:p w:rsidR="00360B0F" w:rsidRDefault="00360B0F" w:rsidP="00360B0F">
      <w:pPr>
        <w:pStyle w:val="Heading2"/>
      </w:pPr>
      <w:r>
        <w:rPr>
          <w:rStyle w:val="Strong"/>
          <w:b/>
          <w:bCs/>
        </w:rPr>
        <w:t>6. Discussion</w:t>
      </w:r>
    </w:p>
    <w:p w:rsidR="00360B0F" w:rsidRDefault="00360B0F" w:rsidP="00360B0F">
      <w:pPr>
        <w:pStyle w:val="Heading3"/>
      </w:pPr>
      <w:r>
        <w:rPr>
          <w:rStyle w:val="Strong"/>
          <w:b/>
          <w:bCs/>
        </w:rPr>
        <w:t>6.1 Reinvention Strategy Overview</w:t>
      </w:r>
    </w:p>
    <w:p w:rsidR="00360B0F" w:rsidRDefault="00360B0F" w:rsidP="00360B0F">
      <w:pPr>
        <w:pStyle w:val="NormalWeb"/>
      </w:pPr>
      <w:r>
        <w:t xml:space="preserve">Agra’s current status as a globally recognized yet underperforming tourist city necessitates a bold and strategic reinvention. The city’s identity has long been dominated by the majestic </w:t>
      </w:r>
      <w:proofErr w:type="spellStart"/>
      <w:r>
        <w:t>Taj</w:t>
      </w:r>
      <w:proofErr w:type="spellEnd"/>
      <w:r>
        <w:t xml:space="preserve"> </w:t>
      </w:r>
      <w:proofErr w:type="spellStart"/>
      <w:r>
        <w:t>Mahal</w:t>
      </w:r>
      <w:proofErr w:type="spellEnd"/>
      <w:r>
        <w:t>, which has overshadowed its broader historical, cultural, and community offerings. While this world-renowned monument continues to draw crowds, its dominance in Agra’s tourism narrative has also led to monoculture tourism and stagnation—conditions that the TALC model identifies as indicators of a destination nearing decline (Butler, 1980). As visitor numbers plateau and the city's infrastructure struggles to accommodate mass tourism, there is growing consensus among scholars and practitioners that Agra needs to diversify its tourism portfolio. Reinvention must include reframing Agra not as a “one-monument stopover,” but as a multidimensional tourism destination that invites longer stays, repeat visits, and deeper cultural immersion (Richards, 2011; Sharma &amp; Gupta, 2019).</w:t>
      </w:r>
    </w:p>
    <w:p w:rsidR="00360B0F" w:rsidRDefault="00360B0F" w:rsidP="00360B0F">
      <w:pPr>
        <w:pStyle w:val="NormalWeb"/>
      </w:pPr>
      <w:r>
        <w:t xml:space="preserve">This reinvention calls for a radical shift in how Agra is imagined, experienced, and managed. It demands the integration of multiple tourism themes—such as </w:t>
      </w:r>
      <w:proofErr w:type="spellStart"/>
      <w:r>
        <w:t>Mughal</w:t>
      </w:r>
      <w:proofErr w:type="spellEnd"/>
      <w:r>
        <w:t xml:space="preserve"> heritage, rural life, gastronomy, community traditions, wellness, and smart infrastructure—into a cohesive regional experience. Such a transformation would not only reposition Agra within the national and global tourism circuits but also create ripple effects in terms of inclusive economic development. For instance, embracing a community-based approach can empower artisans, women, and youth by including them in storytelling, entrepreneurship, and destination branding (</w:t>
      </w:r>
      <w:proofErr w:type="spellStart"/>
      <w:r>
        <w:t>Scheyvens</w:t>
      </w:r>
      <w:proofErr w:type="spellEnd"/>
      <w:r>
        <w:t xml:space="preserve">, 1999; George &amp; George, 2004). Reinvention also requires deliberate collaboration among public agencies, private operators, NGOs, and </w:t>
      </w:r>
      <w:proofErr w:type="gramStart"/>
      <w:r>
        <w:t>residents, ensuring that tourism development is</w:t>
      </w:r>
      <w:proofErr w:type="gramEnd"/>
      <w:r>
        <w:t xml:space="preserve"> not only sustainable but also co-created and locally rooted. Ultimately, the objective is to transform Agra from a high-volume, low-value site into a high-value, culturally rich, and socially inclusive tourism destination.</w:t>
      </w:r>
    </w:p>
    <w:p w:rsidR="00360B0F" w:rsidRDefault="00360B0F" w:rsidP="00360B0F"/>
    <w:p w:rsidR="00360B0F" w:rsidRDefault="00360B0F" w:rsidP="00360B0F">
      <w:pPr>
        <w:pStyle w:val="Heading3"/>
      </w:pPr>
      <w:r>
        <w:rPr>
          <w:rStyle w:val="Strong"/>
          <w:b/>
          <w:bCs/>
        </w:rPr>
        <w:t>6.2 Proposed Innovations</w:t>
      </w:r>
    </w:p>
    <w:p w:rsidR="00360B0F" w:rsidRDefault="00360B0F" w:rsidP="00360B0F">
      <w:pPr>
        <w:pStyle w:val="Heading4"/>
      </w:pPr>
      <w:r>
        <w:rPr>
          <w:rStyle w:val="Strong"/>
          <w:b/>
          <w:bCs/>
        </w:rPr>
        <w:lastRenderedPageBreak/>
        <w:t xml:space="preserve">6.2.1 Integrated </w:t>
      </w:r>
      <w:proofErr w:type="spellStart"/>
      <w:r>
        <w:rPr>
          <w:rStyle w:val="Strong"/>
          <w:b/>
          <w:bCs/>
        </w:rPr>
        <w:t>Mughal</w:t>
      </w:r>
      <w:proofErr w:type="spellEnd"/>
      <w:r>
        <w:rPr>
          <w:rStyle w:val="Strong"/>
          <w:b/>
          <w:bCs/>
        </w:rPr>
        <w:t xml:space="preserve"> Heritage Trail</w:t>
      </w:r>
    </w:p>
    <w:p w:rsidR="00360B0F" w:rsidRDefault="00360B0F" w:rsidP="00360B0F">
      <w:pPr>
        <w:pStyle w:val="NormalWeb"/>
      </w:pPr>
      <w:r>
        <w:t xml:space="preserve">One of the most promising avenues for Agra’s tourism revitalization lies in the development of a well-connected and </w:t>
      </w:r>
      <w:proofErr w:type="spellStart"/>
      <w:r>
        <w:t>narratively</w:t>
      </w:r>
      <w:proofErr w:type="spellEnd"/>
      <w:r>
        <w:t xml:space="preserve"> rich </w:t>
      </w:r>
      <w:proofErr w:type="spellStart"/>
      <w:r>
        <w:t>Mughal</w:t>
      </w:r>
      <w:proofErr w:type="spellEnd"/>
      <w:r>
        <w:t xml:space="preserve"> Heritage Trail. This trail would integrate key </w:t>
      </w:r>
      <w:proofErr w:type="spellStart"/>
      <w:r>
        <w:t>Mughal</w:t>
      </w:r>
      <w:proofErr w:type="spellEnd"/>
      <w:r>
        <w:t xml:space="preserve">-era landmarks—such as Agra Fort, </w:t>
      </w:r>
      <w:proofErr w:type="spellStart"/>
      <w:r>
        <w:t>Fatehpur</w:t>
      </w:r>
      <w:proofErr w:type="spellEnd"/>
      <w:r>
        <w:t xml:space="preserve"> </w:t>
      </w:r>
      <w:proofErr w:type="spellStart"/>
      <w:r>
        <w:t>Sikri</w:t>
      </w:r>
      <w:proofErr w:type="spellEnd"/>
      <w:r>
        <w:t xml:space="preserve">, </w:t>
      </w:r>
      <w:proofErr w:type="spellStart"/>
      <w:r>
        <w:t>Sikandra</w:t>
      </w:r>
      <w:proofErr w:type="spellEnd"/>
      <w:r>
        <w:t xml:space="preserve"> (Akbar’s Tomb), </w:t>
      </w:r>
      <w:proofErr w:type="spellStart"/>
      <w:r>
        <w:t>Mehtab</w:t>
      </w:r>
      <w:proofErr w:type="spellEnd"/>
      <w:r>
        <w:t xml:space="preserve"> </w:t>
      </w:r>
      <w:proofErr w:type="spellStart"/>
      <w:r>
        <w:t>Bagh</w:t>
      </w:r>
      <w:proofErr w:type="spellEnd"/>
      <w:r>
        <w:t xml:space="preserve">, and </w:t>
      </w:r>
      <w:proofErr w:type="spellStart"/>
      <w:r>
        <w:t>Itimad-ud-Daulah</w:t>
      </w:r>
      <w:proofErr w:type="spellEnd"/>
      <w:r>
        <w:t xml:space="preserve">—into a thematic route that tells the story of </w:t>
      </w:r>
      <w:proofErr w:type="spellStart"/>
      <w:r>
        <w:t>Mughal</w:t>
      </w:r>
      <w:proofErr w:type="spellEnd"/>
      <w:r>
        <w:t xml:space="preserve"> art, architecture, and imperial culture (Asher, 2006; Bhatia, 2011). These sites, though historically significant, are often under-visited and lack the interpretive infrastructure needed to enhance visitor engagement. By </w:t>
      </w:r>
      <w:proofErr w:type="spellStart"/>
      <w:r>
        <w:t>curating</w:t>
      </w:r>
      <w:proofErr w:type="spellEnd"/>
      <w:r>
        <w:t xml:space="preserve"> these sites through audio-guided walking trails, augmented reality storytelling, and multi-language heritage narratives, the city can create an immersive experience that extends well beyond the </w:t>
      </w:r>
      <w:proofErr w:type="spellStart"/>
      <w:r>
        <w:t>Taj</w:t>
      </w:r>
      <w:proofErr w:type="spellEnd"/>
      <w:r>
        <w:t xml:space="preserve"> </w:t>
      </w:r>
      <w:proofErr w:type="spellStart"/>
      <w:r>
        <w:t>Mahal</w:t>
      </w:r>
      <w:proofErr w:type="spellEnd"/>
      <w:r>
        <w:t>.</w:t>
      </w:r>
    </w:p>
    <w:p w:rsidR="00360B0F" w:rsidRDefault="00360B0F" w:rsidP="00360B0F">
      <w:pPr>
        <w:pStyle w:val="NormalWeb"/>
      </w:pPr>
      <w:r>
        <w:t>To further activate these spaces, heritage tourism events such as “</w:t>
      </w:r>
      <w:proofErr w:type="spellStart"/>
      <w:r>
        <w:t>Mughal</w:t>
      </w:r>
      <w:proofErr w:type="spellEnd"/>
      <w:r>
        <w:t xml:space="preserve"> Nights” can be introduced. These light and sound shows, similar to those implemented at </w:t>
      </w:r>
      <w:proofErr w:type="spellStart"/>
      <w:r>
        <w:t>Humayun’s</w:t>
      </w:r>
      <w:proofErr w:type="spellEnd"/>
      <w:r>
        <w:t xml:space="preserve"> Tomb and Red Fort, bring monuments to life after sunset through music, narration, and visual projection (Singh, 2016). Such programming not only stimulates the evening economy but also diversifies the tourist flow across different hours of the day. Moreover, these experiences appeal to both domestic and international tourists seeking cultural enrichment through storytelling. Integrating local historians, dramatists, and digital artists in these projects can also provide employment opportunities while maintaining historical authenticity. The </w:t>
      </w:r>
      <w:proofErr w:type="spellStart"/>
      <w:r>
        <w:t>Mughal</w:t>
      </w:r>
      <w:proofErr w:type="spellEnd"/>
      <w:r>
        <w:t xml:space="preserve"> Heritage Trail thus represents a holistic strategy for spatial, cultural, and economic dispersion of tourism in Agra.</w:t>
      </w:r>
    </w:p>
    <w:p w:rsidR="00360B0F" w:rsidRDefault="00360B0F" w:rsidP="00360B0F">
      <w:pPr>
        <w:pStyle w:val="Heading4"/>
      </w:pPr>
      <w:r>
        <w:rPr>
          <w:rStyle w:val="Strong"/>
          <w:b/>
          <w:bCs/>
        </w:rPr>
        <w:t>6.2.2 Rural and Culinary Tourism Circuit</w:t>
      </w:r>
    </w:p>
    <w:p w:rsidR="00360B0F" w:rsidRDefault="00360B0F" w:rsidP="00360B0F">
      <w:pPr>
        <w:pStyle w:val="NormalWeb"/>
      </w:pPr>
      <w:r>
        <w:t xml:space="preserve">Agra’s surrounding rural regions, including villages like </w:t>
      </w:r>
      <w:proofErr w:type="spellStart"/>
      <w:r>
        <w:t>Kachhpura</w:t>
      </w:r>
      <w:proofErr w:type="spellEnd"/>
      <w:r>
        <w:t xml:space="preserve">, </w:t>
      </w:r>
      <w:proofErr w:type="spellStart"/>
      <w:r>
        <w:t>Korai</w:t>
      </w:r>
      <w:proofErr w:type="spellEnd"/>
      <w:r>
        <w:t xml:space="preserve">, and </w:t>
      </w:r>
      <w:proofErr w:type="spellStart"/>
      <w:r>
        <w:t>Nagla</w:t>
      </w:r>
      <w:proofErr w:type="spellEnd"/>
      <w:r>
        <w:t xml:space="preserve">, offer fertile ground for developing a vibrant rural and culinary tourism circuit. These villages are rich in folklore, craft traditions, agriculture, and </w:t>
      </w:r>
      <w:proofErr w:type="spellStart"/>
      <w:r>
        <w:t>Mughal</w:t>
      </w:r>
      <w:proofErr w:type="spellEnd"/>
      <w:r>
        <w:t xml:space="preserve">-era legacies that remain underexplored. Developing farm-stays and rural </w:t>
      </w:r>
      <w:proofErr w:type="spellStart"/>
      <w:r>
        <w:t>homestays</w:t>
      </w:r>
      <w:proofErr w:type="spellEnd"/>
      <w:r>
        <w:t xml:space="preserve"> in these regions would enable tourists to experience local life—ranging from traditional farming methods and pottery making to village festivals and folk performances (</w:t>
      </w:r>
      <w:proofErr w:type="spellStart"/>
      <w:r>
        <w:t>Scheyvens</w:t>
      </w:r>
      <w:proofErr w:type="spellEnd"/>
      <w:r>
        <w:t xml:space="preserve">, 1999; Timothy &amp; </w:t>
      </w:r>
      <w:proofErr w:type="spellStart"/>
      <w:r>
        <w:t>Nyaupane</w:t>
      </w:r>
      <w:proofErr w:type="spellEnd"/>
      <w:r>
        <w:t xml:space="preserve">, 2009). These immersive experiences align with the growing global trend toward “slow tourism,” where travelers seek authenticity, local connection, and </w:t>
      </w:r>
      <w:proofErr w:type="gramStart"/>
      <w:r>
        <w:t>mindful</w:t>
      </w:r>
      <w:proofErr w:type="gramEnd"/>
      <w:r>
        <w:t xml:space="preserve"> exploration.</w:t>
      </w:r>
    </w:p>
    <w:p w:rsidR="00360B0F" w:rsidRDefault="00360B0F" w:rsidP="00360B0F">
      <w:pPr>
        <w:pStyle w:val="NormalWeb"/>
      </w:pPr>
      <w:r>
        <w:t xml:space="preserve">Culinary tourism, in particular, holds immense untapped potential in Agra. The region’s historical cuisine—shaped by </w:t>
      </w:r>
      <w:proofErr w:type="spellStart"/>
      <w:r>
        <w:t>Mughal</w:t>
      </w:r>
      <w:proofErr w:type="spellEnd"/>
      <w:r>
        <w:t xml:space="preserve">, </w:t>
      </w:r>
      <w:proofErr w:type="spellStart"/>
      <w:r>
        <w:t>Braj</w:t>
      </w:r>
      <w:proofErr w:type="spellEnd"/>
      <w:r>
        <w:t xml:space="preserve">, and Awadhi culinary styles—can be transformed into a powerful tourist draw. Initiatives such as </w:t>
      </w:r>
      <w:proofErr w:type="spellStart"/>
      <w:r>
        <w:t>Mughal</w:t>
      </w:r>
      <w:proofErr w:type="spellEnd"/>
      <w:r>
        <w:t xml:space="preserve"> </w:t>
      </w:r>
      <w:proofErr w:type="spellStart"/>
      <w:r>
        <w:t>thali</w:t>
      </w:r>
      <w:proofErr w:type="spellEnd"/>
      <w:r>
        <w:t xml:space="preserve"> tasting sessions, spice tours, and cooking classes hosted by local women can generate income, empower rural communities, and preserve intangible culinary heritage (Sharma &amp; </w:t>
      </w:r>
      <w:proofErr w:type="spellStart"/>
      <w:r>
        <w:t>Verma</w:t>
      </w:r>
      <w:proofErr w:type="spellEnd"/>
      <w:r>
        <w:t xml:space="preserve">, 2020). Training rural women in culinary storytelling and entrepreneurship would not only strengthen their economic agency but also ensure that tourism revenue circulates within local households. Monthly food festivals and pop-up markets featuring regional delicacies like </w:t>
      </w:r>
      <w:proofErr w:type="spellStart"/>
      <w:r>
        <w:t>Bedai</w:t>
      </w:r>
      <w:proofErr w:type="spellEnd"/>
      <w:r>
        <w:t xml:space="preserve">, </w:t>
      </w:r>
      <w:proofErr w:type="spellStart"/>
      <w:r>
        <w:t>Dalmoth</w:t>
      </w:r>
      <w:proofErr w:type="spellEnd"/>
      <w:r>
        <w:t xml:space="preserve">, and </w:t>
      </w:r>
      <w:proofErr w:type="spellStart"/>
      <w:r>
        <w:t>Mughal</w:t>
      </w:r>
      <w:proofErr w:type="spellEnd"/>
      <w:r>
        <w:t xml:space="preserve"> kebabs can attract domestic tourists and food bloggers alike, turning culinary traditions into cultural capital. This circuit, when marketed effectively, can complement the heritage tourism strategy and offer a holistic, sensorial experience.</w:t>
      </w:r>
    </w:p>
    <w:p w:rsidR="00360B0F" w:rsidRDefault="00360B0F" w:rsidP="00360B0F">
      <w:pPr>
        <w:pStyle w:val="Heading4"/>
      </w:pPr>
      <w:r>
        <w:rPr>
          <w:rStyle w:val="Strong"/>
          <w:b/>
          <w:bCs/>
        </w:rPr>
        <w:lastRenderedPageBreak/>
        <w:t>6.2.3 Smart Tourism Infrastructure</w:t>
      </w:r>
    </w:p>
    <w:p w:rsidR="00360B0F" w:rsidRDefault="00360B0F" w:rsidP="00360B0F">
      <w:pPr>
        <w:pStyle w:val="NormalWeb"/>
      </w:pPr>
      <w:r>
        <w:t>In the digital age, a smart tourism ecosystem is not just a value-add but a necessity. Agra’s reinvention must include robust investment in smart infrastructure to meet the expectations of tech-savvy global travelers. Developing an integrated Agra Tourism App with features such as real-time booking, interactive monument maps, AR overlays, QR-coded signboards, digital crowd management tools, and multilingual support would significantly enhance the visitor experience (</w:t>
      </w:r>
      <w:proofErr w:type="spellStart"/>
      <w:r>
        <w:t>Gretzel</w:t>
      </w:r>
      <w:proofErr w:type="spellEnd"/>
      <w:r>
        <w:t xml:space="preserve"> et al., 2015; </w:t>
      </w:r>
      <w:proofErr w:type="spellStart"/>
      <w:r>
        <w:t>Buhalis</w:t>
      </w:r>
      <w:proofErr w:type="spellEnd"/>
      <w:r>
        <w:t xml:space="preserve"> &amp; </w:t>
      </w:r>
      <w:proofErr w:type="spellStart"/>
      <w:r>
        <w:t>Amaranggana</w:t>
      </w:r>
      <w:proofErr w:type="spellEnd"/>
      <w:r>
        <w:t>, 2015). These tools reduce friction, prevent crowding, and personalize the tourist journey—allowing travelers to curate their experiences based on interests and time constraints.</w:t>
      </w:r>
    </w:p>
    <w:p w:rsidR="00360B0F" w:rsidRDefault="00360B0F" w:rsidP="00360B0F">
      <w:pPr>
        <w:pStyle w:val="NormalWeb"/>
      </w:pPr>
      <w:r>
        <w:t>In addition to digital upgrades, physical infrastructure must also evolve to support sustainable and accessible tourism. Smart transit options such as e-rickshaws, guided e-bikes, and hop-on-hop-off buses can facilitate eco-friendly last-mile connectivity to heritage and rural sites (Zhang et al., 2019). Installing GPS-enabled digital signage at monuments, transport hubs, and tourist hotspots helps in navigation and information dissemination. Furthermore, these systems can collect anonymous data on tourist behavior and preferences, enabling tourism managers to make evidence-based decisions. Integrating smart solutions will not only increase visitor satisfaction but also position Agra as a forward-looking destination aligned with global sustainable tourism standards.</w:t>
      </w:r>
    </w:p>
    <w:p w:rsidR="00360B0F" w:rsidRDefault="00360B0F" w:rsidP="00360B0F">
      <w:pPr>
        <w:pStyle w:val="Heading4"/>
      </w:pPr>
      <w:r>
        <w:rPr>
          <w:rStyle w:val="Strong"/>
          <w:b/>
          <w:bCs/>
        </w:rPr>
        <w:t>6.2.4 Cultural Repositioning and Branding</w:t>
      </w:r>
    </w:p>
    <w:p w:rsidR="00360B0F" w:rsidRDefault="00360B0F" w:rsidP="00360B0F">
      <w:pPr>
        <w:pStyle w:val="NormalWeb"/>
      </w:pPr>
      <w:r>
        <w:t xml:space="preserve">A successful reinvention of Agra requires not just infrastructural changes but also a deep rebranding effort. The current perception of Agra as a “one-monument city” must be challenged through narrative repositioning and marketing strategies that emphasize its cultural diversity, living traditions, and historical depth. Branding Agra as </w:t>
      </w:r>
      <w:r>
        <w:rPr>
          <w:rStyle w:val="Strong"/>
        </w:rPr>
        <w:t xml:space="preserve">“Beyond the </w:t>
      </w:r>
      <w:proofErr w:type="spellStart"/>
      <w:r>
        <w:rPr>
          <w:rStyle w:val="Strong"/>
        </w:rPr>
        <w:t>Taj</w:t>
      </w:r>
      <w:proofErr w:type="spellEnd"/>
      <w:r>
        <w:rPr>
          <w:rStyle w:val="Strong"/>
        </w:rPr>
        <w:t xml:space="preserve">: Heart of </w:t>
      </w:r>
      <w:proofErr w:type="spellStart"/>
      <w:r>
        <w:rPr>
          <w:rStyle w:val="Strong"/>
        </w:rPr>
        <w:t>Mughal</w:t>
      </w:r>
      <w:proofErr w:type="spellEnd"/>
      <w:r>
        <w:rPr>
          <w:rStyle w:val="Strong"/>
        </w:rPr>
        <w:t xml:space="preserve"> India”</w:t>
      </w:r>
      <w:r>
        <w:t xml:space="preserve"> signals a shift from a monument-centric identity to a broader cultural geography (Richards, 2011). This repositioning must be backed by content-rich campaigns across digital and traditional media platforms.</w:t>
      </w:r>
    </w:p>
    <w:p w:rsidR="00360B0F" w:rsidRDefault="00360B0F" w:rsidP="00360B0F">
      <w:pPr>
        <w:pStyle w:val="NormalWeb"/>
      </w:pPr>
      <w:r>
        <w:t xml:space="preserve">Leveraging partnerships with travel influencers, heritage artists, and digital creators can help project Agra’s new image to a global audience. Content like mini-documentaries, </w:t>
      </w:r>
      <w:proofErr w:type="spellStart"/>
      <w:r>
        <w:t>Instagram</w:t>
      </w:r>
      <w:proofErr w:type="spellEnd"/>
      <w:r>
        <w:t xml:space="preserve"> reels, and interactive blogs can narrate lesser-known stories from Agra’s past, showcase its crafts and cuisine, and highlight offbeat experiences. Visual storytelling through </w:t>
      </w:r>
      <w:proofErr w:type="spellStart"/>
      <w:r>
        <w:t>Instagrammable</w:t>
      </w:r>
      <w:proofErr w:type="spellEnd"/>
      <w:r>
        <w:t xml:space="preserve"> zones at heritage sites, art murals in old neighborhoods, and storytelling kiosks with holographic displays can engage millennial and Gen Z travelers who seek unique, shareable experiences (</w:t>
      </w:r>
      <w:proofErr w:type="spellStart"/>
      <w:r>
        <w:t>Gretzel</w:t>
      </w:r>
      <w:proofErr w:type="spellEnd"/>
      <w:r>
        <w:t xml:space="preserve"> et al., 2015). A unified brand identity that connects history, innovation, and community will enhance Agra’s competitive edge in India’s evolving tourism landscape.</w:t>
      </w:r>
    </w:p>
    <w:p w:rsidR="00360B0F" w:rsidRDefault="00360B0F" w:rsidP="00360B0F">
      <w:pPr>
        <w:pStyle w:val="Heading4"/>
      </w:pPr>
      <w:r>
        <w:rPr>
          <w:rStyle w:val="Strong"/>
          <w:b/>
          <w:bCs/>
        </w:rPr>
        <w:t>6.2.5 Community Co-creation</w:t>
      </w:r>
    </w:p>
    <w:p w:rsidR="00360B0F" w:rsidRDefault="00360B0F" w:rsidP="00360B0F">
      <w:pPr>
        <w:pStyle w:val="NormalWeb"/>
      </w:pPr>
      <w:r>
        <w:t xml:space="preserve">Community involvement is not only an ethical imperative but also a practical strategy for ensuring long-term sustainability and authenticity in tourism. Empowering local artisans—especially those skilled in marble inlay, </w:t>
      </w:r>
      <w:proofErr w:type="spellStart"/>
      <w:r>
        <w:t>zardozi</w:t>
      </w:r>
      <w:proofErr w:type="spellEnd"/>
      <w:r>
        <w:t xml:space="preserve">, carpet weaving, and leather craft—through maker spaces, product incubation labs, and e-commerce platforms can create sustainable </w:t>
      </w:r>
      <w:r>
        <w:lastRenderedPageBreak/>
        <w:t>livelihood opportunities (Timothy &amp; Boyd, 2003). These spaces can also serve as interactive zones for tourists to learn, co-create, and purchase directly, ensuring value addition across the supply chain.</w:t>
      </w:r>
    </w:p>
    <w:p w:rsidR="00360B0F" w:rsidRDefault="00360B0F" w:rsidP="00360B0F">
      <w:pPr>
        <w:pStyle w:val="NormalWeb"/>
      </w:pPr>
      <w:r>
        <w:t>Youth engagement is equally vital. Partnering with local universities, NGOs, and tour operators to train young people in heritage interpretation, foreign language skills, and digital tourism tools can foster a new generation of locally rooted tourism professionals (George &amp; George, 2004). Educational tourism programs, such as history walks led by schoolchildren or storytelling sessions by community elders, can promote intergenerational learning while also enhancing the visitor experience. By turning citizens into stewards of their heritage, community co-creation ensures that tourism development reflects local aspirations and retains cultural integrity.</w:t>
      </w:r>
    </w:p>
    <w:p w:rsidR="00360B0F" w:rsidRDefault="00360B0F" w:rsidP="00360B0F"/>
    <w:p w:rsidR="00360B0F" w:rsidRDefault="00360B0F" w:rsidP="00360B0F">
      <w:pPr>
        <w:pStyle w:val="Heading2"/>
      </w:pPr>
      <w:r>
        <w:rPr>
          <w:rStyle w:val="Strong"/>
          <w:b/>
          <w:bCs/>
        </w:rPr>
        <w:t>7. Conclusion</w:t>
      </w:r>
    </w:p>
    <w:p w:rsidR="00360B0F" w:rsidRDefault="00360B0F" w:rsidP="00360B0F">
      <w:pPr>
        <w:pStyle w:val="NormalWeb"/>
      </w:pPr>
      <w:r>
        <w:t xml:space="preserve">Agra’s tourism stagnation is emblematic of a deeper issue faced by many heritage cities worldwide—overreliance on a single iconic attraction at the expense of broader cultural and community engagement. While the </w:t>
      </w:r>
      <w:proofErr w:type="spellStart"/>
      <w:r>
        <w:t>Taj</w:t>
      </w:r>
      <w:proofErr w:type="spellEnd"/>
      <w:r>
        <w:t xml:space="preserve"> </w:t>
      </w:r>
      <w:proofErr w:type="spellStart"/>
      <w:r>
        <w:t>Mahal</w:t>
      </w:r>
      <w:proofErr w:type="spellEnd"/>
      <w:r>
        <w:t xml:space="preserve"> remains an unparalleled marvel of architecture and emotion, it cannot bear the weight of Agra’s entire tourism economy. The current state of over-tourism around the </w:t>
      </w:r>
      <w:proofErr w:type="spellStart"/>
      <w:r>
        <w:t>Taj</w:t>
      </w:r>
      <w:proofErr w:type="spellEnd"/>
      <w:r>
        <w:t xml:space="preserve">, limited night-time economy, and underutilized heritage sites has led to reduced tourist satisfaction, short visitor stays, and economic leakage, all of which place Agra firmly in the stagnation stage of the Tourism Area Life Cycle model (Butler, 1980; Jain &amp; </w:t>
      </w:r>
      <w:proofErr w:type="spellStart"/>
      <w:r>
        <w:t>Trivedi</w:t>
      </w:r>
      <w:proofErr w:type="spellEnd"/>
      <w:r>
        <w:t>, 2020).</w:t>
      </w:r>
    </w:p>
    <w:p w:rsidR="00360B0F" w:rsidRDefault="00360B0F" w:rsidP="00360B0F">
      <w:pPr>
        <w:pStyle w:val="NormalWeb"/>
      </w:pPr>
      <w:r>
        <w:t xml:space="preserve">This study has argued for a comprehensive reinvention of Agra that </w:t>
      </w:r>
      <w:proofErr w:type="spellStart"/>
      <w:r>
        <w:t>reimagines</w:t>
      </w:r>
      <w:proofErr w:type="spellEnd"/>
      <w:r>
        <w:t xml:space="preserve"> the city as a multi-layered, experience-rich, and community-driven tourism destination. By activating underexplored </w:t>
      </w:r>
      <w:proofErr w:type="spellStart"/>
      <w:r>
        <w:t>Mughal</w:t>
      </w:r>
      <w:proofErr w:type="spellEnd"/>
      <w:r>
        <w:t xml:space="preserve"> sites through heritage trails, empowering rural communities through farm-stays and food tourism, embedding digital smart tools for enhanced accessibility, and creating an inclusive cultural brand narrative, Agra can rise beyond its current limitations. These innovations are not only aligned with global tourism trends but are also deeply grounded in local context and capacity. They offer a sustainable pathway that balances preservation with participation, exclusivity with inclusivity, and innovation with tradition (Sharma &amp; Gupta, 2019; Richards, 2011).</w:t>
      </w:r>
    </w:p>
    <w:p w:rsidR="00360B0F" w:rsidRDefault="00360B0F" w:rsidP="00360B0F">
      <w:pPr>
        <w:pStyle w:val="NormalWeb"/>
      </w:pPr>
      <w:r>
        <w:t xml:space="preserve">The future of Agra as a tourism destination lies not in preserving a static image but in embracing dynamic reinvention. With strategic vision, inclusive governance, and collaborative implementation, Agra has the potential to emerge not just as the city of the </w:t>
      </w:r>
      <w:proofErr w:type="spellStart"/>
      <w:r>
        <w:t>Taj</w:t>
      </w:r>
      <w:proofErr w:type="spellEnd"/>
      <w:r>
        <w:t xml:space="preserve"> </w:t>
      </w:r>
      <w:proofErr w:type="spellStart"/>
      <w:r>
        <w:t>Mahal</w:t>
      </w:r>
      <w:proofErr w:type="spellEnd"/>
      <w:r>
        <w:t xml:space="preserve"> but as a living, breathing, evolving cultural capital of North India—where history meets innovation, and monuments coexist with vibrant communities. This blueprint, while tailored for Agra, can serve as a replicable model for revitalizing heritage cities globally facing similar stagnation and tourism fatigue.</w:t>
      </w:r>
    </w:p>
    <w:p w:rsidR="00360B0F" w:rsidRDefault="00360B0F" w:rsidP="00360B0F">
      <w:pPr>
        <w:pStyle w:val="NormalWeb"/>
      </w:pPr>
      <w:r>
        <w:t xml:space="preserve">In implementing this reinvention strategy, it is essential that policymakers and tourism stakeholders adopt a phased and participatory approach. Reinvention is not a one-time event but a continuous process that requires adaptability, monitoring, and community feedback. Each </w:t>
      </w:r>
      <w:r>
        <w:lastRenderedPageBreak/>
        <w:t>intervention—be it digital transformation, rural tourism development, or heritage branding—must be piloted, evaluated, and scaled thoughtfully to avoid replicating past mistakes of over-commercialization and cultural dilution. Special care should be taken to preserve the integrity of Agra's built and living heritage while fostering innovation that resonates with evolving traveler expectations. Establishing cross-</w:t>
      </w:r>
      <w:proofErr w:type="spellStart"/>
      <w:r>
        <w:t>sectoral</w:t>
      </w:r>
      <w:proofErr w:type="spellEnd"/>
      <w:r>
        <w:t xml:space="preserve"> partnerships among government bodies, private investors, educational institutions, and grassroots organizations will be crucial to ensure that the reinvention plan is both inclusive and resilient (</w:t>
      </w:r>
      <w:proofErr w:type="spellStart"/>
      <w:r>
        <w:t>Buhalis</w:t>
      </w:r>
      <w:proofErr w:type="spellEnd"/>
      <w:r>
        <w:t xml:space="preserve"> &amp; </w:t>
      </w:r>
      <w:proofErr w:type="spellStart"/>
      <w:r>
        <w:t>Amaranggana</w:t>
      </w:r>
      <w:proofErr w:type="spellEnd"/>
      <w:r>
        <w:t xml:space="preserve">, 2015; Timothy &amp; </w:t>
      </w:r>
      <w:proofErr w:type="spellStart"/>
      <w:r>
        <w:t>Nyaupane</w:t>
      </w:r>
      <w:proofErr w:type="spellEnd"/>
      <w:r>
        <w:t>, 2009).</w:t>
      </w:r>
    </w:p>
    <w:p w:rsidR="00360B0F" w:rsidRDefault="00360B0F" w:rsidP="00360B0F">
      <w:pPr>
        <w:pStyle w:val="NormalWeb"/>
      </w:pPr>
      <w:r>
        <w:t xml:space="preserve">Finally, the reinvention of Agra should also contribute to broader regional development and national tourism goals. As one of India's flagship heritage cities, Agra has the symbolic and strategic potential to lead by example. If successful, the city could become a benchmark for sustainable and smart heritage tourism in South Asia, influencing policies in other stagnating destinations such as Varanasi, </w:t>
      </w:r>
      <w:proofErr w:type="spellStart"/>
      <w:r>
        <w:t>Hampi</w:t>
      </w:r>
      <w:proofErr w:type="spellEnd"/>
      <w:r>
        <w:t xml:space="preserve">, or </w:t>
      </w:r>
      <w:proofErr w:type="spellStart"/>
      <w:r>
        <w:t>Jaipur</w:t>
      </w:r>
      <w:proofErr w:type="spellEnd"/>
      <w:r>
        <w:t>. By shifting from a mono-attraction framework to a multi-layered tourism ecosystem, Agra can showcase how cultural preservation, economic vitality, and technological innovation can harmoniously coexist. In doing so, it not only secures its own future as a thriving destination but also reclaims its historical legacy as a center of creativity, hospitality, and cultural exchange.</w:t>
      </w:r>
    </w:p>
    <w:p w:rsidR="00EF1015" w:rsidRDefault="00EF1015" w:rsidP="0081643C">
      <w:pPr>
        <w:pStyle w:val="Heading2"/>
        <w:rPr>
          <w:rStyle w:val="Strong"/>
          <w:b/>
          <w:bCs/>
        </w:rPr>
      </w:pPr>
    </w:p>
    <w:p w:rsidR="0081643C" w:rsidRDefault="0081643C" w:rsidP="0081643C">
      <w:pPr>
        <w:pStyle w:val="Heading2"/>
      </w:pPr>
      <w:r>
        <w:rPr>
          <w:rStyle w:val="Strong"/>
          <w:b/>
          <w:bCs/>
        </w:rPr>
        <w:t>8. References</w:t>
      </w:r>
    </w:p>
    <w:p w:rsidR="0081643C" w:rsidRDefault="0081643C" w:rsidP="0081643C">
      <w:pPr>
        <w:pStyle w:val="NormalWeb"/>
        <w:numPr>
          <w:ilvl w:val="0"/>
          <w:numId w:val="31"/>
        </w:numPr>
      </w:pPr>
      <w:r>
        <w:t xml:space="preserve">Asher, C. B. (2006). </w:t>
      </w:r>
      <w:r>
        <w:rPr>
          <w:rStyle w:val="Emphasis"/>
        </w:rPr>
        <w:t xml:space="preserve">Architecture of </w:t>
      </w:r>
      <w:proofErr w:type="spellStart"/>
      <w:r>
        <w:rPr>
          <w:rStyle w:val="Emphasis"/>
        </w:rPr>
        <w:t>Mughal</w:t>
      </w:r>
      <w:proofErr w:type="spellEnd"/>
      <w:r>
        <w:rPr>
          <w:rStyle w:val="Emphasis"/>
        </w:rPr>
        <w:t xml:space="preserve"> India</w:t>
      </w:r>
      <w:r>
        <w:t>. Cambridge University Press.</w:t>
      </w:r>
    </w:p>
    <w:p w:rsidR="0081643C" w:rsidRDefault="0081643C" w:rsidP="0081643C">
      <w:pPr>
        <w:pStyle w:val="NormalWeb"/>
        <w:numPr>
          <w:ilvl w:val="0"/>
          <w:numId w:val="31"/>
        </w:numPr>
      </w:pPr>
      <w:r>
        <w:t xml:space="preserve">Butler, R. W. (1980). The Concept of a Tourism Area Cycle of Evolution: Implications for Resource Management. </w:t>
      </w:r>
      <w:r>
        <w:rPr>
          <w:rStyle w:val="Emphasis"/>
        </w:rPr>
        <w:t>Canadian Geographer</w:t>
      </w:r>
      <w:r>
        <w:t>, 24(1), 5–12.</w:t>
      </w:r>
    </w:p>
    <w:p w:rsidR="0081643C" w:rsidRDefault="0081643C" w:rsidP="0081643C">
      <w:pPr>
        <w:pStyle w:val="NormalWeb"/>
        <w:numPr>
          <w:ilvl w:val="0"/>
          <w:numId w:val="31"/>
        </w:numPr>
      </w:pPr>
      <w:proofErr w:type="spellStart"/>
      <w:r>
        <w:t>Gretzel</w:t>
      </w:r>
      <w:proofErr w:type="spellEnd"/>
      <w:r>
        <w:t xml:space="preserve">, U., </w:t>
      </w:r>
      <w:proofErr w:type="spellStart"/>
      <w:r>
        <w:t>Sigala</w:t>
      </w:r>
      <w:proofErr w:type="spellEnd"/>
      <w:r>
        <w:t xml:space="preserve">, M., Xiang, Z., &amp; Koo, C. (2015). Smart Tourism: Foundations and Developments. </w:t>
      </w:r>
      <w:r>
        <w:rPr>
          <w:rStyle w:val="Emphasis"/>
        </w:rPr>
        <w:t>Electronic Markets</w:t>
      </w:r>
      <w:r>
        <w:t>, 25(3), 179–188.</w:t>
      </w:r>
    </w:p>
    <w:p w:rsidR="0081643C" w:rsidRDefault="0081643C" w:rsidP="0081643C">
      <w:pPr>
        <w:pStyle w:val="NormalWeb"/>
        <w:numPr>
          <w:ilvl w:val="0"/>
          <w:numId w:val="31"/>
        </w:numPr>
      </w:pPr>
      <w:r>
        <w:t xml:space="preserve">Jain, R., &amp; </w:t>
      </w:r>
      <w:proofErr w:type="spellStart"/>
      <w:r>
        <w:t>Trivedi</w:t>
      </w:r>
      <w:proofErr w:type="spellEnd"/>
      <w:r>
        <w:t xml:space="preserve">, H. (2020). Tourism Development Challenges in Agra: A Heritage City Perspective. </w:t>
      </w:r>
      <w:r>
        <w:rPr>
          <w:rStyle w:val="Emphasis"/>
        </w:rPr>
        <w:t>Indian Journal of Tourism Research</w:t>
      </w:r>
      <w:r>
        <w:t>, 17(1), 45–56.</w:t>
      </w:r>
    </w:p>
    <w:p w:rsidR="0081643C" w:rsidRDefault="0081643C" w:rsidP="0081643C">
      <w:pPr>
        <w:pStyle w:val="NormalWeb"/>
        <w:numPr>
          <w:ilvl w:val="0"/>
          <w:numId w:val="31"/>
        </w:numPr>
      </w:pPr>
      <w:r>
        <w:t xml:space="preserve">Richards, G. (2011). Creativity and Tourism: The State of the Art. </w:t>
      </w:r>
      <w:r>
        <w:rPr>
          <w:rStyle w:val="Emphasis"/>
        </w:rPr>
        <w:t>Annals of Tourism Research</w:t>
      </w:r>
      <w:r>
        <w:t>, 38(4), 1225–1253.</w:t>
      </w:r>
    </w:p>
    <w:p w:rsidR="0081643C" w:rsidRDefault="0081643C" w:rsidP="0081643C">
      <w:pPr>
        <w:pStyle w:val="NormalWeb"/>
        <w:numPr>
          <w:ilvl w:val="0"/>
          <w:numId w:val="31"/>
        </w:numPr>
      </w:pPr>
      <w:proofErr w:type="spellStart"/>
      <w:r>
        <w:t>Scheyvens</w:t>
      </w:r>
      <w:proofErr w:type="spellEnd"/>
      <w:r>
        <w:t xml:space="preserve">, R. (1999). Ecotourism and the Empowerment of Local Communities. </w:t>
      </w:r>
      <w:r>
        <w:rPr>
          <w:rStyle w:val="Emphasis"/>
        </w:rPr>
        <w:t>Tourism Management</w:t>
      </w:r>
      <w:r>
        <w:t>, 20(2), 245–249.</w:t>
      </w:r>
    </w:p>
    <w:p w:rsidR="0081643C" w:rsidRDefault="0081643C" w:rsidP="0081643C">
      <w:pPr>
        <w:pStyle w:val="NormalWeb"/>
        <w:numPr>
          <w:ilvl w:val="0"/>
          <w:numId w:val="31"/>
        </w:numPr>
      </w:pPr>
      <w:r>
        <w:t xml:space="preserve">Sharma, A., &amp; </w:t>
      </w:r>
      <w:proofErr w:type="spellStart"/>
      <w:r>
        <w:t>Verma</w:t>
      </w:r>
      <w:proofErr w:type="spellEnd"/>
      <w:r>
        <w:t xml:space="preserve">, R. (2020). Gastronomic Tourism in Northern India: Potentials and Challenges. </w:t>
      </w:r>
      <w:r>
        <w:rPr>
          <w:rStyle w:val="Emphasis"/>
        </w:rPr>
        <w:t>South Asian Journal of Tourism and Heritage</w:t>
      </w:r>
      <w:r>
        <w:t>, 13(1), 38–53.</w:t>
      </w:r>
    </w:p>
    <w:p w:rsidR="0081643C" w:rsidRDefault="0081643C" w:rsidP="00D26592">
      <w:pPr>
        <w:pStyle w:val="NormalWeb"/>
        <w:numPr>
          <w:ilvl w:val="0"/>
          <w:numId w:val="31"/>
        </w:numPr>
      </w:pPr>
      <w:r>
        <w:t xml:space="preserve">Singh, S. (2016). Tourism in Agra: Beyond the </w:t>
      </w:r>
      <w:proofErr w:type="spellStart"/>
      <w:r>
        <w:t>Taj</w:t>
      </w:r>
      <w:proofErr w:type="spellEnd"/>
      <w:r>
        <w:t xml:space="preserve"> </w:t>
      </w:r>
      <w:proofErr w:type="spellStart"/>
      <w:r>
        <w:t>Mahal</w:t>
      </w:r>
      <w:proofErr w:type="spellEnd"/>
      <w:r>
        <w:t xml:space="preserve">. </w:t>
      </w:r>
      <w:r>
        <w:rPr>
          <w:rStyle w:val="Emphasis"/>
        </w:rPr>
        <w:t>Journal of Cultural Heritage Management and Sustainable Development</w:t>
      </w:r>
      <w:r>
        <w:t>, 6(2), 98–111.</w:t>
      </w:r>
    </w:p>
    <w:p w:rsidR="00EF1015" w:rsidRPr="00EF1015" w:rsidRDefault="00EF1015" w:rsidP="00EF1015">
      <w:pPr>
        <w:numPr>
          <w:ilvl w:val="0"/>
          <w:numId w:val="31"/>
        </w:numPr>
        <w:spacing w:before="100" w:beforeAutospacing="1" w:after="100" w:afterAutospacing="1" w:line="240" w:lineRule="auto"/>
        <w:rPr>
          <w:rFonts w:ascii="Times New Roman" w:eastAsia="Times New Roman" w:hAnsi="Times New Roman" w:cs="Times New Roman"/>
          <w:sz w:val="24"/>
          <w:szCs w:val="24"/>
        </w:rPr>
      </w:pPr>
      <w:r w:rsidRPr="00EF1015">
        <w:rPr>
          <w:rFonts w:ascii="Times New Roman" w:eastAsia="Times New Roman" w:hAnsi="Times New Roman" w:cs="Times New Roman"/>
          <w:sz w:val="24"/>
          <w:szCs w:val="24"/>
        </w:rPr>
        <w:t xml:space="preserve">Asher, C. B. (2006). </w:t>
      </w:r>
      <w:r w:rsidRPr="00EF1015">
        <w:rPr>
          <w:rFonts w:ascii="Times New Roman" w:eastAsia="Times New Roman" w:hAnsi="Times New Roman" w:cs="Times New Roman"/>
          <w:i/>
          <w:iCs/>
          <w:sz w:val="24"/>
          <w:szCs w:val="24"/>
        </w:rPr>
        <w:t xml:space="preserve">Architecture of </w:t>
      </w:r>
      <w:proofErr w:type="spellStart"/>
      <w:r w:rsidRPr="00EF1015">
        <w:rPr>
          <w:rFonts w:ascii="Times New Roman" w:eastAsia="Times New Roman" w:hAnsi="Times New Roman" w:cs="Times New Roman"/>
          <w:i/>
          <w:iCs/>
          <w:sz w:val="24"/>
          <w:szCs w:val="24"/>
        </w:rPr>
        <w:t>Mughal</w:t>
      </w:r>
      <w:proofErr w:type="spellEnd"/>
      <w:r w:rsidRPr="00EF1015">
        <w:rPr>
          <w:rFonts w:ascii="Times New Roman" w:eastAsia="Times New Roman" w:hAnsi="Times New Roman" w:cs="Times New Roman"/>
          <w:i/>
          <w:iCs/>
          <w:sz w:val="24"/>
          <w:szCs w:val="24"/>
        </w:rPr>
        <w:t xml:space="preserve"> India</w:t>
      </w:r>
      <w:r w:rsidRPr="00EF1015">
        <w:rPr>
          <w:rFonts w:ascii="Times New Roman" w:eastAsia="Times New Roman" w:hAnsi="Times New Roman" w:cs="Times New Roman"/>
          <w:sz w:val="24"/>
          <w:szCs w:val="24"/>
        </w:rPr>
        <w:t>. Cambridge University Press.</w:t>
      </w:r>
    </w:p>
    <w:p w:rsidR="00EF1015" w:rsidRPr="00EF1015" w:rsidRDefault="00EF1015" w:rsidP="00EF1015">
      <w:pPr>
        <w:numPr>
          <w:ilvl w:val="0"/>
          <w:numId w:val="31"/>
        </w:numPr>
        <w:spacing w:before="100" w:beforeAutospacing="1" w:after="100" w:afterAutospacing="1" w:line="240" w:lineRule="auto"/>
        <w:rPr>
          <w:rFonts w:ascii="Times New Roman" w:eastAsia="Times New Roman" w:hAnsi="Times New Roman" w:cs="Times New Roman"/>
          <w:sz w:val="24"/>
          <w:szCs w:val="24"/>
        </w:rPr>
      </w:pPr>
      <w:r w:rsidRPr="00EF1015">
        <w:rPr>
          <w:rFonts w:ascii="Times New Roman" w:eastAsia="Times New Roman" w:hAnsi="Times New Roman" w:cs="Times New Roman"/>
          <w:sz w:val="24"/>
          <w:szCs w:val="24"/>
        </w:rPr>
        <w:t xml:space="preserve">Bhatia, A. K. (2011). </w:t>
      </w:r>
      <w:r w:rsidRPr="00EF1015">
        <w:rPr>
          <w:rFonts w:ascii="Times New Roman" w:eastAsia="Times New Roman" w:hAnsi="Times New Roman" w:cs="Times New Roman"/>
          <w:i/>
          <w:iCs/>
          <w:sz w:val="24"/>
          <w:szCs w:val="24"/>
        </w:rPr>
        <w:t>Tourism Development: Principles and Practices</w:t>
      </w:r>
      <w:r w:rsidRPr="00EF1015">
        <w:rPr>
          <w:rFonts w:ascii="Times New Roman" w:eastAsia="Times New Roman" w:hAnsi="Times New Roman" w:cs="Times New Roman"/>
          <w:sz w:val="24"/>
          <w:szCs w:val="24"/>
        </w:rPr>
        <w:t>. Sterling Publishers.</w:t>
      </w:r>
    </w:p>
    <w:p w:rsidR="00EF1015" w:rsidRPr="00EF1015" w:rsidRDefault="00EF1015" w:rsidP="00EF1015">
      <w:pPr>
        <w:numPr>
          <w:ilvl w:val="0"/>
          <w:numId w:val="31"/>
        </w:numPr>
        <w:spacing w:before="100" w:beforeAutospacing="1" w:after="100" w:afterAutospacing="1" w:line="240" w:lineRule="auto"/>
        <w:rPr>
          <w:rFonts w:ascii="Times New Roman" w:eastAsia="Times New Roman" w:hAnsi="Times New Roman" w:cs="Times New Roman"/>
          <w:sz w:val="24"/>
          <w:szCs w:val="24"/>
        </w:rPr>
      </w:pPr>
      <w:proofErr w:type="spellStart"/>
      <w:r w:rsidRPr="00EF1015">
        <w:rPr>
          <w:rFonts w:ascii="Times New Roman" w:eastAsia="Times New Roman" w:hAnsi="Times New Roman" w:cs="Times New Roman"/>
          <w:sz w:val="24"/>
          <w:szCs w:val="24"/>
        </w:rPr>
        <w:t>Briedenhann</w:t>
      </w:r>
      <w:proofErr w:type="spellEnd"/>
      <w:r w:rsidRPr="00EF1015">
        <w:rPr>
          <w:rFonts w:ascii="Times New Roman" w:eastAsia="Times New Roman" w:hAnsi="Times New Roman" w:cs="Times New Roman"/>
          <w:sz w:val="24"/>
          <w:szCs w:val="24"/>
        </w:rPr>
        <w:t xml:space="preserve">, J., &amp; </w:t>
      </w:r>
      <w:proofErr w:type="spellStart"/>
      <w:r w:rsidRPr="00EF1015">
        <w:rPr>
          <w:rFonts w:ascii="Times New Roman" w:eastAsia="Times New Roman" w:hAnsi="Times New Roman" w:cs="Times New Roman"/>
          <w:sz w:val="24"/>
          <w:szCs w:val="24"/>
        </w:rPr>
        <w:t>Wickens</w:t>
      </w:r>
      <w:proofErr w:type="spellEnd"/>
      <w:r w:rsidRPr="00EF1015">
        <w:rPr>
          <w:rFonts w:ascii="Times New Roman" w:eastAsia="Times New Roman" w:hAnsi="Times New Roman" w:cs="Times New Roman"/>
          <w:sz w:val="24"/>
          <w:szCs w:val="24"/>
        </w:rPr>
        <w:t xml:space="preserve">, E. (2004). Tourism routes as a tool for the economic development of rural areas. </w:t>
      </w:r>
      <w:r w:rsidRPr="00EF1015">
        <w:rPr>
          <w:rFonts w:ascii="Times New Roman" w:eastAsia="Times New Roman" w:hAnsi="Times New Roman" w:cs="Times New Roman"/>
          <w:i/>
          <w:iCs/>
          <w:sz w:val="24"/>
          <w:szCs w:val="24"/>
        </w:rPr>
        <w:t>Tourism Management</w:t>
      </w:r>
      <w:r w:rsidRPr="00EF1015">
        <w:rPr>
          <w:rFonts w:ascii="Times New Roman" w:eastAsia="Times New Roman" w:hAnsi="Times New Roman" w:cs="Times New Roman"/>
          <w:sz w:val="24"/>
          <w:szCs w:val="24"/>
        </w:rPr>
        <w:t>, 25(1), 71-79.</w:t>
      </w:r>
    </w:p>
    <w:p w:rsidR="00EF1015" w:rsidRPr="00EF1015" w:rsidRDefault="00EF1015" w:rsidP="00EF1015">
      <w:pPr>
        <w:numPr>
          <w:ilvl w:val="0"/>
          <w:numId w:val="31"/>
        </w:numPr>
        <w:spacing w:before="100" w:beforeAutospacing="1" w:after="100" w:afterAutospacing="1" w:line="240" w:lineRule="auto"/>
        <w:rPr>
          <w:rFonts w:ascii="Times New Roman" w:eastAsia="Times New Roman" w:hAnsi="Times New Roman" w:cs="Times New Roman"/>
          <w:sz w:val="24"/>
          <w:szCs w:val="24"/>
        </w:rPr>
      </w:pPr>
      <w:proofErr w:type="spellStart"/>
      <w:r w:rsidRPr="00EF1015">
        <w:rPr>
          <w:rFonts w:ascii="Times New Roman" w:eastAsia="Times New Roman" w:hAnsi="Times New Roman" w:cs="Times New Roman"/>
          <w:sz w:val="24"/>
          <w:szCs w:val="24"/>
        </w:rPr>
        <w:t>Buhalis</w:t>
      </w:r>
      <w:proofErr w:type="spellEnd"/>
      <w:r w:rsidRPr="00EF1015">
        <w:rPr>
          <w:rFonts w:ascii="Times New Roman" w:eastAsia="Times New Roman" w:hAnsi="Times New Roman" w:cs="Times New Roman"/>
          <w:sz w:val="24"/>
          <w:szCs w:val="24"/>
        </w:rPr>
        <w:t xml:space="preserve">, D., &amp; </w:t>
      </w:r>
      <w:proofErr w:type="spellStart"/>
      <w:r w:rsidRPr="00EF1015">
        <w:rPr>
          <w:rFonts w:ascii="Times New Roman" w:eastAsia="Times New Roman" w:hAnsi="Times New Roman" w:cs="Times New Roman"/>
          <w:sz w:val="24"/>
          <w:szCs w:val="24"/>
        </w:rPr>
        <w:t>Amaranggana</w:t>
      </w:r>
      <w:proofErr w:type="spellEnd"/>
      <w:r w:rsidRPr="00EF1015">
        <w:rPr>
          <w:rFonts w:ascii="Times New Roman" w:eastAsia="Times New Roman" w:hAnsi="Times New Roman" w:cs="Times New Roman"/>
          <w:sz w:val="24"/>
          <w:szCs w:val="24"/>
        </w:rPr>
        <w:t xml:space="preserve">, A. (2015). Smart tourism destinations. In </w:t>
      </w:r>
      <w:r w:rsidRPr="00EF1015">
        <w:rPr>
          <w:rFonts w:ascii="Times New Roman" w:eastAsia="Times New Roman" w:hAnsi="Times New Roman" w:cs="Times New Roman"/>
          <w:i/>
          <w:iCs/>
          <w:sz w:val="24"/>
          <w:szCs w:val="24"/>
        </w:rPr>
        <w:t>Information and Communication Technologies in Tourism 2015</w:t>
      </w:r>
      <w:r w:rsidRPr="00EF1015">
        <w:rPr>
          <w:rFonts w:ascii="Times New Roman" w:eastAsia="Times New Roman" w:hAnsi="Times New Roman" w:cs="Times New Roman"/>
          <w:sz w:val="24"/>
          <w:szCs w:val="24"/>
        </w:rPr>
        <w:t>. Springer.</w:t>
      </w:r>
    </w:p>
    <w:p w:rsidR="00EF1015" w:rsidRPr="00EF1015" w:rsidRDefault="00EF1015" w:rsidP="00EF1015">
      <w:pPr>
        <w:numPr>
          <w:ilvl w:val="0"/>
          <w:numId w:val="31"/>
        </w:numPr>
        <w:spacing w:before="100" w:beforeAutospacing="1" w:after="100" w:afterAutospacing="1" w:line="240" w:lineRule="auto"/>
        <w:rPr>
          <w:rFonts w:ascii="Times New Roman" w:eastAsia="Times New Roman" w:hAnsi="Times New Roman" w:cs="Times New Roman"/>
          <w:sz w:val="24"/>
          <w:szCs w:val="24"/>
        </w:rPr>
      </w:pPr>
      <w:r w:rsidRPr="00EF1015">
        <w:rPr>
          <w:rFonts w:ascii="Times New Roman" w:eastAsia="Times New Roman" w:hAnsi="Times New Roman" w:cs="Times New Roman"/>
          <w:sz w:val="24"/>
          <w:szCs w:val="24"/>
        </w:rPr>
        <w:lastRenderedPageBreak/>
        <w:t xml:space="preserve">Butler, R. W. (1980). The concept of a tourist area cycle of evolution: Implications for management of resources. </w:t>
      </w:r>
      <w:r w:rsidRPr="00EF1015">
        <w:rPr>
          <w:rFonts w:ascii="Times New Roman" w:eastAsia="Times New Roman" w:hAnsi="Times New Roman" w:cs="Times New Roman"/>
          <w:i/>
          <w:iCs/>
          <w:sz w:val="24"/>
          <w:szCs w:val="24"/>
        </w:rPr>
        <w:t>Canadian Geographer</w:t>
      </w:r>
      <w:r w:rsidRPr="00EF1015">
        <w:rPr>
          <w:rFonts w:ascii="Times New Roman" w:eastAsia="Times New Roman" w:hAnsi="Times New Roman" w:cs="Times New Roman"/>
          <w:sz w:val="24"/>
          <w:szCs w:val="24"/>
        </w:rPr>
        <w:t>, 24(1), 5–12.</w:t>
      </w:r>
    </w:p>
    <w:p w:rsidR="00EF1015" w:rsidRPr="00EF1015" w:rsidRDefault="00EF1015" w:rsidP="00EF1015">
      <w:pPr>
        <w:numPr>
          <w:ilvl w:val="0"/>
          <w:numId w:val="31"/>
        </w:numPr>
        <w:spacing w:before="100" w:beforeAutospacing="1" w:after="100" w:afterAutospacing="1" w:line="240" w:lineRule="auto"/>
        <w:rPr>
          <w:rFonts w:ascii="Times New Roman" w:eastAsia="Times New Roman" w:hAnsi="Times New Roman" w:cs="Times New Roman"/>
          <w:sz w:val="24"/>
          <w:szCs w:val="24"/>
        </w:rPr>
      </w:pPr>
      <w:proofErr w:type="spellStart"/>
      <w:r w:rsidRPr="00EF1015">
        <w:rPr>
          <w:rFonts w:ascii="Times New Roman" w:eastAsia="Times New Roman" w:hAnsi="Times New Roman" w:cs="Times New Roman"/>
          <w:sz w:val="24"/>
          <w:szCs w:val="24"/>
        </w:rPr>
        <w:t>Chhabra</w:t>
      </w:r>
      <w:proofErr w:type="spellEnd"/>
      <w:r w:rsidRPr="00EF1015">
        <w:rPr>
          <w:rFonts w:ascii="Times New Roman" w:eastAsia="Times New Roman" w:hAnsi="Times New Roman" w:cs="Times New Roman"/>
          <w:sz w:val="24"/>
          <w:szCs w:val="24"/>
        </w:rPr>
        <w:t xml:space="preserve">, D. (2012). </w:t>
      </w:r>
      <w:r w:rsidRPr="00EF1015">
        <w:rPr>
          <w:rFonts w:ascii="Times New Roman" w:eastAsia="Times New Roman" w:hAnsi="Times New Roman" w:cs="Times New Roman"/>
          <w:i/>
          <w:iCs/>
          <w:sz w:val="24"/>
          <w:szCs w:val="24"/>
        </w:rPr>
        <w:t>Heritage tourism: Contemporary perspectives</w:t>
      </w:r>
      <w:r w:rsidRPr="00EF1015">
        <w:rPr>
          <w:rFonts w:ascii="Times New Roman" w:eastAsia="Times New Roman" w:hAnsi="Times New Roman" w:cs="Times New Roman"/>
          <w:sz w:val="24"/>
          <w:szCs w:val="24"/>
        </w:rPr>
        <w:t xml:space="preserve">. </w:t>
      </w:r>
      <w:proofErr w:type="spellStart"/>
      <w:r w:rsidRPr="00EF1015">
        <w:rPr>
          <w:rFonts w:ascii="Times New Roman" w:eastAsia="Times New Roman" w:hAnsi="Times New Roman" w:cs="Times New Roman"/>
          <w:sz w:val="24"/>
          <w:szCs w:val="24"/>
        </w:rPr>
        <w:t>Routledge</w:t>
      </w:r>
      <w:proofErr w:type="spellEnd"/>
      <w:r w:rsidRPr="00EF1015">
        <w:rPr>
          <w:rFonts w:ascii="Times New Roman" w:eastAsia="Times New Roman" w:hAnsi="Times New Roman" w:cs="Times New Roman"/>
          <w:sz w:val="24"/>
          <w:szCs w:val="24"/>
        </w:rPr>
        <w:t>.</w:t>
      </w:r>
    </w:p>
    <w:p w:rsidR="00EF1015" w:rsidRPr="00EF1015" w:rsidRDefault="00EF1015" w:rsidP="00EF1015">
      <w:pPr>
        <w:numPr>
          <w:ilvl w:val="0"/>
          <w:numId w:val="31"/>
        </w:numPr>
        <w:spacing w:before="100" w:beforeAutospacing="1" w:after="100" w:afterAutospacing="1" w:line="240" w:lineRule="auto"/>
        <w:rPr>
          <w:rFonts w:ascii="Times New Roman" w:eastAsia="Times New Roman" w:hAnsi="Times New Roman" w:cs="Times New Roman"/>
          <w:sz w:val="24"/>
          <w:szCs w:val="24"/>
        </w:rPr>
      </w:pPr>
      <w:proofErr w:type="spellStart"/>
      <w:r w:rsidRPr="00EF1015">
        <w:rPr>
          <w:rFonts w:ascii="Times New Roman" w:eastAsia="Times New Roman" w:hAnsi="Times New Roman" w:cs="Times New Roman"/>
          <w:sz w:val="24"/>
          <w:szCs w:val="24"/>
        </w:rPr>
        <w:t>Denzin</w:t>
      </w:r>
      <w:proofErr w:type="spellEnd"/>
      <w:r w:rsidRPr="00EF1015">
        <w:rPr>
          <w:rFonts w:ascii="Times New Roman" w:eastAsia="Times New Roman" w:hAnsi="Times New Roman" w:cs="Times New Roman"/>
          <w:sz w:val="24"/>
          <w:szCs w:val="24"/>
        </w:rPr>
        <w:t xml:space="preserve">, N. K., &amp; Lincoln, Y. S. (2011). </w:t>
      </w:r>
      <w:r w:rsidRPr="00EF1015">
        <w:rPr>
          <w:rFonts w:ascii="Times New Roman" w:eastAsia="Times New Roman" w:hAnsi="Times New Roman" w:cs="Times New Roman"/>
          <w:i/>
          <w:iCs/>
          <w:sz w:val="24"/>
          <w:szCs w:val="24"/>
        </w:rPr>
        <w:t>The Sage Handbook of Qualitative Research</w:t>
      </w:r>
      <w:r w:rsidRPr="00EF1015">
        <w:rPr>
          <w:rFonts w:ascii="Times New Roman" w:eastAsia="Times New Roman" w:hAnsi="Times New Roman" w:cs="Times New Roman"/>
          <w:sz w:val="24"/>
          <w:szCs w:val="24"/>
        </w:rPr>
        <w:t>. SAGE.</w:t>
      </w:r>
    </w:p>
    <w:p w:rsidR="00EF1015" w:rsidRPr="00EF1015" w:rsidRDefault="00EF1015" w:rsidP="00EF1015">
      <w:pPr>
        <w:numPr>
          <w:ilvl w:val="0"/>
          <w:numId w:val="31"/>
        </w:numPr>
        <w:spacing w:before="100" w:beforeAutospacing="1" w:after="100" w:afterAutospacing="1" w:line="240" w:lineRule="auto"/>
        <w:rPr>
          <w:rFonts w:ascii="Times New Roman" w:eastAsia="Times New Roman" w:hAnsi="Times New Roman" w:cs="Times New Roman"/>
          <w:sz w:val="24"/>
          <w:szCs w:val="24"/>
        </w:rPr>
      </w:pPr>
      <w:r w:rsidRPr="00EF1015">
        <w:rPr>
          <w:rFonts w:ascii="Times New Roman" w:eastAsia="Times New Roman" w:hAnsi="Times New Roman" w:cs="Times New Roman"/>
          <w:sz w:val="24"/>
          <w:szCs w:val="24"/>
        </w:rPr>
        <w:t xml:space="preserve">George, B. P., &amp; George, B. P. (2004). Past visits and the intention to revisit a destination. </w:t>
      </w:r>
      <w:r w:rsidRPr="00EF1015">
        <w:rPr>
          <w:rFonts w:ascii="Times New Roman" w:eastAsia="Times New Roman" w:hAnsi="Times New Roman" w:cs="Times New Roman"/>
          <w:i/>
          <w:iCs/>
          <w:sz w:val="24"/>
          <w:szCs w:val="24"/>
        </w:rPr>
        <w:t>Tourism Review</w:t>
      </w:r>
      <w:r w:rsidRPr="00EF1015">
        <w:rPr>
          <w:rFonts w:ascii="Times New Roman" w:eastAsia="Times New Roman" w:hAnsi="Times New Roman" w:cs="Times New Roman"/>
          <w:sz w:val="24"/>
          <w:szCs w:val="24"/>
        </w:rPr>
        <w:t>, 59(4), 28-35.</w:t>
      </w:r>
    </w:p>
    <w:p w:rsidR="00EF1015" w:rsidRPr="00EF1015" w:rsidRDefault="00EF1015" w:rsidP="00EF1015">
      <w:pPr>
        <w:numPr>
          <w:ilvl w:val="0"/>
          <w:numId w:val="31"/>
        </w:numPr>
        <w:spacing w:before="100" w:beforeAutospacing="1" w:after="100" w:afterAutospacing="1" w:line="240" w:lineRule="auto"/>
        <w:rPr>
          <w:rFonts w:ascii="Times New Roman" w:eastAsia="Times New Roman" w:hAnsi="Times New Roman" w:cs="Times New Roman"/>
          <w:sz w:val="24"/>
          <w:szCs w:val="24"/>
        </w:rPr>
      </w:pPr>
      <w:proofErr w:type="spellStart"/>
      <w:r w:rsidRPr="00EF1015">
        <w:rPr>
          <w:rFonts w:ascii="Times New Roman" w:eastAsia="Times New Roman" w:hAnsi="Times New Roman" w:cs="Times New Roman"/>
          <w:sz w:val="24"/>
          <w:szCs w:val="24"/>
        </w:rPr>
        <w:t>Gretzel</w:t>
      </w:r>
      <w:proofErr w:type="spellEnd"/>
      <w:r w:rsidRPr="00EF1015">
        <w:rPr>
          <w:rFonts w:ascii="Times New Roman" w:eastAsia="Times New Roman" w:hAnsi="Times New Roman" w:cs="Times New Roman"/>
          <w:sz w:val="24"/>
          <w:szCs w:val="24"/>
        </w:rPr>
        <w:t xml:space="preserve">, U., </w:t>
      </w:r>
      <w:proofErr w:type="spellStart"/>
      <w:r w:rsidRPr="00EF1015">
        <w:rPr>
          <w:rFonts w:ascii="Times New Roman" w:eastAsia="Times New Roman" w:hAnsi="Times New Roman" w:cs="Times New Roman"/>
          <w:sz w:val="24"/>
          <w:szCs w:val="24"/>
        </w:rPr>
        <w:t>Sigala</w:t>
      </w:r>
      <w:proofErr w:type="spellEnd"/>
      <w:r w:rsidRPr="00EF1015">
        <w:rPr>
          <w:rFonts w:ascii="Times New Roman" w:eastAsia="Times New Roman" w:hAnsi="Times New Roman" w:cs="Times New Roman"/>
          <w:sz w:val="24"/>
          <w:szCs w:val="24"/>
        </w:rPr>
        <w:t xml:space="preserve">, M., Xiang, Z., &amp; Koo, C. (2015). Smart tourism: foundations and developments. </w:t>
      </w:r>
      <w:r w:rsidRPr="00EF1015">
        <w:rPr>
          <w:rFonts w:ascii="Times New Roman" w:eastAsia="Times New Roman" w:hAnsi="Times New Roman" w:cs="Times New Roman"/>
          <w:i/>
          <w:iCs/>
          <w:sz w:val="24"/>
          <w:szCs w:val="24"/>
        </w:rPr>
        <w:t>Electronic Markets</w:t>
      </w:r>
      <w:r w:rsidRPr="00EF1015">
        <w:rPr>
          <w:rFonts w:ascii="Times New Roman" w:eastAsia="Times New Roman" w:hAnsi="Times New Roman" w:cs="Times New Roman"/>
          <w:sz w:val="24"/>
          <w:szCs w:val="24"/>
        </w:rPr>
        <w:t>, 25(3), 179-188.</w:t>
      </w:r>
    </w:p>
    <w:p w:rsidR="00EF1015" w:rsidRPr="00EF1015" w:rsidRDefault="00EF1015" w:rsidP="00EF1015">
      <w:pPr>
        <w:numPr>
          <w:ilvl w:val="0"/>
          <w:numId w:val="31"/>
        </w:numPr>
        <w:spacing w:before="100" w:beforeAutospacing="1" w:after="100" w:afterAutospacing="1" w:line="240" w:lineRule="auto"/>
        <w:rPr>
          <w:rFonts w:ascii="Times New Roman" w:eastAsia="Times New Roman" w:hAnsi="Times New Roman" w:cs="Times New Roman"/>
          <w:sz w:val="24"/>
          <w:szCs w:val="24"/>
        </w:rPr>
      </w:pPr>
      <w:r w:rsidRPr="00EF1015">
        <w:rPr>
          <w:rFonts w:ascii="Times New Roman" w:eastAsia="Times New Roman" w:hAnsi="Times New Roman" w:cs="Times New Roman"/>
          <w:sz w:val="24"/>
          <w:szCs w:val="24"/>
        </w:rPr>
        <w:t xml:space="preserve">Jain, R., &amp; </w:t>
      </w:r>
      <w:proofErr w:type="spellStart"/>
      <w:r w:rsidRPr="00EF1015">
        <w:rPr>
          <w:rFonts w:ascii="Times New Roman" w:eastAsia="Times New Roman" w:hAnsi="Times New Roman" w:cs="Times New Roman"/>
          <w:sz w:val="24"/>
          <w:szCs w:val="24"/>
        </w:rPr>
        <w:t>Trivedi</w:t>
      </w:r>
      <w:proofErr w:type="spellEnd"/>
      <w:r w:rsidRPr="00EF1015">
        <w:rPr>
          <w:rFonts w:ascii="Times New Roman" w:eastAsia="Times New Roman" w:hAnsi="Times New Roman" w:cs="Times New Roman"/>
          <w:sz w:val="24"/>
          <w:szCs w:val="24"/>
        </w:rPr>
        <w:t xml:space="preserve">, P. (2020). Agra beyond </w:t>
      </w:r>
      <w:proofErr w:type="spellStart"/>
      <w:r w:rsidRPr="00EF1015">
        <w:rPr>
          <w:rFonts w:ascii="Times New Roman" w:eastAsia="Times New Roman" w:hAnsi="Times New Roman" w:cs="Times New Roman"/>
          <w:sz w:val="24"/>
          <w:szCs w:val="24"/>
        </w:rPr>
        <w:t>Taj</w:t>
      </w:r>
      <w:proofErr w:type="spellEnd"/>
      <w:r w:rsidRPr="00EF1015">
        <w:rPr>
          <w:rFonts w:ascii="Times New Roman" w:eastAsia="Times New Roman" w:hAnsi="Times New Roman" w:cs="Times New Roman"/>
          <w:sz w:val="24"/>
          <w:szCs w:val="24"/>
        </w:rPr>
        <w:t xml:space="preserve">: Sustainable tourism development through diversification. </w:t>
      </w:r>
      <w:r w:rsidRPr="00EF1015">
        <w:rPr>
          <w:rFonts w:ascii="Times New Roman" w:eastAsia="Times New Roman" w:hAnsi="Times New Roman" w:cs="Times New Roman"/>
          <w:i/>
          <w:iCs/>
          <w:sz w:val="24"/>
          <w:szCs w:val="24"/>
        </w:rPr>
        <w:t>Journal of Heritage Management</w:t>
      </w:r>
      <w:r w:rsidRPr="00EF1015">
        <w:rPr>
          <w:rFonts w:ascii="Times New Roman" w:eastAsia="Times New Roman" w:hAnsi="Times New Roman" w:cs="Times New Roman"/>
          <w:sz w:val="24"/>
          <w:szCs w:val="24"/>
        </w:rPr>
        <w:t>, 5(1), 21–35.</w:t>
      </w:r>
    </w:p>
    <w:p w:rsidR="00EF1015" w:rsidRPr="00EF1015" w:rsidRDefault="00EF1015" w:rsidP="00EF1015">
      <w:pPr>
        <w:numPr>
          <w:ilvl w:val="0"/>
          <w:numId w:val="31"/>
        </w:numPr>
        <w:spacing w:before="100" w:beforeAutospacing="1" w:after="100" w:afterAutospacing="1" w:line="240" w:lineRule="auto"/>
        <w:rPr>
          <w:rFonts w:ascii="Times New Roman" w:eastAsia="Times New Roman" w:hAnsi="Times New Roman" w:cs="Times New Roman"/>
          <w:sz w:val="24"/>
          <w:szCs w:val="24"/>
        </w:rPr>
      </w:pPr>
      <w:proofErr w:type="spellStart"/>
      <w:r w:rsidRPr="00EF1015">
        <w:rPr>
          <w:rFonts w:ascii="Times New Roman" w:eastAsia="Times New Roman" w:hAnsi="Times New Roman" w:cs="Times New Roman"/>
          <w:sz w:val="24"/>
          <w:szCs w:val="24"/>
        </w:rPr>
        <w:t>Koens</w:t>
      </w:r>
      <w:proofErr w:type="spellEnd"/>
      <w:r w:rsidRPr="00EF1015">
        <w:rPr>
          <w:rFonts w:ascii="Times New Roman" w:eastAsia="Times New Roman" w:hAnsi="Times New Roman" w:cs="Times New Roman"/>
          <w:sz w:val="24"/>
          <w:szCs w:val="24"/>
        </w:rPr>
        <w:t xml:space="preserve">, K., </w:t>
      </w:r>
      <w:proofErr w:type="spellStart"/>
      <w:r w:rsidRPr="00EF1015">
        <w:rPr>
          <w:rFonts w:ascii="Times New Roman" w:eastAsia="Times New Roman" w:hAnsi="Times New Roman" w:cs="Times New Roman"/>
          <w:sz w:val="24"/>
          <w:szCs w:val="24"/>
        </w:rPr>
        <w:t>Postma</w:t>
      </w:r>
      <w:proofErr w:type="spellEnd"/>
      <w:r w:rsidRPr="00EF1015">
        <w:rPr>
          <w:rFonts w:ascii="Times New Roman" w:eastAsia="Times New Roman" w:hAnsi="Times New Roman" w:cs="Times New Roman"/>
          <w:sz w:val="24"/>
          <w:szCs w:val="24"/>
        </w:rPr>
        <w:t xml:space="preserve">, A., &amp; Papp, B. (2018). Is </w:t>
      </w:r>
      <w:proofErr w:type="spellStart"/>
      <w:r w:rsidRPr="00EF1015">
        <w:rPr>
          <w:rFonts w:ascii="Times New Roman" w:eastAsia="Times New Roman" w:hAnsi="Times New Roman" w:cs="Times New Roman"/>
          <w:sz w:val="24"/>
          <w:szCs w:val="24"/>
        </w:rPr>
        <w:t>overtourism</w:t>
      </w:r>
      <w:proofErr w:type="spellEnd"/>
      <w:r w:rsidRPr="00EF1015">
        <w:rPr>
          <w:rFonts w:ascii="Times New Roman" w:eastAsia="Times New Roman" w:hAnsi="Times New Roman" w:cs="Times New Roman"/>
          <w:sz w:val="24"/>
          <w:szCs w:val="24"/>
        </w:rPr>
        <w:t xml:space="preserve"> overused? </w:t>
      </w:r>
      <w:r w:rsidRPr="00EF1015">
        <w:rPr>
          <w:rFonts w:ascii="Times New Roman" w:eastAsia="Times New Roman" w:hAnsi="Times New Roman" w:cs="Times New Roman"/>
          <w:i/>
          <w:iCs/>
          <w:sz w:val="24"/>
          <w:szCs w:val="24"/>
        </w:rPr>
        <w:t>Tourism Review</w:t>
      </w:r>
      <w:r w:rsidRPr="00EF1015">
        <w:rPr>
          <w:rFonts w:ascii="Times New Roman" w:eastAsia="Times New Roman" w:hAnsi="Times New Roman" w:cs="Times New Roman"/>
          <w:sz w:val="24"/>
          <w:szCs w:val="24"/>
        </w:rPr>
        <w:t>, 73(2), 444-447.</w:t>
      </w:r>
    </w:p>
    <w:p w:rsidR="00EF1015" w:rsidRPr="00EF1015" w:rsidRDefault="00EF1015" w:rsidP="00EF1015">
      <w:pPr>
        <w:numPr>
          <w:ilvl w:val="0"/>
          <w:numId w:val="31"/>
        </w:numPr>
        <w:spacing w:before="100" w:beforeAutospacing="1" w:after="100" w:afterAutospacing="1" w:line="240" w:lineRule="auto"/>
        <w:rPr>
          <w:rFonts w:ascii="Times New Roman" w:eastAsia="Times New Roman" w:hAnsi="Times New Roman" w:cs="Times New Roman"/>
          <w:sz w:val="24"/>
          <w:szCs w:val="24"/>
        </w:rPr>
      </w:pPr>
      <w:r w:rsidRPr="00EF1015">
        <w:rPr>
          <w:rFonts w:ascii="Times New Roman" w:eastAsia="Times New Roman" w:hAnsi="Times New Roman" w:cs="Times New Roman"/>
          <w:sz w:val="24"/>
          <w:szCs w:val="24"/>
        </w:rPr>
        <w:t xml:space="preserve">Richards, G. (2011). Creativity and tourism: The state of the art. </w:t>
      </w:r>
      <w:r w:rsidRPr="00EF1015">
        <w:rPr>
          <w:rFonts w:ascii="Times New Roman" w:eastAsia="Times New Roman" w:hAnsi="Times New Roman" w:cs="Times New Roman"/>
          <w:i/>
          <w:iCs/>
          <w:sz w:val="24"/>
          <w:szCs w:val="24"/>
        </w:rPr>
        <w:t>Annals of Tourism Research</w:t>
      </w:r>
      <w:r w:rsidRPr="00EF1015">
        <w:rPr>
          <w:rFonts w:ascii="Times New Roman" w:eastAsia="Times New Roman" w:hAnsi="Times New Roman" w:cs="Times New Roman"/>
          <w:sz w:val="24"/>
          <w:szCs w:val="24"/>
        </w:rPr>
        <w:t>, 38(4), 1225-1253.</w:t>
      </w:r>
    </w:p>
    <w:p w:rsidR="00EF1015" w:rsidRPr="00EF1015" w:rsidRDefault="00EF1015" w:rsidP="00EF1015">
      <w:pPr>
        <w:numPr>
          <w:ilvl w:val="0"/>
          <w:numId w:val="31"/>
        </w:numPr>
        <w:spacing w:before="100" w:beforeAutospacing="1" w:after="100" w:afterAutospacing="1" w:line="240" w:lineRule="auto"/>
        <w:rPr>
          <w:rFonts w:ascii="Times New Roman" w:eastAsia="Times New Roman" w:hAnsi="Times New Roman" w:cs="Times New Roman"/>
          <w:sz w:val="24"/>
          <w:szCs w:val="24"/>
        </w:rPr>
      </w:pPr>
      <w:r w:rsidRPr="00EF1015">
        <w:rPr>
          <w:rFonts w:ascii="Times New Roman" w:eastAsia="Times New Roman" w:hAnsi="Times New Roman" w:cs="Times New Roman"/>
          <w:sz w:val="24"/>
          <w:szCs w:val="24"/>
        </w:rPr>
        <w:t xml:space="preserve">Russo, A. P. (2002). The “vicious circle” of tourism development in heritage cities. </w:t>
      </w:r>
      <w:r w:rsidRPr="00EF1015">
        <w:rPr>
          <w:rFonts w:ascii="Times New Roman" w:eastAsia="Times New Roman" w:hAnsi="Times New Roman" w:cs="Times New Roman"/>
          <w:i/>
          <w:iCs/>
          <w:sz w:val="24"/>
          <w:szCs w:val="24"/>
        </w:rPr>
        <w:t>Annals of Tourism Research</w:t>
      </w:r>
      <w:r w:rsidRPr="00EF1015">
        <w:rPr>
          <w:rFonts w:ascii="Times New Roman" w:eastAsia="Times New Roman" w:hAnsi="Times New Roman" w:cs="Times New Roman"/>
          <w:sz w:val="24"/>
          <w:szCs w:val="24"/>
        </w:rPr>
        <w:t>, 29(1), 165–182.</w:t>
      </w:r>
    </w:p>
    <w:p w:rsidR="00EF1015" w:rsidRPr="00EF1015" w:rsidRDefault="00EF1015" w:rsidP="00EF1015">
      <w:pPr>
        <w:numPr>
          <w:ilvl w:val="0"/>
          <w:numId w:val="31"/>
        </w:numPr>
        <w:spacing w:before="100" w:beforeAutospacing="1" w:after="100" w:afterAutospacing="1" w:line="240" w:lineRule="auto"/>
        <w:rPr>
          <w:rFonts w:ascii="Times New Roman" w:eastAsia="Times New Roman" w:hAnsi="Times New Roman" w:cs="Times New Roman"/>
          <w:sz w:val="24"/>
          <w:szCs w:val="24"/>
        </w:rPr>
      </w:pPr>
      <w:proofErr w:type="spellStart"/>
      <w:r w:rsidRPr="00EF1015">
        <w:rPr>
          <w:rFonts w:ascii="Times New Roman" w:eastAsia="Times New Roman" w:hAnsi="Times New Roman" w:cs="Times New Roman"/>
          <w:sz w:val="24"/>
          <w:szCs w:val="24"/>
        </w:rPr>
        <w:t>Scheyvens</w:t>
      </w:r>
      <w:proofErr w:type="spellEnd"/>
      <w:r w:rsidRPr="00EF1015">
        <w:rPr>
          <w:rFonts w:ascii="Times New Roman" w:eastAsia="Times New Roman" w:hAnsi="Times New Roman" w:cs="Times New Roman"/>
          <w:sz w:val="24"/>
          <w:szCs w:val="24"/>
        </w:rPr>
        <w:t xml:space="preserve">, R. (1999). Ecotourism and the empowerment of local communities. </w:t>
      </w:r>
      <w:r w:rsidRPr="00EF1015">
        <w:rPr>
          <w:rFonts w:ascii="Times New Roman" w:eastAsia="Times New Roman" w:hAnsi="Times New Roman" w:cs="Times New Roman"/>
          <w:i/>
          <w:iCs/>
          <w:sz w:val="24"/>
          <w:szCs w:val="24"/>
        </w:rPr>
        <w:t>Tourism Management</w:t>
      </w:r>
      <w:r w:rsidRPr="00EF1015">
        <w:rPr>
          <w:rFonts w:ascii="Times New Roman" w:eastAsia="Times New Roman" w:hAnsi="Times New Roman" w:cs="Times New Roman"/>
          <w:sz w:val="24"/>
          <w:szCs w:val="24"/>
        </w:rPr>
        <w:t>, 20(2), 245-249.</w:t>
      </w:r>
    </w:p>
    <w:p w:rsidR="00EF1015" w:rsidRPr="00EF1015" w:rsidRDefault="00EF1015" w:rsidP="00EF1015">
      <w:pPr>
        <w:numPr>
          <w:ilvl w:val="0"/>
          <w:numId w:val="31"/>
        </w:numPr>
        <w:spacing w:before="100" w:beforeAutospacing="1" w:after="100" w:afterAutospacing="1" w:line="240" w:lineRule="auto"/>
        <w:rPr>
          <w:rFonts w:ascii="Times New Roman" w:eastAsia="Times New Roman" w:hAnsi="Times New Roman" w:cs="Times New Roman"/>
          <w:sz w:val="24"/>
          <w:szCs w:val="24"/>
        </w:rPr>
      </w:pPr>
      <w:r w:rsidRPr="00EF1015">
        <w:rPr>
          <w:rFonts w:ascii="Times New Roman" w:eastAsia="Times New Roman" w:hAnsi="Times New Roman" w:cs="Times New Roman"/>
          <w:sz w:val="24"/>
          <w:szCs w:val="24"/>
        </w:rPr>
        <w:t xml:space="preserve">Sharma, R., &amp; Gupta, S. (2019). Destination stagnation and reinvention strategies: A case study of Agra. </w:t>
      </w:r>
      <w:r w:rsidRPr="00EF1015">
        <w:rPr>
          <w:rFonts w:ascii="Times New Roman" w:eastAsia="Times New Roman" w:hAnsi="Times New Roman" w:cs="Times New Roman"/>
          <w:i/>
          <w:iCs/>
          <w:sz w:val="24"/>
          <w:szCs w:val="24"/>
        </w:rPr>
        <w:t>South Asian Journal of Tourism and Heritage</w:t>
      </w:r>
      <w:r w:rsidRPr="00EF1015">
        <w:rPr>
          <w:rFonts w:ascii="Times New Roman" w:eastAsia="Times New Roman" w:hAnsi="Times New Roman" w:cs="Times New Roman"/>
          <w:sz w:val="24"/>
          <w:szCs w:val="24"/>
        </w:rPr>
        <w:t>, 12(1), 41-55.</w:t>
      </w:r>
    </w:p>
    <w:p w:rsidR="00EF1015" w:rsidRPr="00EF1015" w:rsidRDefault="00EF1015" w:rsidP="00EF1015">
      <w:pPr>
        <w:numPr>
          <w:ilvl w:val="0"/>
          <w:numId w:val="31"/>
        </w:numPr>
        <w:spacing w:before="100" w:beforeAutospacing="1" w:after="100" w:afterAutospacing="1" w:line="240" w:lineRule="auto"/>
        <w:rPr>
          <w:rFonts w:ascii="Times New Roman" w:eastAsia="Times New Roman" w:hAnsi="Times New Roman" w:cs="Times New Roman"/>
          <w:sz w:val="24"/>
          <w:szCs w:val="24"/>
        </w:rPr>
      </w:pPr>
      <w:r w:rsidRPr="00EF1015">
        <w:rPr>
          <w:rFonts w:ascii="Times New Roman" w:eastAsia="Times New Roman" w:hAnsi="Times New Roman" w:cs="Times New Roman"/>
          <w:sz w:val="24"/>
          <w:szCs w:val="24"/>
        </w:rPr>
        <w:t xml:space="preserve">Timothy, D. J., &amp; Boyd, S. W. (2003). </w:t>
      </w:r>
      <w:r w:rsidRPr="00EF1015">
        <w:rPr>
          <w:rFonts w:ascii="Times New Roman" w:eastAsia="Times New Roman" w:hAnsi="Times New Roman" w:cs="Times New Roman"/>
          <w:i/>
          <w:iCs/>
          <w:sz w:val="24"/>
          <w:szCs w:val="24"/>
        </w:rPr>
        <w:t>Heritage tourism</w:t>
      </w:r>
      <w:r w:rsidRPr="00EF1015">
        <w:rPr>
          <w:rFonts w:ascii="Times New Roman" w:eastAsia="Times New Roman" w:hAnsi="Times New Roman" w:cs="Times New Roman"/>
          <w:sz w:val="24"/>
          <w:szCs w:val="24"/>
        </w:rPr>
        <w:t>. Pearson Education.</w:t>
      </w:r>
    </w:p>
    <w:p w:rsidR="00EF1015" w:rsidRPr="00EF1015" w:rsidRDefault="00EF1015" w:rsidP="00EF1015">
      <w:pPr>
        <w:numPr>
          <w:ilvl w:val="0"/>
          <w:numId w:val="31"/>
        </w:numPr>
        <w:spacing w:before="100" w:beforeAutospacing="1" w:after="100" w:afterAutospacing="1" w:line="240" w:lineRule="auto"/>
        <w:rPr>
          <w:rFonts w:ascii="Times New Roman" w:eastAsia="Times New Roman" w:hAnsi="Times New Roman" w:cs="Times New Roman"/>
          <w:sz w:val="24"/>
          <w:szCs w:val="24"/>
        </w:rPr>
      </w:pPr>
      <w:r w:rsidRPr="00EF1015">
        <w:rPr>
          <w:rFonts w:ascii="Times New Roman" w:eastAsia="Times New Roman" w:hAnsi="Times New Roman" w:cs="Times New Roman"/>
          <w:sz w:val="24"/>
          <w:szCs w:val="24"/>
        </w:rPr>
        <w:t xml:space="preserve">Timothy, D. J., &amp; </w:t>
      </w:r>
      <w:proofErr w:type="spellStart"/>
      <w:r w:rsidRPr="00EF1015">
        <w:rPr>
          <w:rFonts w:ascii="Times New Roman" w:eastAsia="Times New Roman" w:hAnsi="Times New Roman" w:cs="Times New Roman"/>
          <w:sz w:val="24"/>
          <w:szCs w:val="24"/>
        </w:rPr>
        <w:t>Nyaupane</w:t>
      </w:r>
      <w:proofErr w:type="spellEnd"/>
      <w:r w:rsidRPr="00EF1015">
        <w:rPr>
          <w:rFonts w:ascii="Times New Roman" w:eastAsia="Times New Roman" w:hAnsi="Times New Roman" w:cs="Times New Roman"/>
          <w:sz w:val="24"/>
          <w:szCs w:val="24"/>
        </w:rPr>
        <w:t xml:space="preserve">, G. P. (2009). </w:t>
      </w:r>
      <w:r w:rsidRPr="00EF1015">
        <w:rPr>
          <w:rFonts w:ascii="Times New Roman" w:eastAsia="Times New Roman" w:hAnsi="Times New Roman" w:cs="Times New Roman"/>
          <w:i/>
          <w:iCs/>
          <w:sz w:val="24"/>
          <w:szCs w:val="24"/>
        </w:rPr>
        <w:t>Cultural heritage and tourism in the developing world: A regional perspective</w:t>
      </w:r>
      <w:r w:rsidRPr="00EF1015">
        <w:rPr>
          <w:rFonts w:ascii="Times New Roman" w:eastAsia="Times New Roman" w:hAnsi="Times New Roman" w:cs="Times New Roman"/>
          <w:sz w:val="24"/>
          <w:szCs w:val="24"/>
        </w:rPr>
        <w:t xml:space="preserve">. </w:t>
      </w:r>
      <w:proofErr w:type="spellStart"/>
      <w:r w:rsidRPr="00EF1015">
        <w:rPr>
          <w:rFonts w:ascii="Times New Roman" w:eastAsia="Times New Roman" w:hAnsi="Times New Roman" w:cs="Times New Roman"/>
          <w:sz w:val="24"/>
          <w:szCs w:val="24"/>
        </w:rPr>
        <w:t>Routledge</w:t>
      </w:r>
      <w:proofErr w:type="spellEnd"/>
      <w:r w:rsidRPr="00EF1015">
        <w:rPr>
          <w:rFonts w:ascii="Times New Roman" w:eastAsia="Times New Roman" w:hAnsi="Times New Roman" w:cs="Times New Roman"/>
          <w:sz w:val="24"/>
          <w:szCs w:val="24"/>
        </w:rPr>
        <w:t>.</w:t>
      </w:r>
    </w:p>
    <w:p w:rsidR="00EF1015" w:rsidRPr="00EF1015" w:rsidRDefault="00EF1015" w:rsidP="00EF1015">
      <w:pPr>
        <w:numPr>
          <w:ilvl w:val="0"/>
          <w:numId w:val="31"/>
        </w:numPr>
        <w:spacing w:before="100" w:beforeAutospacing="1" w:after="100" w:afterAutospacing="1" w:line="240" w:lineRule="auto"/>
        <w:rPr>
          <w:rFonts w:ascii="Times New Roman" w:eastAsia="Times New Roman" w:hAnsi="Times New Roman" w:cs="Times New Roman"/>
          <w:sz w:val="24"/>
          <w:szCs w:val="24"/>
        </w:rPr>
      </w:pPr>
      <w:r w:rsidRPr="00EF1015">
        <w:rPr>
          <w:rFonts w:ascii="Times New Roman" w:eastAsia="Times New Roman" w:hAnsi="Times New Roman" w:cs="Times New Roman"/>
          <w:sz w:val="24"/>
          <w:szCs w:val="24"/>
        </w:rPr>
        <w:t xml:space="preserve">Yin, R. K. (2018). </w:t>
      </w:r>
      <w:r w:rsidRPr="00EF1015">
        <w:rPr>
          <w:rFonts w:ascii="Times New Roman" w:eastAsia="Times New Roman" w:hAnsi="Times New Roman" w:cs="Times New Roman"/>
          <w:i/>
          <w:iCs/>
          <w:sz w:val="24"/>
          <w:szCs w:val="24"/>
        </w:rPr>
        <w:t>Case Study Research and Applications: Design and Methods</w:t>
      </w:r>
      <w:r w:rsidRPr="00EF1015">
        <w:rPr>
          <w:rFonts w:ascii="Times New Roman" w:eastAsia="Times New Roman" w:hAnsi="Times New Roman" w:cs="Times New Roman"/>
          <w:sz w:val="24"/>
          <w:szCs w:val="24"/>
        </w:rPr>
        <w:t>. Sage publications.</w:t>
      </w:r>
    </w:p>
    <w:p w:rsidR="00EF1015" w:rsidRPr="00EF1015" w:rsidRDefault="00EF1015" w:rsidP="00EF1015">
      <w:pPr>
        <w:numPr>
          <w:ilvl w:val="0"/>
          <w:numId w:val="31"/>
        </w:numPr>
        <w:spacing w:before="100" w:beforeAutospacing="1" w:after="100" w:afterAutospacing="1" w:line="240" w:lineRule="auto"/>
        <w:rPr>
          <w:rFonts w:ascii="Times New Roman" w:eastAsia="Times New Roman" w:hAnsi="Times New Roman" w:cs="Times New Roman"/>
          <w:sz w:val="24"/>
          <w:szCs w:val="24"/>
        </w:rPr>
      </w:pPr>
      <w:r w:rsidRPr="00EF1015">
        <w:rPr>
          <w:rFonts w:ascii="Times New Roman" w:eastAsia="Times New Roman" w:hAnsi="Times New Roman" w:cs="Times New Roman"/>
          <w:sz w:val="24"/>
          <w:szCs w:val="24"/>
        </w:rPr>
        <w:t xml:space="preserve">Zhang, L., Li, X., &amp; Liu, C. (2019). Smart tourism city: An example of Hangzhou. </w:t>
      </w:r>
      <w:r w:rsidRPr="00EF1015">
        <w:rPr>
          <w:rFonts w:ascii="Times New Roman" w:eastAsia="Times New Roman" w:hAnsi="Times New Roman" w:cs="Times New Roman"/>
          <w:i/>
          <w:iCs/>
          <w:sz w:val="24"/>
          <w:szCs w:val="24"/>
        </w:rPr>
        <w:t>Journal of China Tourism Research</w:t>
      </w:r>
      <w:r w:rsidRPr="00EF1015">
        <w:rPr>
          <w:rFonts w:ascii="Times New Roman" w:eastAsia="Times New Roman" w:hAnsi="Times New Roman" w:cs="Times New Roman"/>
          <w:sz w:val="24"/>
          <w:szCs w:val="24"/>
        </w:rPr>
        <w:t>, 15(3), 369-388.</w:t>
      </w:r>
    </w:p>
    <w:sectPr w:rsidR="00EF1015" w:rsidRPr="00EF1015" w:rsidSect="00672EA7">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733AFF"/>
    <w:multiLevelType w:val="multilevel"/>
    <w:tmpl w:val="31920C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23726D2"/>
    <w:multiLevelType w:val="multilevel"/>
    <w:tmpl w:val="FECA50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66E6113"/>
    <w:multiLevelType w:val="multilevel"/>
    <w:tmpl w:val="B25AD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95407DB"/>
    <w:multiLevelType w:val="multilevel"/>
    <w:tmpl w:val="FF7A9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15D4E09"/>
    <w:multiLevelType w:val="multilevel"/>
    <w:tmpl w:val="E814D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CFE7C06"/>
    <w:multiLevelType w:val="multilevel"/>
    <w:tmpl w:val="A36E1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D4A5B37"/>
    <w:multiLevelType w:val="multilevel"/>
    <w:tmpl w:val="3CC24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54C08D3"/>
    <w:multiLevelType w:val="multilevel"/>
    <w:tmpl w:val="52DA0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FC72455"/>
    <w:multiLevelType w:val="multilevel"/>
    <w:tmpl w:val="FCC25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0AB4817"/>
    <w:multiLevelType w:val="multilevel"/>
    <w:tmpl w:val="DD966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16E04F7"/>
    <w:multiLevelType w:val="multilevel"/>
    <w:tmpl w:val="43E06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1F24F3F"/>
    <w:multiLevelType w:val="multilevel"/>
    <w:tmpl w:val="BBCAA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1FB2D2B"/>
    <w:multiLevelType w:val="multilevel"/>
    <w:tmpl w:val="210AFC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AE06110"/>
    <w:multiLevelType w:val="multilevel"/>
    <w:tmpl w:val="E3D04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4094C1E"/>
    <w:multiLevelType w:val="multilevel"/>
    <w:tmpl w:val="DF80B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DB30572"/>
    <w:multiLevelType w:val="multilevel"/>
    <w:tmpl w:val="251E5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FA95092"/>
    <w:multiLevelType w:val="multilevel"/>
    <w:tmpl w:val="64823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FB22375"/>
    <w:multiLevelType w:val="multilevel"/>
    <w:tmpl w:val="0E1A6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1C81A9C"/>
    <w:multiLevelType w:val="multilevel"/>
    <w:tmpl w:val="20608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2670349"/>
    <w:multiLevelType w:val="multilevel"/>
    <w:tmpl w:val="5B5A2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3175348"/>
    <w:multiLevelType w:val="multilevel"/>
    <w:tmpl w:val="622A7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7580C92"/>
    <w:multiLevelType w:val="multilevel"/>
    <w:tmpl w:val="BA12D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A193A08"/>
    <w:multiLevelType w:val="hybridMultilevel"/>
    <w:tmpl w:val="0B60E2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E117DCC"/>
    <w:multiLevelType w:val="multilevel"/>
    <w:tmpl w:val="9CC01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E55288F"/>
    <w:multiLevelType w:val="multilevel"/>
    <w:tmpl w:val="3F3C5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20108EF"/>
    <w:multiLevelType w:val="multilevel"/>
    <w:tmpl w:val="F2CE9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429437C"/>
    <w:multiLevelType w:val="multilevel"/>
    <w:tmpl w:val="50F09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7561A33"/>
    <w:multiLevelType w:val="multilevel"/>
    <w:tmpl w:val="98A0B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E336BC6"/>
    <w:multiLevelType w:val="multilevel"/>
    <w:tmpl w:val="AEAA1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E661D18"/>
    <w:multiLevelType w:val="multilevel"/>
    <w:tmpl w:val="B9B85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4C32660"/>
    <w:multiLevelType w:val="multilevel"/>
    <w:tmpl w:val="BBC4C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D2B235A"/>
    <w:multiLevelType w:val="multilevel"/>
    <w:tmpl w:val="EAC2C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2"/>
  </w:num>
  <w:num w:numId="2">
    <w:abstractNumId w:val="1"/>
  </w:num>
  <w:num w:numId="3">
    <w:abstractNumId w:val="21"/>
  </w:num>
  <w:num w:numId="4">
    <w:abstractNumId w:val="12"/>
  </w:num>
  <w:num w:numId="5">
    <w:abstractNumId w:val="8"/>
  </w:num>
  <w:num w:numId="6">
    <w:abstractNumId w:val="4"/>
  </w:num>
  <w:num w:numId="7">
    <w:abstractNumId w:val="10"/>
  </w:num>
  <w:num w:numId="8">
    <w:abstractNumId w:val="18"/>
  </w:num>
  <w:num w:numId="9">
    <w:abstractNumId w:val="19"/>
  </w:num>
  <w:num w:numId="10">
    <w:abstractNumId w:val="15"/>
  </w:num>
  <w:num w:numId="11">
    <w:abstractNumId w:val="5"/>
  </w:num>
  <w:num w:numId="12">
    <w:abstractNumId w:val="17"/>
  </w:num>
  <w:num w:numId="13">
    <w:abstractNumId w:val="28"/>
  </w:num>
  <w:num w:numId="14">
    <w:abstractNumId w:val="26"/>
  </w:num>
  <w:num w:numId="15">
    <w:abstractNumId w:val="25"/>
  </w:num>
  <w:num w:numId="16">
    <w:abstractNumId w:val="7"/>
  </w:num>
  <w:num w:numId="17">
    <w:abstractNumId w:val="23"/>
  </w:num>
  <w:num w:numId="18">
    <w:abstractNumId w:val="13"/>
  </w:num>
  <w:num w:numId="19">
    <w:abstractNumId w:val="0"/>
  </w:num>
  <w:num w:numId="20">
    <w:abstractNumId w:val="11"/>
  </w:num>
  <w:num w:numId="21">
    <w:abstractNumId w:val="30"/>
  </w:num>
  <w:num w:numId="22">
    <w:abstractNumId w:val="9"/>
  </w:num>
  <w:num w:numId="23">
    <w:abstractNumId w:val="27"/>
  </w:num>
  <w:num w:numId="24">
    <w:abstractNumId w:val="20"/>
  </w:num>
  <w:num w:numId="25">
    <w:abstractNumId w:val="16"/>
  </w:num>
  <w:num w:numId="26">
    <w:abstractNumId w:val="24"/>
  </w:num>
  <w:num w:numId="27">
    <w:abstractNumId w:val="14"/>
  </w:num>
  <w:num w:numId="28">
    <w:abstractNumId w:val="31"/>
  </w:num>
  <w:num w:numId="29">
    <w:abstractNumId w:val="3"/>
  </w:num>
  <w:num w:numId="30">
    <w:abstractNumId w:val="29"/>
  </w:num>
  <w:num w:numId="31">
    <w:abstractNumId w:val="2"/>
  </w:num>
  <w:num w:numId="32">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proofState w:spelling="clean" w:grammar="clean"/>
  <w:defaultTabStop w:val="720"/>
  <w:characterSpacingControl w:val="doNotCompress"/>
  <w:compat/>
  <w:rsids>
    <w:rsidRoot w:val="009D421F"/>
    <w:rsid w:val="00360B0F"/>
    <w:rsid w:val="003D62F1"/>
    <w:rsid w:val="003F650B"/>
    <w:rsid w:val="004A5B01"/>
    <w:rsid w:val="00672EA7"/>
    <w:rsid w:val="006A5246"/>
    <w:rsid w:val="00746D17"/>
    <w:rsid w:val="007C58FC"/>
    <w:rsid w:val="0081643C"/>
    <w:rsid w:val="008B22C7"/>
    <w:rsid w:val="009A35EF"/>
    <w:rsid w:val="009D421F"/>
    <w:rsid w:val="00A454A9"/>
    <w:rsid w:val="00B74537"/>
    <w:rsid w:val="00BB5DD3"/>
    <w:rsid w:val="00C27E4B"/>
    <w:rsid w:val="00C448D7"/>
    <w:rsid w:val="00CD0E7C"/>
    <w:rsid w:val="00CF1780"/>
    <w:rsid w:val="00D26592"/>
    <w:rsid w:val="00D915F8"/>
    <w:rsid w:val="00DB667C"/>
    <w:rsid w:val="00EC504E"/>
    <w:rsid w:val="00EF1015"/>
    <w:rsid w:val="00F6418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6592"/>
  </w:style>
  <w:style w:type="paragraph" w:styleId="Heading1">
    <w:name w:val="heading 1"/>
    <w:basedOn w:val="Normal"/>
    <w:next w:val="Normal"/>
    <w:link w:val="Heading1Char"/>
    <w:uiPriority w:val="9"/>
    <w:qFormat/>
    <w:rsid w:val="0081643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C448D7"/>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C448D7"/>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8B22C7"/>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15F8"/>
    <w:pPr>
      <w:ind w:left="720"/>
      <w:contextualSpacing/>
    </w:pPr>
  </w:style>
  <w:style w:type="paragraph" w:styleId="BalloonText">
    <w:name w:val="Balloon Text"/>
    <w:basedOn w:val="Normal"/>
    <w:link w:val="BalloonTextChar"/>
    <w:uiPriority w:val="99"/>
    <w:semiHidden/>
    <w:unhideWhenUsed/>
    <w:rsid w:val="00D265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6592"/>
    <w:rPr>
      <w:rFonts w:ascii="Tahoma" w:hAnsi="Tahoma" w:cs="Tahoma"/>
      <w:sz w:val="16"/>
      <w:szCs w:val="16"/>
    </w:rPr>
  </w:style>
  <w:style w:type="character" w:customStyle="1" w:styleId="Heading2Char">
    <w:name w:val="Heading 2 Char"/>
    <w:basedOn w:val="DefaultParagraphFont"/>
    <w:link w:val="Heading2"/>
    <w:uiPriority w:val="9"/>
    <w:rsid w:val="00C448D7"/>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C448D7"/>
    <w:rPr>
      <w:rFonts w:ascii="Times New Roman" w:eastAsia="Times New Roman" w:hAnsi="Times New Roman" w:cs="Times New Roman"/>
      <w:b/>
      <w:bCs/>
      <w:sz w:val="27"/>
      <w:szCs w:val="27"/>
    </w:rPr>
  </w:style>
  <w:style w:type="paragraph" w:styleId="NormalWeb">
    <w:name w:val="Normal (Web)"/>
    <w:basedOn w:val="Normal"/>
    <w:uiPriority w:val="99"/>
    <w:unhideWhenUsed/>
    <w:rsid w:val="00C448D7"/>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C448D7"/>
    <w:rPr>
      <w:i/>
      <w:iCs/>
    </w:rPr>
  </w:style>
  <w:style w:type="character" w:styleId="Strong">
    <w:name w:val="Strong"/>
    <w:basedOn w:val="DefaultParagraphFont"/>
    <w:uiPriority w:val="22"/>
    <w:qFormat/>
    <w:rsid w:val="00C448D7"/>
    <w:rPr>
      <w:b/>
      <w:bCs/>
    </w:rPr>
  </w:style>
  <w:style w:type="character" w:styleId="Hyperlink">
    <w:name w:val="Hyperlink"/>
    <w:basedOn w:val="DefaultParagraphFont"/>
    <w:uiPriority w:val="99"/>
    <w:semiHidden/>
    <w:unhideWhenUsed/>
    <w:rsid w:val="00C448D7"/>
    <w:rPr>
      <w:color w:val="0000FF"/>
      <w:u w:val="single"/>
    </w:rPr>
  </w:style>
  <w:style w:type="character" w:customStyle="1" w:styleId="Heading4Char">
    <w:name w:val="Heading 4 Char"/>
    <w:basedOn w:val="DefaultParagraphFont"/>
    <w:link w:val="Heading4"/>
    <w:uiPriority w:val="9"/>
    <w:semiHidden/>
    <w:rsid w:val="008B22C7"/>
    <w:rPr>
      <w:rFonts w:asciiTheme="majorHAnsi" w:eastAsiaTheme="majorEastAsia" w:hAnsiTheme="majorHAnsi" w:cstheme="majorBidi"/>
      <w:b/>
      <w:bCs/>
      <w:i/>
      <w:iCs/>
      <w:color w:val="4F81BD" w:themeColor="accent1"/>
    </w:rPr>
  </w:style>
  <w:style w:type="character" w:customStyle="1" w:styleId="Heading1Char">
    <w:name w:val="Heading 1 Char"/>
    <w:basedOn w:val="DefaultParagraphFont"/>
    <w:link w:val="Heading1"/>
    <w:uiPriority w:val="9"/>
    <w:rsid w:val="0081643C"/>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r="http://schemas.openxmlformats.org/officeDocument/2006/relationships" xmlns:w="http://schemas.openxmlformats.org/wordprocessingml/2006/main">
  <w:divs>
    <w:div w:id="9722300">
      <w:bodyDiv w:val="1"/>
      <w:marLeft w:val="0"/>
      <w:marRight w:val="0"/>
      <w:marTop w:val="0"/>
      <w:marBottom w:val="0"/>
      <w:divBdr>
        <w:top w:val="none" w:sz="0" w:space="0" w:color="auto"/>
        <w:left w:val="none" w:sz="0" w:space="0" w:color="auto"/>
        <w:bottom w:val="none" w:sz="0" w:space="0" w:color="auto"/>
        <w:right w:val="none" w:sz="0" w:space="0" w:color="auto"/>
      </w:divBdr>
    </w:div>
    <w:div w:id="12658254">
      <w:bodyDiv w:val="1"/>
      <w:marLeft w:val="0"/>
      <w:marRight w:val="0"/>
      <w:marTop w:val="0"/>
      <w:marBottom w:val="0"/>
      <w:divBdr>
        <w:top w:val="none" w:sz="0" w:space="0" w:color="auto"/>
        <w:left w:val="none" w:sz="0" w:space="0" w:color="auto"/>
        <w:bottom w:val="none" w:sz="0" w:space="0" w:color="auto"/>
        <w:right w:val="none" w:sz="0" w:space="0" w:color="auto"/>
      </w:divBdr>
    </w:div>
    <w:div w:id="58481612">
      <w:bodyDiv w:val="1"/>
      <w:marLeft w:val="0"/>
      <w:marRight w:val="0"/>
      <w:marTop w:val="0"/>
      <w:marBottom w:val="0"/>
      <w:divBdr>
        <w:top w:val="none" w:sz="0" w:space="0" w:color="auto"/>
        <w:left w:val="none" w:sz="0" w:space="0" w:color="auto"/>
        <w:bottom w:val="none" w:sz="0" w:space="0" w:color="auto"/>
        <w:right w:val="none" w:sz="0" w:space="0" w:color="auto"/>
      </w:divBdr>
    </w:div>
    <w:div w:id="80413000">
      <w:bodyDiv w:val="1"/>
      <w:marLeft w:val="0"/>
      <w:marRight w:val="0"/>
      <w:marTop w:val="0"/>
      <w:marBottom w:val="0"/>
      <w:divBdr>
        <w:top w:val="none" w:sz="0" w:space="0" w:color="auto"/>
        <w:left w:val="none" w:sz="0" w:space="0" w:color="auto"/>
        <w:bottom w:val="none" w:sz="0" w:space="0" w:color="auto"/>
        <w:right w:val="none" w:sz="0" w:space="0" w:color="auto"/>
      </w:divBdr>
    </w:div>
    <w:div w:id="97484774">
      <w:bodyDiv w:val="1"/>
      <w:marLeft w:val="0"/>
      <w:marRight w:val="0"/>
      <w:marTop w:val="0"/>
      <w:marBottom w:val="0"/>
      <w:divBdr>
        <w:top w:val="none" w:sz="0" w:space="0" w:color="auto"/>
        <w:left w:val="none" w:sz="0" w:space="0" w:color="auto"/>
        <w:bottom w:val="none" w:sz="0" w:space="0" w:color="auto"/>
        <w:right w:val="none" w:sz="0" w:space="0" w:color="auto"/>
      </w:divBdr>
    </w:div>
    <w:div w:id="120853888">
      <w:bodyDiv w:val="1"/>
      <w:marLeft w:val="0"/>
      <w:marRight w:val="0"/>
      <w:marTop w:val="0"/>
      <w:marBottom w:val="0"/>
      <w:divBdr>
        <w:top w:val="none" w:sz="0" w:space="0" w:color="auto"/>
        <w:left w:val="none" w:sz="0" w:space="0" w:color="auto"/>
        <w:bottom w:val="none" w:sz="0" w:space="0" w:color="auto"/>
        <w:right w:val="none" w:sz="0" w:space="0" w:color="auto"/>
      </w:divBdr>
    </w:div>
    <w:div w:id="327098994">
      <w:bodyDiv w:val="1"/>
      <w:marLeft w:val="0"/>
      <w:marRight w:val="0"/>
      <w:marTop w:val="0"/>
      <w:marBottom w:val="0"/>
      <w:divBdr>
        <w:top w:val="none" w:sz="0" w:space="0" w:color="auto"/>
        <w:left w:val="none" w:sz="0" w:space="0" w:color="auto"/>
        <w:bottom w:val="none" w:sz="0" w:space="0" w:color="auto"/>
        <w:right w:val="none" w:sz="0" w:space="0" w:color="auto"/>
      </w:divBdr>
    </w:div>
    <w:div w:id="458452816">
      <w:bodyDiv w:val="1"/>
      <w:marLeft w:val="0"/>
      <w:marRight w:val="0"/>
      <w:marTop w:val="0"/>
      <w:marBottom w:val="0"/>
      <w:divBdr>
        <w:top w:val="none" w:sz="0" w:space="0" w:color="auto"/>
        <w:left w:val="none" w:sz="0" w:space="0" w:color="auto"/>
        <w:bottom w:val="none" w:sz="0" w:space="0" w:color="auto"/>
        <w:right w:val="none" w:sz="0" w:space="0" w:color="auto"/>
      </w:divBdr>
    </w:div>
    <w:div w:id="1063990705">
      <w:bodyDiv w:val="1"/>
      <w:marLeft w:val="0"/>
      <w:marRight w:val="0"/>
      <w:marTop w:val="0"/>
      <w:marBottom w:val="0"/>
      <w:divBdr>
        <w:top w:val="none" w:sz="0" w:space="0" w:color="auto"/>
        <w:left w:val="none" w:sz="0" w:space="0" w:color="auto"/>
        <w:bottom w:val="none" w:sz="0" w:space="0" w:color="auto"/>
        <w:right w:val="none" w:sz="0" w:space="0" w:color="auto"/>
      </w:divBdr>
    </w:div>
    <w:div w:id="1320113450">
      <w:bodyDiv w:val="1"/>
      <w:marLeft w:val="0"/>
      <w:marRight w:val="0"/>
      <w:marTop w:val="0"/>
      <w:marBottom w:val="0"/>
      <w:divBdr>
        <w:top w:val="none" w:sz="0" w:space="0" w:color="auto"/>
        <w:left w:val="none" w:sz="0" w:space="0" w:color="auto"/>
        <w:bottom w:val="none" w:sz="0" w:space="0" w:color="auto"/>
        <w:right w:val="none" w:sz="0" w:space="0" w:color="auto"/>
      </w:divBdr>
    </w:div>
    <w:div w:id="1626302707">
      <w:bodyDiv w:val="1"/>
      <w:marLeft w:val="0"/>
      <w:marRight w:val="0"/>
      <w:marTop w:val="0"/>
      <w:marBottom w:val="0"/>
      <w:divBdr>
        <w:top w:val="none" w:sz="0" w:space="0" w:color="auto"/>
        <w:left w:val="none" w:sz="0" w:space="0" w:color="auto"/>
        <w:bottom w:val="none" w:sz="0" w:space="0" w:color="auto"/>
        <w:right w:val="none" w:sz="0" w:space="0" w:color="auto"/>
      </w:divBdr>
    </w:div>
    <w:div w:id="1640842870">
      <w:bodyDiv w:val="1"/>
      <w:marLeft w:val="0"/>
      <w:marRight w:val="0"/>
      <w:marTop w:val="0"/>
      <w:marBottom w:val="0"/>
      <w:divBdr>
        <w:top w:val="none" w:sz="0" w:space="0" w:color="auto"/>
        <w:left w:val="none" w:sz="0" w:space="0" w:color="auto"/>
        <w:bottom w:val="none" w:sz="0" w:space="0" w:color="auto"/>
        <w:right w:val="none" w:sz="0" w:space="0" w:color="auto"/>
      </w:divBdr>
    </w:div>
    <w:div w:id="1688798628">
      <w:bodyDiv w:val="1"/>
      <w:marLeft w:val="0"/>
      <w:marRight w:val="0"/>
      <w:marTop w:val="0"/>
      <w:marBottom w:val="0"/>
      <w:divBdr>
        <w:top w:val="none" w:sz="0" w:space="0" w:color="auto"/>
        <w:left w:val="none" w:sz="0" w:space="0" w:color="auto"/>
        <w:bottom w:val="none" w:sz="0" w:space="0" w:color="auto"/>
        <w:right w:val="none" w:sz="0" w:space="0" w:color="auto"/>
      </w:divBdr>
    </w:div>
    <w:div w:id="1787893713">
      <w:bodyDiv w:val="1"/>
      <w:marLeft w:val="0"/>
      <w:marRight w:val="0"/>
      <w:marTop w:val="0"/>
      <w:marBottom w:val="0"/>
      <w:divBdr>
        <w:top w:val="none" w:sz="0" w:space="0" w:color="auto"/>
        <w:left w:val="none" w:sz="0" w:space="0" w:color="auto"/>
        <w:bottom w:val="none" w:sz="0" w:space="0" w:color="auto"/>
        <w:right w:val="none" w:sz="0" w:space="0" w:color="auto"/>
      </w:divBdr>
    </w:div>
    <w:div w:id="1794397411">
      <w:bodyDiv w:val="1"/>
      <w:marLeft w:val="0"/>
      <w:marRight w:val="0"/>
      <w:marTop w:val="0"/>
      <w:marBottom w:val="0"/>
      <w:divBdr>
        <w:top w:val="none" w:sz="0" w:space="0" w:color="auto"/>
        <w:left w:val="none" w:sz="0" w:space="0" w:color="auto"/>
        <w:bottom w:val="none" w:sz="0" w:space="0" w:color="auto"/>
        <w:right w:val="none" w:sz="0" w:space="0" w:color="auto"/>
      </w:divBdr>
    </w:div>
    <w:div w:id="1878663980">
      <w:bodyDiv w:val="1"/>
      <w:marLeft w:val="0"/>
      <w:marRight w:val="0"/>
      <w:marTop w:val="0"/>
      <w:marBottom w:val="0"/>
      <w:divBdr>
        <w:top w:val="none" w:sz="0" w:space="0" w:color="auto"/>
        <w:left w:val="none" w:sz="0" w:space="0" w:color="auto"/>
        <w:bottom w:val="none" w:sz="0" w:space="0" w:color="auto"/>
        <w:right w:val="none" w:sz="0" w:space="0" w:color="auto"/>
      </w:divBdr>
    </w:div>
    <w:div w:id="1893227582">
      <w:bodyDiv w:val="1"/>
      <w:marLeft w:val="0"/>
      <w:marRight w:val="0"/>
      <w:marTop w:val="0"/>
      <w:marBottom w:val="0"/>
      <w:divBdr>
        <w:top w:val="none" w:sz="0" w:space="0" w:color="auto"/>
        <w:left w:val="none" w:sz="0" w:space="0" w:color="auto"/>
        <w:bottom w:val="none" w:sz="0" w:space="0" w:color="auto"/>
        <w:right w:val="none" w:sz="0" w:space="0" w:color="auto"/>
      </w:divBdr>
      <w:divsChild>
        <w:div w:id="1634679751">
          <w:blockQuote w:val="1"/>
          <w:marLeft w:val="720"/>
          <w:marRight w:val="720"/>
          <w:marTop w:val="100"/>
          <w:marBottom w:val="100"/>
          <w:divBdr>
            <w:top w:val="none" w:sz="0" w:space="0" w:color="auto"/>
            <w:left w:val="none" w:sz="0" w:space="0" w:color="auto"/>
            <w:bottom w:val="none" w:sz="0" w:space="0" w:color="auto"/>
            <w:right w:val="none" w:sz="0" w:space="0" w:color="auto"/>
          </w:divBdr>
        </w:div>
        <w:div w:id="803430492">
          <w:blockQuote w:val="1"/>
          <w:marLeft w:val="720"/>
          <w:marRight w:val="720"/>
          <w:marTop w:val="100"/>
          <w:marBottom w:val="100"/>
          <w:divBdr>
            <w:top w:val="none" w:sz="0" w:space="0" w:color="auto"/>
            <w:left w:val="none" w:sz="0" w:space="0" w:color="auto"/>
            <w:bottom w:val="none" w:sz="0" w:space="0" w:color="auto"/>
            <w:right w:val="none" w:sz="0" w:space="0" w:color="auto"/>
          </w:divBdr>
        </w:div>
        <w:div w:id="1288584597">
          <w:blockQuote w:val="1"/>
          <w:marLeft w:val="720"/>
          <w:marRight w:val="720"/>
          <w:marTop w:val="100"/>
          <w:marBottom w:val="100"/>
          <w:divBdr>
            <w:top w:val="none" w:sz="0" w:space="0" w:color="auto"/>
            <w:left w:val="none" w:sz="0" w:space="0" w:color="auto"/>
            <w:bottom w:val="none" w:sz="0" w:space="0" w:color="auto"/>
            <w:right w:val="none" w:sz="0" w:space="0" w:color="auto"/>
          </w:divBdr>
        </w:div>
        <w:div w:id="1907717505">
          <w:marLeft w:val="0"/>
          <w:marRight w:val="0"/>
          <w:marTop w:val="0"/>
          <w:marBottom w:val="0"/>
          <w:divBdr>
            <w:top w:val="none" w:sz="0" w:space="0" w:color="auto"/>
            <w:left w:val="none" w:sz="0" w:space="0" w:color="auto"/>
            <w:bottom w:val="none" w:sz="0" w:space="0" w:color="auto"/>
            <w:right w:val="none" w:sz="0" w:space="0" w:color="auto"/>
          </w:divBdr>
          <w:divsChild>
            <w:div w:id="1404374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1110344">
      <w:bodyDiv w:val="1"/>
      <w:marLeft w:val="0"/>
      <w:marRight w:val="0"/>
      <w:marTop w:val="0"/>
      <w:marBottom w:val="0"/>
      <w:divBdr>
        <w:top w:val="none" w:sz="0" w:space="0" w:color="auto"/>
        <w:left w:val="none" w:sz="0" w:space="0" w:color="auto"/>
        <w:bottom w:val="none" w:sz="0" w:space="0" w:color="auto"/>
        <w:right w:val="none" w:sz="0" w:space="0" w:color="auto"/>
      </w:divBdr>
    </w:div>
    <w:div w:id="1985431017">
      <w:bodyDiv w:val="1"/>
      <w:marLeft w:val="0"/>
      <w:marRight w:val="0"/>
      <w:marTop w:val="0"/>
      <w:marBottom w:val="0"/>
      <w:divBdr>
        <w:top w:val="none" w:sz="0" w:space="0" w:color="auto"/>
        <w:left w:val="none" w:sz="0" w:space="0" w:color="auto"/>
        <w:bottom w:val="none" w:sz="0" w:space="0" w:color="auto"/>
        <w:right w:val="none" w:sz="0" w:space="0" w:color="auto"/>
      </w:divBdr>
    </w:div>
    <w:div w:id="2026590655">
      <w:bodyDiv w:val="1"/>
      <w:marLeft w:val="0"/>
      <w:marRight w:val="0"/>
      <w:marTop w:val="0"/>
      <w:marBottom w:val="0"/>
      <w:divBdr>
        <w:top w:val="none" w:sz="0" w:space="0" w:color="auto"/>
        <w:left w:val="none" w:sz="0" w:space="0" w:color="auto"/>
        <w:bottom w:val="none" w:sz="0" w:space="0" w:color="auto"/>
        <w:right w:val="none" w:sz="0" w:space="0" w:color="auto"/>
      </w:divBdr>
    </w:div>
    <w:div w:id="2055305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1333</TotalTime>
  <Pages>12</Pages>
  <Words>4525</Words>
  <Characters>25799</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12</cp:revision>
  <dcterms:created xsi:type="dcterms:W3CDTF">2025-06-15T05:53:00Z</dcterms:created>
  <dcterms:modified xsi:type="dcterms:W3CDTF">2025-06-21T08:23:00Z</dcterms:modified>
</cp:coreProperties>
</file>