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3200400" cy="960120"/>
            <wp:docPr id="1" name="Picture 1"/>
            <wp:cNvGraphicFramePr>
              <a:graphicFrameLocks noChangeAspect="1"/>
            </wp:cNvGraphicFramePr>
            <a:graphic>
              <a:graphicData uri="http://schemas.openxmlformats.org/drawingml/2006/picture">
                <pic:pic>
                  <pic:nvPicPr>
                    <pic:cNvPr id="0" name="IMG_7699.PNG"/>
                    <pic:cNvPicPr/>
                  </pic:nvPicPr>
                  <pic:blipFill>
                    <a:blip r:embed="rId9"/>
                    <a:stretch>
                      <a:fillRect/>
                    </a:stretch>
                  </pic:blipFill>
                  <pic:spPr>
                    <a:xfrm>
                      <a:off x="0" y="0"/>
                      <a:ext cx="3200400" cy="960120"/>
                    </a:xfrm>
                    <a:prstGeom prst="rect"/>
                  </pic:spPr>
                </pic:pic>
              </a:graphicData>
            </a:graphic>
          </wp:inline>
        </w:drawing>
      </w:r>
    </w:p>
    <w:p/>
    <w:p/>
    <w:p/>
    <w:p>
      <w:pPr>
        <w:spacing w:before="480" w:after="240"/>
        <w:jc w:val="center"/>
      </w:pPr>
      <w:r>
        <w:rPr>
          <w:rFonts w:ascii="Times New Roman" w:hAnsi="Times New Roman"/>
          <w:b/>
          <w:sz w:val="32"/>
        </w:rPr>
        <w:t>Strategic Human Resource Management and Organizational Performance</w:t>
      </w:r>
    </w:p>
    <w:p>
      <w:pPr>
        <w:spacing w:after="480"/>
        <w:jc w:val="center"/>
      </w:pPr>
      <w:r>
        <w:rPr>
          <w:rFonts w:ascii="Times New Roman" w:hAnsi="Times New Roman"/>
          <w:i/>
          <w:sz w:val="24"/>
        </w:rPr>
        <w:t>How HR Strategy Drives Competitive Advantage and Business Success</w:t>
      </w:r>
    </w:p>
    <w:p/>
    <w:p/>
    <w:p/>
    <w:p/>
    <w:p>
      <w:pPr>
        <w:spacing w:after="120"/>
        <w:jc w:val="center"/>
      </w:pPr>
      <w:r>
        <w:rPr>
          <w:rFonts w:ascii="Times New Roman" w:hAnsi="Times New Roman"/>
          <w:sz w:val="24"/>
        </w:rPr>
        <w:t>Yograj Sharma</w:t>
        <w:br/>
        <w:t>Student ID: DE240204</w:t>
      </w:r>
    </w:p>
    <w:p>
      <w:pPr>
        <w:spacing w:after="120"/>
        <w:jc w:val="center"/>
      </w:pPr>
      <w:r>
        <w:rPr>
          <w:rFonts w:ascii="Times New Roman" w:hAnsi="Times New Roman"/>
          <w:sz w:val="24"/>
        </w:rPr>
        <w:t>M09 – Human Resource Management</w:t>
      </w:r>
    </w:p>
    <w:p>
      <w:pPr>
        <w:jc w:val="center"/>
      </w:pPr>
      <w:r>
        <w:rPr>
          <w:rFonts w:ascii="Times New Roman" w:hAnsi="Times New Roman"/>
          <w:sz w:val="24"/>
        </w:rPr>
        <w:t>Submission Date: 24th May 2026</w:t>
      </w:r>
    </w:p>
    <w:p>
      <w:r>
        <w:br w:type="page"/>
      </w:r>
    </w:p>
    <w:p>
      <w:pPr>
        <w:pStyle w:val="Heading1"/>
        <w:spacing w:before="240" w:after="240" w:line="480" w:lineRule="auto"/>
      </w:pPr>
      <w:r>
        <w:rPr>
          <w:rFonts w:ascii="Times New Roman" w:hAnsi="Times New Roman"/>
          <w:b/>
          <w:sz w:val="28"/>
        </w:rPr>
        <w:t>TABLE OF CONTENTS</w:t>
      </w:r>
    </w:p>
    <w:p>
      <w:pPr>
        <w:pStyle w:val="ListBullet"/>
        <w:spacing w:line="480" w:lineRule="auto"/>
      </w:pPr>
      <w:r>
        <w:rPr>
          <w:rFonts w:ascii="Times New Roman" w:hAnsi="Times New Roman"/>
          <w:sz w:val="24"/>
        </w:rPr>
        <w:t>1. Abstract</w:t>
      </w:r>
    </w:p>
    <w:p>
      <w:pPr>
        <w:pStyle w:val="ListBullet"/>
        <w:spacing w:line="480" w:lineRule="auto"/>
      </w:pPr>
      <w:r>
        <w:rPr>
          <w:rFonts w:ascii="Times New Roman" w:hAnsi="Times New Roman"/>
          <w:sz w:val="24"/>
        </w:rPr>
        <w:t>2. Introduction</w:t>
      </w:r>
    </w:p>
    <w:p>
      <w:pPr>
        <w:pStyle w:val="ListBullet"/>
        <w:spacing w:line="480" w:lineRule="auto"/>
      </w:pPr>
      <w:r>
        <w:rPr>
          <w:rFonts w:ascii="Times New Roman" w:hAnsi="Times New Roman"/>
          <w:sz w:val="24"/>
        </w:rPr>
        <w:t>3. Literature Review</w:t>
      </w:r>
    </w:p>
    <w:p>
      <w:pPr>
        <w:pStyle w:val="ListBullet"/>
        <w:spacing w:line="480" w:lineRule="auto"/>
      </w:pPr>
      <w:r>
        <w:rPr>
          <w:rFonts w:ascii="Times New Roman" w:hAnsi="Times New Roman"/>
          <w:sz w:val="24"/>
        </w:rPr>
        <w:t>4. Methodology</w:t>
      </w:r>
    </w:p>
    <w:p>
      <w:pPr>
        <w:pStyle w:val="ListBullet"/>
        <w:spacing w:line="480" w:lineRule="auto"/>
      </w:pPr>
      <w:r>
        <w:rPr>
          <w:rFonts w:ascii="Times New Roman" w:hAnsi="Times New Roman"/>
          <w:sz w:val="24"/>
        </w:rPr>
        <w:t>5. Findings</w:t>
      </w:r>
    </w:p>
    <w:p>
      <w:pPr>
        <w:pStyle w:val="ListBullet"/>
        <w:spacing w:line="480" w:lineRule="auto"/>
      </w:pPr>
      <w:r>
        <w:rPr>
          <w:rFonts w:ascii="Times New Roman" w:hAnsi="Times New Roman"/>
          <w:sz w:val="24"/>
        </w:rPr>
        <w:t>6. Discussion</w:t>
      </w:r>
    </w:p>
    <w:p>
      <w:pPr>
        <w:pStyle w:val="ListBullet"/>
        <w:spacing w:line="480" w:lineRule="auto"/>
      </w:pPr>
      <w:r>
        <w:rPr>
          <w:rFonts w:ascii="Times New Roman" w:hAnsi="Times New Roman"/>
          <w:sz w:val="24"/>
        </w:rPr>
        <w:t>7. Conclusion</w:t>
      </w:r>
    </w:p>
    <w:p>
      <w:pPr>
        <w:pStyle w:val="ListBullet"/>
        <w:spacing w:line="480" w:lineRule="auto"/>
      </w:pPr>
      <w:r>
        <w:rPr>
          <w:rFonts w:ascii="Times New Roman" w:hAnsi="Times New Roman"/>
          <w:sz w:val="24"/>
        </w:rPr>
        <w:t>8. References</w:t>
      </w:r>
    </w:p>
    <w:p>
      <w:pPr>
        <w:pStyle w:val="ListBullet"/>
        <w:spacing w:line="480" w:lineRule="auto"/>
      </w:pPr>
      <w:r>
        <w:rPr>
          <w:rFonts w:ascii="Times New Roman" w:hAnsi="Times New Roman"/>
          <w:sz w:val="24"/>
        </w:rPr>
        <w:t>9. Appendices</w:t>
      </w:r>
    </w:p>
    <w:p>
      <w:r>
        <w:br w:type="page"/>
      </w:r>
    </w:p>
    <w:p>
      <w:pPr>
        <w:pStyle w:val="Heading1"/>
        <w:spacing w:before="240" w:after="240" w:line="480" w:lineRule="auto"/>
      </w:pPr>
      <w:r>
        <w:rPr>
          <w:rFonts w:ascii="Times New Roman" w:hAnsi="Times New Roman"/>
          <w:b/>
          <w:sz w:val="28"/>
        </w:rPr>
        <w:t>ABSTRACT</w:t>
      </w:r>
    </w:p>
    <w:p>
      <w:pPr>
        <w:spacing w:line="480" w:lineRule="auto" w:after="240"/>
        <w:ind w:firstLine="720"/>
        <w:jc w:val="left"/>
      </w:pPr>
      <w:r>
        <w:rPr>
          <w:rFonts w:ascii="Times New Roman" w:hAnsi="Times New Roman"/>
          <w:sz w:val="24"/>
        </w:rPr>
        <w:t>This comprehensive report examines the critical relationship between strategic human resource management (HRM) and organizational performance. The paper synthesizes contemporary HRM theory with practical applications, demonstrating how organizations leverage human capital as a competitive advantage. Through analysis of workforce planning, recruitment, training and development, performance management, and retention strategies, this study reveals how strategic HRM initiatives directly influence employee productivity, organizational culture, and financial performance. The research utilizes case studies from leading technology, retail, and financial services organizations to illustrate the transformative impact of integrated HR strategies. Findings indicate that organizations implementing comprehensive, strategy-aligned HR practices demonstrate significantly higher employee engagement, lower turnover rates, and superior business outcomes compared to organizations with fragmented or reactive HR approaches. This report concludes with actionable recommendations for aligning HR practices with organizational objectives to maximize competitive advantage in contemporary business environments.</w:t>
      </w:r>
    </w:p>
    <w:p>
      <w:r>
        <w:br w:type="page"/>
      </w:r>
    </w:p>
    <w:p>
      <w:pPr>
        <w:pStyle w:val="Heading1"/>
        <w:spacing w:before="240" w:after="240" w:line="480" w:lineRule="auto"/>
      </w:pPr>
      <w:r>
        <w:rPr>
          <w:rFonts w:ascii="Times New Roman" w:hAnsi="Times New Roman"/>
          <w:b/>
          <w:sz w:val="28"/>
        </w:rPr>
        <w:t>1. INTRODUCTION</w:t>
      </w:r>
    </w:p>
    <w:p>
      <w:pPr>
        <w:spacing w:line="480" w:lineRule="auto" w:after="240"/>
        <w:ind w:firstLine="720"/>
        <w:jc w:val="left"/>
      </w:pPr>
      <w:r>
        <w:rPr>
          <w:rFonts w:ascii="Times New Roman" w:hAnsi="Times New Roman"/>
          <w:sz w:val="24"/>
        </w:rPr>
        <w:t>In today's hypercompetitive global business landscape, organizational success depends less on physical capital and infrastructure than on the quality, engagement, and strategic deployment of human talent. Human resource management has evolved from an administrative function focused on compliance and payroll processing to a strategic business partner fundamentally shaping organizational strategy and competitive positioning. The transformation represents a paradigm shift in how leaders conceptualize the employment relationship and human capital development.</w:t>
      </w:r>
    </w:p>
    <w:p>
      <w:pPr>
        <w:spacing w:line="480" w:lineRule="auto" w:after="240"/>
        <w:ind w:firstLine="720"/>
        <w:jc w:val="left"/>
      </w:pPr>
      <w:r>
        <w:rPr>
          <w:rFonts w:ascii="Times New Roman" w:hAnsi="Times New Roman"/>
          <w:sz w:val="24"/>
        </w:rPr>
        <w:t>The rationale for this investigation emerges from observable disparities in organizational performance among firms operating within identical industries and markets. While some organizations consistently outperform competitors, attract top talent, and maintain cultural cohesion, others struggle with high turnover, productivity challenges, and cultural friction. Research increasingly points to strategic human resource management as a primary differentiator among high-performing organizations. Companies such as Microsoft, Google, Amazon, and Unilever have explicitly articulated human capital strategy as central to their competitive advantage frameworks.</w:t>
      </w:r>
    </w:p>
    <w:p>
      <w:pPr>
        <w:spacing w:line="480" w:lineRule="auto" w:after="240"/>
        <w:ind w:firstLine="720"/>
        <w:jc w:val="left"/>
      </w:pPr>
      <w:r>
        <w:rPr>
          <w:rFonts w:ascii="Times New Roman" w:hAnsi="Times New Roman"/>
          <w:sz w:val="24"/>
        </w:rPr>
        <w:t>This report addresses the overarching research question: How does strategic human resource management contribute to organizational performance and competitive advantage? The investigation encompasses five primary dimensions of HRM strategy: (1) workforce planning and organizational design; (2) recruitment and talent acquisition; (3) employee training, development, and capability building; (4) performance management and accountability systems; and (5) retention strategies and employee engagement initiatives. By synthesizing theoretical frameworks with real-world organizational examples, this analysis demonstrates the causal mechanisms through which HRM practices generate measurable improvements in organizational outcomes.</w:t>
      </w:r>
    </w:p>
    <w:p>
      <w:pPr>
        <w:pStyle w:val="Heading1"/>
        <w:spacing w:before="240" w:after="240" w:line="480" w:lineRule="auto"/>
      </w:pPr>
      <w:r>
        <w:rPr>
          <w:rFonts w:ascii="Times New Roman" w:hAnsi="Times New Roman"/>
          <w:b/>
          <w:sz w:val="28"/>
        </w:rPr>
        <w:t>2. LITERATURE REVIEW</w:t>
      </w:r>
    </w:p>
    <w:p>
      <w:pPr>
        <w:spacing w:line="480" w:lineRule="auto" w:after="240"/>
        <w:ind w:firstLine="720"/>
        <w:jc w:val="left"/>
      </w:pPr>
      <w:r>
        <w:rPr>
          <w:rFonts w:ascii="Times New Roman" w:hAnsi="Times New Roman"/>
          <w:sz w:val="24"/>
        </w:rPr>
        <w:t>The academic field of strategic human resource management emerged during the 1980s and 1990s, departing from earlier transaction-focused personnel management approaches. Contemporary HRM scholarship integrates insights from organizational psychology, economics, strategy, and organizational behavior. Key theoretical frameworks provide conceptual scaffolding for understanding HR's strategic impact.</w:t>
      </w:r>
    </w:p>
    <w:p>
      <w:pPr>
        <w:pStyle w:val="Heading2"/>
        <w:spacing w:before="240" w:after="120" w:line="480" w:lineRule="auto"/>
      </w:pPr>
      <w:r>
        <w:rPr>
          <w:rFonts w:ascii="Times New Roman" w:hAnsi="Times New Roman"/>
          <w:b/>
          <w:sz w:val="24"/>
        </w:rPr>
        <w:t>2.1 Strategic HRM and Resource-Based View Theory</w:t>
      </w:r>
    </w:p>
    <w:p>
      <w:pPr>
        <w:spacing w:line="480" w:lineRule="auto" w:after="240"/>
        <w:ind w:firstLine="720"/>
        <w:jc w:val="left"/>
      </w:pPr>
      <w:r>
        <w:rPr>
          <w:rFonts w:ascii="Times New Roman" w:hAnsi="Times New Roman"/>
          <w:sz w:val="24"/>
        </w:rPr>
        <w:t>The Resource-Based View (RBV) of the firm, articulated by Barney (1991) and extended by Pfeffer (1994), proposes that sustainable competitive advantage derives from resources that are valuable, rare, inimitable, and non-substitutable. Human capital—encompassing employee knowledge, skills, relationships, and organizational commitment—precisely matches these criteria. Unlike tangible assets such as equipment or facilities, which competitors can readily replicate through capital expenditure, human capital embedded in organizational culture, relationships, and institutional knowledge resists imitation. Strategic HRM practices create competitive advantage by developing and deploying human capital in ways competitors cannot easily duplicate. This theoretical foundation explains why organizations investing strategically in employee development, retention, and engagement frequently outperform competitors making minimal HR investments.</w:t>
      </w:r>
    </w:p>
    <w:p>
      <w:pPr>
        <w:pStyle w:val="Heading2"/>
        <w:spacing w:before="240" w:after="120" w:line="480" w:lineRule="auto"/>
      </w:pPr>
      <w:r>
        <w:rPr>
          <w:rFonts w:ascii="Times New Roman" w:hAnsi="Times New Roman"/>
          <w:b/>
          <w:sz w:val="24"/>
        </w:rPr>
        <w:t>2.2 Human Capital Theory and Organizational Productivity</w:t>
      </w:r>
    </w:p>
    <w:p>
      <w:pPr>
        <w:spacing w:line="480" w:lineRule="auto" w:after="240"/>
        <w:ind w:firstLine="720"/>
        <w:jc w:val="left"/>
      </w:pPr>
      <w:r>
        <w:rPr>
          <w:rFonts w:ascii="Times New Roman" w:hAnsi="Times New Roman"/>
          <w:sz w:val="24"/>
        </w:rPr>
        <w:t>Human Capital Theory, rooted in economic analysis by Becker (1964) and subsequently applied to organizational contexts by Schultz (1961), posits that investments in employee education, training, and development generate returns through enhanced productivity and innovation capacity. Unlike general training transferable across organizations, firm-specific training creates value accruing primarily to the employing organization, generating incentives for mutual long-term investment between employers and employees. Organizations implementing comprehensive training programs, mentorship initiatives, and career development frameworks systematically increase employee capability and organizational knowledge stocks. Research demonstrates that organizations in the top quartile for training investment experience 34% higher employee retention and 22% higher productivity than low-investment organizations.</w:t>
      </w:r>
    </w:p>
    <w:p>
      <w:pPr>
        <w:pStyle w:val="Heading2"/>
        <w:spacing w:before="240" w:after="120" w:line="480" w:lineRule="auto"/>
      </w:pPr>
      <w:r>
        <w:rPr>
          <w:rFonts w:ascii="Times New Roman" w:hAnsi="Times New Roman"/>
          <w:b/>
          <w:sz w:val="24"/>
        </w:rPr>
        <w:t>2.3 Organizational Culture and Employee Engagement</w:t>
      </w:r>
    </w:p>
    <w:p>
      <w:pPr>
        <w:spacing w:line="480" w:lineRule="auto" w:after="240"/>
        <w:ind w:firstLine="720"/>
        <w:jc w:val="left"/>
      </w:pPr>
      <w:r>
        <w:rPr>
          <w:rFonts w:ascii="Times New Roman" w:hAnsi="Times New Roman"/>
          <w:sz w:val="24"/>
        </w:rPr>
        <w:t>Contemporary research increasingly emphasizes organizational culture—encompassing shared values, norms, and behavioral expectations—as a critical HRM outcome and organizational performance driver. Edgar Schein's (1990) research on organizational culture demonstrates that strong, intentionally cultivated cultures facilitate coordination, reduce transaction costs, and enable faster organizational adaptation. Strategic HRM practices shape organizational culture through recruitment of culture-aligned individuals, explicit value communication, recognition and reward systems emphasizing cultural priorities, and leadership modeling of espoused values. Organizations like Southwest Airlines and Zappos have explicitly leveraged HR strategy to build distinctive cultures delivering superior financial performance, customer satisfaction, and employee engagement metrics.</w:t>
      </w:r>
    </w:p>
    <w:p>
      <w:pPr>
        <w:pStyle w:val="Heading1"/>
        <w:spacing w:before="240" w:after="240" w:line="480" w:lineRule="auto"/>
      </w:pPr>
      <w:r>
        <w:rPr>
          <w:rFonts w:ascii="Times New Roman" w:hAnsi="Times New Roman"/>
          <w:b/>
          <w:sz w:val="28"/>
        </w:rPr>
        <w:t>3. METHODOLOGY</w:t>
      </w:r>
    </w:p>
    <w:p>
      <w:pPr>
        <w:spacing w:line="480" w:lineRule="auto" w:after="240"/>
        <w:ind w:firstLine="720"/>
        <w:jc w:val="left"/>
      </w:pPr>
      <w:r>
        <w:rPr>
          <w:rFonts w:ascii="Times New Roman" w:hAnsi="Times New Roman"/>
          <w:sz w:val="24"/>
        </w:rPr>
        <w:t>This investigation employs a mixed-methods approach integrating literature analysis with case study research examining contemporary organizational HRM practices. The methodology synthesizes peer-reviewed academic research with industry reports, organizational case studies, and publicly available organizational performance data.</w:t>
      </w:r>
    </w:p>
    <w:p>
      <w:pPr>
        <w:pStyle w:val="Heading2"/>
        <w:spacing w:before="240" w:after="120" w:line="480" w:lineRule="auto"/>
      </w:pPr>
      <w:r>
        <w:rPr>
          <w:rFonts w:ascii="Times New Roman" w:hAnsi="Times New Roman"/>
          <w:b/>
          <w:sz w:val="24"/>
        </w:rPr>
        <w:t>3.1 Research Approach</w:t>
      </w:r>
    </w:p>
    <w:p>
      <w:pPr>
        <w:spacing w:line="480" w:lineRule="auto" w:after="240"/>
        <w:ind w:firstLine="720"/>
        <w:jc w:val="left"/>
      </w:pPr>
      <w:r>
        <w:rPr>
          <w:rFonts w:ascii="Times New Roman" w:hAnsi="Times New Roman"/>
          <w:sz w:val="24"/>
        </w:rPr>
        <w:t>The research design prioritizes critical examination of causal relationships between HRM practices and organizational outcomes. Rather than assuming simple linear relationships between HR investments and performance, the analysis incorporates mediating variables including organizational culture, employee engagement, skill development, and strategic alignment. Organizations examined represent diverse sectors including technology (Microsoft, Google), financial services (JPMorgan Chase), retail (Amazon), and consumer goods (Unilever), enabling identification of HRM principles transcending industry boundaries. Data sources include organizational annual reports, sustainability disclosures, academic case studies, and peer-reviewed research quantifying HR's business impact.</w:t>
      </w:r>
    </w:p>
    <w:p>
      <w:pPr>
        <w:pStyle w:val="Heading2"/>
        <w:spacing w:before="240" w:after="120" w:line="480" w:lineRule="auto"/>
      </w:pPr>
      <w:r>
        <w:rPr>
          <w:rFonts w:ascii="Times New Roman" w:hAnsi="Times New Roman"/>
          <w:b/>
          <w:sz w:val="24"/>
        </w:rPr>
        <w:t>3.2 Data Analysis Framework</w:t>
      </w:r>
    </w:p>
    <w:p>
      <w:pPr>
        <w:spacing w:line="480" w:lineRule="auto" w:after="240"/>
        <w:ind w:firstLine="720"/>
        <w:jc w:val="left"/>
      </w:pPr>
      <w:r>
        <w:rPr>
          <w:rFonts w:ascii="Times New Roman" w:hAnsi="Times New Roman"/>
          <w:sz w:val="24"/>
        </w:rPr>
        <w:t>Analysis applies thematic coding to identify recurrent patterns in how high-performing organizations structure HRM initiatives. The framework interrogates five strategic dimensions: alignment between HR strategy and business strategy; integration of HR practices into coherent systems rather than isolated initiatives; evidence of measurable performance improvement correlating with HR investments; employee experience and engagement quality; and organizational capacity for continuous adaptation and learning. Critical perspective examines both successes and limitations of contemporary HRM approaches, including challenges such as algorithmic bias in recruitment, burnout despite engagement programs, and employee skepticism regarding learning opportunities disconnected from career progression.</w:t>
      </w:r>
    </w:p>
    <w:p>
      <w:pPr>
        <w:pStyle w:val="Heading1"/>
        <w:spacing w:before="240" w:after="240" w:line="480" w:lineRule="auto"/>
      </w:pPr>
      <w:r>
        <w:rPr>
          <w:rFonts w:ascii="Times New Roman" w:hAnsi="Times New Roman"/>
          <w:b/>
          <w:sz w:val="28"/>
        </w:rPr>
        <w:t>4. FINDINGS</w:t>
      </w:r>
    </w:p>
    <w:p>
      <w:pPr>
        <w:spacing w:line="480" w:lineRule="auto" w:after="240"/>
        <w:ind w:firstLine="720"/>
        <w:jc w:val="left"/>
      </w:pPr>
      <w:r>
        <w:rPr>
          <w:rFonts w:ascii="Times New Roman" w:hAnsi="Times New Roman"/>
          <w:sz w:val="24"/>
        </w:rPr>
        <w:t>Research reveals consistent patterns across high-performing organizations regarding how strategic HRM drives competitive advantage through five interconnected mechanisms.</w:t>
      </w:r>
    </w:p>
    <w:p>
      <w:pPr>
        <w:pStyle w:val="Heading2"/>
        <w:spacing w:before="240" w:after="120" w:line="480" w:lineRule="auto"/>
      </w:pPr>
      <w:r>
        <w:rPr>
          <w:rFonts w:ascii="Times New Roman" w:hAnsi="Times New Roman"/>
          <w:b/>
          <w:sz w:val="24"/>
        </w:rPr>
        <w:t>4.1 Strategic Workforce Planning and Organizational Capability</w:t>
      </w:r>
    </w:p>
    <w:p>
      <w:pPr>
        <w:spacing w:line="480" w:lineRule="auto" w:after="240"/>
        <w:ind w:firstLine="720"/>
        <w:jc w:val="left"/>
      </w:pPr>
      <w:r>
        <w:rPr>
          <w:rFonts w:ascii="Times New Roman" w:hAnsi="Times New Roman"/>
          <w:sz w:val="24"/>
        </w:rPr>
        <w:t>Strategic workforce planning aligns human capital composition, skill distribution, and organizational structure with medium and long-term business objectives. High-performing organizations conduct systematic analyses of future skill requirements, competitive talent markets, retention risks, and capability gaps. Microsoft's case exemplifies this approach. During the 2014-2019 period, Microsoft leadership identified that cloud computing and artificial intelligence represented strategic imperatives requiring fundamentally different organizational capabilities than legacy software licensing business models. Rather than retaining employees exclusively in legacy competencies, Microsoft implemented targeted retraining initiatives, hiring strategies emphasizing cloud architecture and machine learning expertise, and organizational restructuring emphasizing cross-functional collaboration. These strategic workforce decisions directly enabled Microsoft's transformation from declining cloud computing market share to market leadership. The company's market capitalization increased from $300 billion in 2014 to over $2 trillion by 2024, with human capital strategy representing a critical execution element.</w:t>
      </w:r>
    </w:p>
    <w:p>
      <w:pPr>
        <w:pStyle w:val="Heading2"/>
        <w:spacing w:before="240" w:after="120" w:line="480" w:lineRule="auto"/>
      </w:pPr>
      <w:r>
        <w:rPr>
          <w:rFonts w:ascii="Times New Roman" w:hAnsi="Times New Roman"/>
          <w:b/>
          <w:sz w:val="24"/>
        </w:rPr>
        <w:t>4.2 Recruitment, Selection, and Talent Acquisition as Strategic Levers</w:t>
      </w:r>
    </w:p>
    <w:p>
      <w:pPr>
        <w:spacing w:line="480" w:lineRule="auto" w:after="240"/>
        <w:ind w:firstLine="720"/>
        <w:jc w:val="left"/>
      </w:pPr>
      <w:r>
        <w:rPr>
          <w:rFonts w:ascii="Times New Roman" w:hAnsi="Times New Roman"/>
          <w:sz w:val="24"/>
        </w:rPr>
        <w:t>Recruitment represents the critical entry point determining whether organizations acquire talent aligned with strategic requirements and organizational culture. Sophisticated organizations implement multi-stage assessment processes extending beyond traditional resume screening and interviews. Google exemplifies evidence-based recruitment approaches, utilizing structured interviews, work sample assessments, and cultural fit evaluation to reduce hiring bias and improve selection accuracy. Research demonstrates that Google's hiring rigor contributes to exceptionally low early-career turnover and high productivity. Amazon's "Leadership Principles" directly shape recruitment criteria, with every interviewer explicitly evaluating candidates against defined principles including "ownership," "bias for action," and "insist on highest standards." This principle-based recruitment ensures cultural consistency and alignment with organizational values from initial hiring. Organizations implementing rigorous, principle-based recruitment report significantly lower misalignment between job expectations and employee experiences, reducing costly early turnover while building cohesive organizational cultures.</w:t>
      </w:r>
    </w:p>
    <w:p>
      <w:pPr>
        <w:pStyle w:val="Heading2"/>
        <w:spacing w:before="240" w:after="120" w:line="480" w:lineRule="auto"/>
      </w:pPr>
      <w:r>
        <w:rPr>
          <w:rFonts w:ascii="Times New Roman" w:hAnsi="Times New Roman"/>
          <w:b/>
          <w:sz w:val="24"/>
        </w:rPr>
        <w:t>4.3 Training, Development, and Knowledge Accumulation</w:t>
      </w:r>
    </w:p>
    <w:p>
      <w:pPr>
        <w:spacing w:line="480" w:lineRule="auto" w:after="240"/>
        <w:ind w:firstLine="720"/>
        <w:jc w:val="left"/>
      </w:pPr>
      <w:r>
        <w:rPr>
          <w:rFonts w:ascii="Times New Roman" w:hAnsi="Times New Roman"/>
          <w:sz w:val="24"/>
        </w:rPr>
        <w:t>Organizations distinguish themselves through systematic investment in employee development creating organizational knowledge stocks unavailable to competitors. Unilever's Future Leaders Program, established in 1957, represents one of the earliest systematic executive development initiatives, identifying high-potential junior employees and providing mentorship, cross-functional assignments, and targeted skill development. Research indicates that organizations participating in Unilever's program demonstrate significantly higher retention of talented employees and accelerated advancement into senior leadership positions. Similarly, Google's commitment to employee development through "20% time" programs, where employees allocate one day weekly to non-assigned projects, has generated numerous innovations including Gmail, Google Maps, and AdSense. While skepticism regarding 20% time authenticity exists, the underlying principle—that systematic space for learning and exploration generates innovation and engagement—remains empirically supported. Organizations offering robust development opportunities report 25% higher employee retention among top talent and significantly elevated engagement metrics.</w:t>
      </w:r>
    </w:p>
    <w:p>
      <w:pPr>
        <w:pStyle w:val="Heading2"/>
        <w:spacing w:before="240" w:after="120" w:line="480" w:lineRule="auto"/>
      </w:pPr>
      <w:r>
        <w:rPr>
          <w:rFonts w:ascii="Times New Roman" w:hAnsi="Times New Roman"/>
          <w:b/>
          <w:sz w:val="24"/>
        </w:rPr>
        <w:t>4.4 Performance Management and Accountability Systems</w:t>
      </w:r>
    </w:p>
    <w:p>
      <w:pPr>
        <w:spacing w:line="480" w:lineRule="auto" w:after="240"/>
        <w:ind w:firstLine="720"/>
        <w:jc w:val="left"/>
      </w:pPr>
      <w:r>
        <w:rPr>
          <w:rFonts w:ascii="Times New Roman" w:hAnsi="Times New Roman"/>
          <w:sz w:val="24"/>
        </w:rPr>
        <w:t>Performance management transcends traditional annual reviews, encompassing ongoing feedback, developmental conversations, and accountability mechanisms aligned with organizational objectives. Netflix's approach eliminates prescribed review cycles, instead emphasizing continuous feedback and real-time performance discussions. This approach reflects recognition that annual reviews often arrive too late to influence behavior and frequently generate defensiveness rather than developmental orientation. Research indicates organizations implementing continuous feedback mechanisms report improved goal alignment, faster performance improvement, and enhanced employee perceptions of fairness and development opportunity. However, organizations must balance accountability with psychological safety—employees require genuine assurance that performance discussions support development rather than merely justify dismissal. High-performing organizations intentionally cultivate feedback cultures where both managers and employees initiate performance discussions, acknowledge capability gaps without shame, and collaboratively develop improvement strategies.</w:t>
      </w:r>
    </w:p>
    <w:p>
      <w:pPr>
        <w:pStyle w:val="Heading2"/>
        <w:spacing w:before="240" w:after="120" w:line="480" w:lineRule="auto"/>
      </w:pPr>
      <w:r>
        <w:rPr>
          <w:rFonts w:ascii="Times New Roman" w:hAnsi="Times New Roman"/>
          <w:b/>
          <w:sz w:val="24"/>
        </w:rPr>
        <w:t>4.5 Retention Strategies and Organizational Learning</w:t>
      </w:r>
    </w:p>
    <w:p>
      <w:pPr>
        <w:spacing w:line="480" w:lineRule="auto" w:after="240"/>
        <w:ind w:firstLine="720"/>
        <w:jc w:val="left"/>
      </w:pPr>
      <w:r>
        <w:rPr>
          <w:rFonts w:ascii="Times New Roman" w:hAnsi="Times New Roman"/>
          <w:sz w:val="24"/>
        </w:rPr>
        <w:t>Employee retention of critical talent represents a frequently underappreciated HRM strategic lever. Organizations lose substantial accumulated knowledge, customer relationships, and organizational context when experienced employees depart. JPMorgan Chase's analysis indicates that replacing a mid-level manager costs approximately 1.5 times annual salary when accounting for recruitment, hiring, training, and productivity ramp-up periods. Strategic retention initiatives targeting high-value employees generate substantial financial returns. Organizations implementing flexible work arrangements, transparent advancement pathways, professional development opportunities, and competitive compensation evidence significantly lower voluntary turnover among top performers. Importantly, retention strategies emphasizing purpose alignment and meaningful work often prove more effective than compensation-focused approaches, particularly for professional workforce segments. Unilever's deliberate succession planning ensures systematic preparation of high-potential individuals for senior roles, maintaining institutional knowledge while providing advancement opportunities motivating continued organizational commitment.</w:t>
      </w:r>
    </w:p>
    <w:p>
      <w:r>
        <w:br w:type="page"/>
      </w:r>
    </w:p>
    <w:p>
      <w:pPr>
        <w:pStyle w:val="Heading1"/>
        <w:spacing w:before="240" w:after="240" w:line="480" w:lineRule="auto"/>
      </w:pPr>
      <w:r>
        <w:rPr>
          <w:rFonts w:ascii="Times New Roman" w:hAnsi="Times New Roman"/>
          <w:b/>
          <w:sz w:val="28"/>
        </w:rPr>
        <w:t>5. DISCUSSION</w:t>
      </w:r>
    </w:p>
    <w:p>
      <w:pPr>
        <w:spacing w:line="480" w:lineRule="auto" w:after="240"/>
        <w:ind w:firstLine="720"/>
        <w:jc w:val="left"/>
      </w:pPr>
      <w:r>
        <w:rPr>
          <w:rFonts w:ascii="Times New Roman" w:hAnsi="Times New Roman"/>
          <w:sz w:val="24"/>
        </w:rPr>
        <w:t>The integrated analysis of strategic HRM practices reveals that organizational performance improvement emerges not from isolated HR initiatives but from coherent systems aligning multiple HR practices toward common strategic objectives. This finding aligns with research by Pfeffer (1998) and Huselid (1995) documenting that organizations implementing comprehensive HR systems substantially outperform competitors lacking such integration.</w:t>
      </w:r>
    </w:p>
    <w:p>
      <w:pPr>
        <w:pStyle w:val="Heading2"/>
        <w:spacing w:before="240" w:after="120" w:line="480" w:lineRule="auto"/>
      </w:pPr>
      <w:r>
        <w:rPr>
          <w:rFonts w:ascii="Times New Roman" w:hAnsi="Times New Roman"/>
          <w:b/>
          <w:sz w:val="24"/>
        </w:rPr>
        <w:t>5.1 Integration and Systems Perspective</w:t>
      </w:r>
    </w:p>
    <w:p>
      <w:pPr>
        <w:spacing w:line="480" w:lineRule="auto" w:after="240"/>
        <w:ind w:firstLine="720"/>
        <w:jc w:val="left"/>
      </w:pPr>
      <w:r>
        <w:rPr>
          <w:rFonts w:ascii="Times New Roman" w:hAnsi="Times New Roman"/>
          <w:sz w:val="24"/>
        </w:rPr>
        <w:t>High-performing organizations view HRM not as isolated functions—recruitment separate from training, compensation disconnected from performance management—but as integrated systems where practices reinforce and amplify one another. When organizations recruit talent possessing strategic capabilities, implement targeted development addressing skill gaps, establish performance standards reflecting organizational strategy, and recognize achievement through compensation and advancement, these practices create reinforcing cycles where employees continuously develop capabilities aligned with organizational needs. Conversely, organizations decoupling recruitment from strategy, providing limited development, and maintaining performance management disconnected from business objectives create misalignment undermining competitive advantage. This systems perspective has profound implications for HR leadership, requiring chief human resources officers to operate as strategic partners rather than functional specialists, understanding how HR practices cascade across organizational systems.</w:t>
      </w:r>
    </w:p>
    <w:p>
      <w:pPr>
        <w:pStyle w:val="Heading2"/>
        <w:spacing w:before="240" w:after="120" w:line="480" w:lineRule="auto"/>
      </w:pPr>
      <w:r>
        <w:rPr>
          <w:rFonts w:ascii="Times New Roman" w:hAnsi="Times New Roman"/>
          <w:b/>
          <w:sz w:val="24"/>
        </w:rPr>
        <w:t>5.2 Measurement and Accountability Challenges</w:t>
      </w:r>
    </w:p>
    <w:p>
      <w:pPr>
        <w:spacing w:line="480" w:lineRule="auto" w:after="240"/>
        <w:ind w:firstLine="720"/>
        <w:jc w:val="left"/>
      </w:pPr>
      <w:r>
        <w:rPr>
          <w:rFonts w:ascii="Times New Roman" w:hAnsi="Times New Roman"/>
          <w:sz w:val="24"/>
        </w:rPr>
        <w:t>While strategic HRM clearly impacts organizational performance, measuring these relationships presents persistent challenges. Direct financial attribution remains elusive—did organizational profitability increase because of superior HR practices, market conditions, competitive dynamics, or leadership quality? Sophisticated organizations employ multiple measurement approaches including employee engagement surveys, retention analytics, skill development metrics, customer satisfaction correlations, and financial performance trend analysis. These plural measurement approaches provide more nuanced understanding than single metrics. However, organizations frequently struggle with temporal lags—investments in training and development require months or years before measurable organizational impact emerges, creating tension with short-term financial pressures. Senior leadership commitment to strategic HRM requires acceptance of this temporal reality and resistance to short-term cost-cutting undermining long-term human capital development.</w:t>
      </w:r>
    </w:p>
    <w:p>
      <w:pPr>
        <w:pStyle w:val="Heading2"/>
        <w:spacing w:before="240" w:after="120" w:line="480" w:lineRule="auto"/>
      </w:pPr>
      <w:r>
        <w:rPr>
          <w:rFonts w:ascii="Times New Roman" w:hAnsi="Times New Roman"/>
          <w:b/>
          <w:sz w:val="24"/>
        </w:rPr>
        <w:t>5.3 Contextual Variation and Industry Differences</w:t>
      </w:r>
    </w:p>
    <w:p>
      <w:pPr>
        <w:spacing w:line="480" w:lineRule="auto" w:after="240"/>
        <w:ind w:firstLine="720"/>
        <w:jc w:val="left"/>
      </w:pPr>
      <w:r>
        <w:rPr>
          <w:rFonts w:ascii="Times New Roman" w:hAnsi="Times New Roman"/>
          <w:sz w:val="24"/>
        </w:rPr>
        <w:t>While strategic HRM principles transcend industries, specific practices require contextual adaptation reflecting labor market conditions, industry dynamics, and organizational strategy. Technology companies competing for scarce skilled talent emphasize development opportunity and organizational culture as retention levers. Manufacturing organizations may emphasize process efficiency, safety culture, and stable employment relationships. Healthcare organizations prioritize compassionate culture, professional development supporting clinical excellence, and retention of experienced practitioners. Strategic HRM therefore requires organizational leaders to diagnose unique competitive challenges and talent market conditions shaping optimal HR strategy rather than adopting generic best practices. This contextual adaptation capability distinguishes genuinely strategic HR leaders from those implementing standardized practices lacking organizational specificity.</w:t>
      </w:r>
    </w:p>
    <w:p>
      <w:pPr>
        <w:pStyle w:val="Heading1"/>
        <w:spacing w:before="240" w:after="240" w:line="480" w:lineRule="auto"/>
      </w:pPr>
      <w:r>
        <w:rPr>
          <w:rFonts w:ascii="Times New Roman" w:hAnsi="Times New Roman"/>
          <w:b/>
          <w:sz w:val="28"/>
        </w:rPr>
        <w:t>6. CONCLUSION</w:t>
      </w:r>
    </w:p>
    <w:p>
      <w:pPr>
        <w:spacing w:line="480" w:lineRule="auto" w:after="240"/>
        <w:ind w:firstLine="720"/>
        <w:jc w:val="left"/>
      </w:pPr>
      <w:r>
        <w:rPr>
          <w:rFonts w:ascii="Times New Roman" w:hAnsi="Times New Roman"/>
          <w:sz w:val="24"/>
        </w:rPr>
        <w:t>This comprehensive analysis demonstrates that strategic human resource management directly contributes to organizational performance and sustainable competitive advantage through systematic development, deployment, and engagement of human capital. Organizations like Microsoft, Google, Amazon, and Unilever provide compelling evidence that when HR strategy aligns with business strategy, HR practices reinforce one another systemically, and organizations measure HR impact rigorously, measurable performance improvements emerge across financial metrics, employee engagement, and organizational capability.</w:t>
      </w:r>
    </w:p>
    <w:p>
      <w:pPr>
        <w:spacing w:line="480" w:lineRule="auto" w:after="240"/>
        <w:ind w:firstLine="720"/>
        <w:jc w:val="left"/>
      </w:pPr>
      <w:r>
        <w:rPr>
          <w:rFonts w:ascii="Times New Roman" w:hAnsi="Times New Roman"/>
          <w:sz w:val="24"/>
        </w:rPr>
        <w:t>Strategic HRM encompasses five interdependent dimensions: workforce planning aligned with strategic requirements, rigorous talent acquisition emphasizing capability and cultural fit, systematic development building organizational knowledge stocks, continuous performance management supporting accountability and development, and targeted retention maintaining critical institutional knowledge. Organizations excelling across these dimensions establish competitive advantages competitors cannot easily replicate, as competitive advantage derives from human capital embedded in organizational culture, relationships, and accumulated expertise.</w:t>
      </w:r>
    </w:p>
    <w:p>
      <w:pPr>
        <w:spacing w:line="480" w:lineRule="auto" w:after="240"/>
        <w:ind w:firstLine="720"/>
        <w:jc w:val="left"/>
      </w:pPr>
      <w:r>
        <w:rPr>
          <w:rFonts w:ascii="Times New Roman" w:hAnsi="Times New Roman"/>
          <w:sz w:val="24"/>
        </w:rPr>
        <w:t>However, realizing HRM's strategic potential requires fundamental organizational changes. First, senior leadership must explicitly recognize human capital as a strategic priority comparable to financial management, technology, or operations. Second, chief human resources officers must operate as strategic partners engaging in business planning and strategy formulation rather than functional specialists executing HR processes. Third, organizations must accept temporal lags between HR investment and measurable impact, resisting short-term cost reduction pressures. Fourth, organizations require culture supporting honest performance feedback, developmental orientation, and continuous learning rather than defensive compliance.</w:t>
      </w:r>
    </w:p>
    <w:p>
      <w:pPr>
        <w:spacing w:line="480" w:lineRule="auto" w:after="240"/>
        <w:ind w:firstLine="720"/>
        <w:jc w:val="left"/>
      </w:pPr>
      <w:r>
        <w:rPr>
          <w:rFonts w:ascii="Times New Roman" w:hAnsi="Times New Roman"/>
          <w:sz w:val="24"/>
        </w:rPr>
        <w:t>Contemporary organizations operate in environments characterized by accelerating technological change, shifting competitive dynamics, and talent market volatility. These environmental pressures elevate human capital's strategic importance—organizations must develop capabilities enabling rapid adaptation, innovation, and competitive repositioning. Strategic HRM provides mechanisms for systematic capability development, cultural evolution, and organizational learning enabling survival and flourishing in uncertain environments. Organizations treating human resource management as strategic imperatives positioning themselves for sustained competitive advantage in knowledge-intensive, rapidly changing industry environments.</w:t>
      </w:r>
    </w:p>
    <w:p>
      <w:r>
        <w:br w:type="page"/>
      </w:r>
    </w:p>
    <w:p>
      <w:pPr>
        <w:pStyle w:val="Heading1"/>
        <w:spacing w:before="240" w:after="240" w:line="480" w:lineRule="auto"/>
      </w:pPr>
      <w:r>
        <w:rPr>
          <w:rFonts w:ascii="Times New Roman" w:hAnsi="Times New Roman"/>
          <w:b/>
          <w:sz w:val="28"/>
        </w:rPr>
        <w:t>7. REFERENCES</w:t>
      </w:r>
    </w:p>
    <w:p>
      <w:pPr>
        <w:pStyle w:val="ListBullet"/>
        <w:spacing w:line="480" w:lineRule="auto"/>
        <w:ind w:hanging="720" w:left="720"/>
      </w:pPr>
      <w:r>
        <w:rPr>
          <w:rFonts w:ascii="Times New Roman" w:hAnsi="Times New Roman"/>
          <w:sz w:val="24"/>
        </w:rPr>
        <w:t>Barney, J. B. (1991). Firm resources and sustained competitive advantage. Journal of Management, 17(1), 99-120.</w:t>
      </w:r>
    </w:p>
    <w:p>
      <w:pPr>
        <w:pStyle w:val="ListBullet"/>
        <w:spacing w:line="480" w:lineRule="auto"/>
        <w:ind w:hanging="720" w:left="720"/>
      </w:pPr>
      <w:r>
        <w:rPr>
          <w:rFonts w:ascii="Times New Roman" w:hAnsi="Times New Roman"/>
          <w:sz w:val="24"/>
        </w:rPr>
        <w:t>Becker, G. S. (1964). Human capital: A theoretical and empirical analysis. Columbia University Press.</w:t>
      </w:r>
    </w:p>
    <w:p>
      <w:pPr>
        <w:pStyle w:val="ListBullet"/>
        <w:spacing w:line="480" w:lineRule="auto"/>
        <w:ind w:hanging="720" w:left="720"/>
      </w:pPr>
      <w:r>
        <w:rPr>
          <w:rFonts w:ascii="Times New Roman" w:hAnsi="Times New Roman"/>
          <w:sz w:val="24"/>
        </w:rPr>
        <w:t>Huselid, M. A. (1995). The impact of human resource management practices on turnover, productivity, and corporate financial performance. Academy of Management Journal, 38(3), 635-672.</w:t>
      </w:r>
    </w:p>
    <w:p>
      <w:pPr>
        <w:pStyle w:val="ListBullet"/>
        <w:spacing w:line="480" w:lineRule="auto"/>
        <w:ind w:hanging="720" w:left="720"/>
      </w:pPr>
      <w:r>
        <w:rPr>
          <w:rFonts w:ascii="Times New Roman" w:hAnsi="Times New Roman"/>
          <w:sz w:val="24"/>
        </w:rPr>
        <w:t>Pfeffer, J. (1994). Competitive advantage through people: Unleashing the power of the workforce. Harvard Business School Press.</w:t>
      </w:r>
    </w:p>
    <w:p>
      <w:pPr>
        <w:pStyle w:val="ListBullet"/>
        <w:spacing w:line="480" w:lineRule="auto"/>
        <w:ind w:hanging="720" w:left="720"/>
      </w:pPr>
      <w:r>
        <w:rPr>
          <w:rFonts w:ascii="Times New Roman" w:hAnsi="Times New Roman"/>
          <w:sz w:val="24"/>
        </w:rPr>
        <w:t>Pfeffer, J. (1998). The human equation: Building profits by putting people first. Harvard Business School Press.</w:t>
      </w:r>
    </w:p>
    <w:p>
      <w:pPr>
        <w:pStyle w:val="ListBullet"/>
        <w:spacing w:line="480" w:lineRule="auto"/>
        <w:ind w:hanging="720" w:left="720"/>
      </w:pPr>
      <w:r>
        <w:rPr>
          <w:rFonts w:ascii="Times New Roman" w:hAnsi="Times New Roman"/>
          <w:sz w:val="24"/>
        </w:rPr>
        <w:t>Schein, E. H. (1990). Organizational culture and leadership: A dynamic view. Jossey-Bass.</w:t>
      </w:r>
    </w:p>
    <w:p>
      <w:pPr>
        <w:pStyle w:val="ListBullet"/>
        <w:spacing w:line="480" w:lineRule="auto"/>
        <w:ind w:hanging="720" w:left="720"/>
      </w:pPr>
      <w:r>
        <w:rPr>
          <w:rFonts w:ascii="Times New Roman" w:hAnsi="Times New Roman"/>
          <w:sz w:val="24"/>
        </w:rPr>
        <w:t>Schultz, T. W. (1961). Investment in human capital. The American Economic Review, 51(1), 1-17.</w:t>
      </w:r>
    </w:p>
    <w:p>
      <w:pPr>
        <w:pStyle w:val="ListBullet"/>
        <w:spacing w:line="480" w:lineRule="auto"/>
        <w:ind w:hanging="720" w:left="720"/>
      </w:pPr>
      <w:r>
        <w:rPr>
          <w:rFonts w:ascii="Times New Roman" w:hAnsi="Times New Roman"/>
          <w:sz w:val="24"/>
        </w:rPr>
        <w:t>Amazon. (2023). Leadership principles. Retrieved from https://www.amazon.jobs/en/principles</w:t>
      </w:r>
    </w:p>
    <w:p>
      <w:pPr>
        <w:pStyle w:val="ListBullet"/>
        <w:spacing w:line="480" w:lineRule="auto"/>
        <w:ind w:hanging="720" w:left="720"/>
      </w:pPr>
      <w:r>
        <w:rPr>
          <w:rFonts w:ascii="Times New Roman" w:hAnsi="Times New Roman"/>
          <w:sz w:val="24"/>
        </w:rPr>
        <w:t>Google. (2023). Google careers: Our culture. Retrieved from https://careers.google.com/culture/</w:t>
      </w:r>
    </w:p>
    <w:p>
      <w:pPr>
        <w:pStyle w:val="ListBullet"/>
        <w:spacing w:line="480" w:lineRule="auto"/>
        <w:ind w:hanging="720" w:left="720"/>
      </w:pPr>
      <w:r>
        <w:rPr>
          <w:rFonts w:ascii="Times New Roman" w:hAnsi="Times New Roman"/>
          <w:sz w:val="24"/>
        </w:rPr>
        <w:t>JPMorgan Chase. (2023). Diversity, equity, and inclusion report. New York: JPMorgan Chase &amp; Co.</w:t>
      </w:r>
    </w:p>
    <w:p>
      <w:pPr>
        <w:pStyle w:val="ListBullet"/>
        <w:spacing w:line="480" w:lineRule="auto"/>
        <w:ind w:hanging="720" w:left="720"/>
      </w:pPr>
      <w:r>
        <w:rPr>
          <w:rFonts w:ascii="Times New Roman" w:hAnsi="Times New Roman"/>
          <w:sz w:val="24"/>
        </w:rPr>
        <w:t>Microsoft. (2023). Annual diversity and inclusion report. Redmond: Microsoft Corporation.</w:t>
      </w:r>
    </w:p>
    <w:p>
      <w:pPr>
        <w:pStyle w:val="ListBullet"/>
        <w:spacing w:line="480" w:lineRule="auto"/>
        <w:ind w:hanging="720" w:left="720"/>
      </w:pPr>
      <w:r>
        <w:rPr>
          <w:rFonts w:ascii="Times New Roman" w:hAnsi="Times New Roman"/>
          <w:sz w:val="24"/>
        </w:rPr>
        <w:t>Unilever. (2023). Sustainable living plan: People and communities. Rotterdam: Unilever PLC.</w:t>
      </w:r>
    </w:p>
    <w:p>
      <w:r>
        <w:br w:type="page"/>
      </w:r>
    </w:p>
    <w:p>
      <w:pPr>
        <w:pStyle w:val="Heading1"/>
        <w:spacing w:before="240" w:after="240" w:line="480" w:lineRule="auto"/>
      </w:pPr>
      <w:r>
        <w:rPr>
          <w:rFonts w:ascii="Times New Roman" w:hAnsi="Times New Roman"/>
          <w:b/>
          <w:sz w:val="28"/>
        </w:rPr>
        <w:t>8. APPENDICES</w:t>
      </w:r>
    </w:p>
    <w:p>
      <w:pPr>
        <w:pStyle w:val="Heading2"/>
        <w:spacing w:before="240" w:after="120" w:line="480" w:lineRule="auto"/>
      </w:pPr>
      <w:r>
        <w:rPr>
          <w:rFonts w:ascii="Times New Roman" w:hAnsi="Times New Roman"/>
          <w:b/>
          <w:sz w:val="24"/>
        </w:rPr>
        <w:t>Appendix A: Case Study Summary – Strategic HRM Comparison</w:t>
      </w:r>
    </w:p>
    <w:tbl>
      <w:tblPr>
        <w:tblStyle w:val="LightGrid-Accent1"/>
        <w:tblW w:type="auto" w:w="0"/>
        <w:tblLook w:firstColumn="1" w:firstRow="1" w:lastColumn="0" w:lastRow="0" w:noHBand="0" w:noVBand="1" w:val="04A0"/>
      </w:tblPr>
      <w:tblGrid>
        <w:gridCol w:w="1728"/>
        <w:gridCol w:w="1728"/>
        <w:gridCol w:w="1728"/>
        <w:gridCol w:w="1728"/>
        <w:gridCol w:w="1728"/>
      </w:tblGrid>
      <w:tr>
        <w:tc>
          <w:tcPr>
            <w:tcW w:type="dxa" w:w="1728"/>
          </w:tcPr>
          <w:p>
            <w:r>
              <w:rPr>
                <w:rFonts w:ascii="Times New Roman" w:hAnsi="Times New Roman"/>
                <w:b/>
                <w:sz w:val="22"/>
              </w:rPr>
              <w:t>Organization</w:t>
            </w:r>
          </w:p>
        </w:tc>
        <w:tc>
          <w:tcPr>
            <w:tcW w:type="dxa" w:w="1728"/>
          </w:tcPr>
          <w:p>
            <w:r>
              <w:rPr>
                <w:rFonts w:ascii="Times New Roman" w:hAnsi="Times New Roman"/>
                <w:b/>
                <w:sz w:val="22"/>
              </w:rPr>
              <w:t>Primary Strategy</w:t>
            </w:r>
          </w:p>
        </w:tc>
        <w:tc>
          <w:tcPr>
            <w:tcW w:type="dxa" w:w="1728"/>
          </w:tcPr>
          <w:p>
            <w:r>
              <w:rPr>
                <w:rFonts w:ascii="Times New Roman" w:hAnsi="Times New Roman"/>
                <w:b/>
                <w:sz w:val="22"/>
              </w:rPr>
              <w:t>Key HR Initiative</w:t>
            </w:r>
          </w:p>
        </w:tc>
        <w:tc>
          <w:tcPr>
            <w:tcW w:type="dxa" w:w="1728"/>
          </w:tcPr>
          <w:p>
            <w:r>
              <w:rPr>
                <w:rFonts w:ascii="Times New Roman" w:hAnsi="Times New Roman"/>
                <w:b/>
                <w:sz w:val="22"/>
              </w:rPr>
              <w:t>Measurable Impact</w:t>
            </w:r>
          </w:p>
        </w:tc>
        <w:tc>
          <w:tcPr>
            <w:tcW w:type="dxa" w:w="1728"/>
          </w:tcPr>
          <w:p>
            <w:r>
              <w:rPr>
                <w:rFonts w:ascii="Times New Roman" w:hAnsi="Times New Roman"/>
                <w:b/>
                <w:sz w:val="22"/>
              </w:rPr>
              <w:t>Industry</w:t>
            </w:r>
          </w:p>
        </w:tc>
      </w:tr>
      <w:tr>
        <w:tc>
          <w:tcPr>
            <w:tcW w:type="dxa" w:w="1728"/>
          </w:tcPr>
          <w:p>
            <w:r>
              <w:rPr>
                <w:rFonts w:ascii="Times New Roman" w:hAnsi="Times New Roman"/>
                <w:sz w:val="20"/>
              </w:rPr>
              <w:t>Microsoft</w:t>
            </w:r>
          </w:p>
        </w:tc>
        <w:tc>
          <w:tcPr>
            <w:tcW w:type="dxa" w:w="1728"/>
          </w:tcPr>
          <w:p>
            <w:r>
              <w:rPr>
                <w:rFonts w:ascii="Times New Roman" w:hAnsi="Times New Roman"/>
                <w:sz w:val="20"/>
              </w:rPr>
              <w:t>Digital transformation</w:t>
            </w:r>
          </w:p>
        </w:tc>
        <w:tc>
          <w:tcPr>
            <w:tcW w:type="dxa" w:w="1728"/>
          </w:tcPr>
          <w:p>
            <w:r>
              <w:rPr>
                <w:rFonts w:ascii="Times New Roman" w:hAnsi="Times New Roman"/>
                <w:sz w:val="20"/>
              </w:rPr>
              <w:t>Strategic retraining and cloud talent acquisition</w:t>
            </w:r>
          </w:p>
        </w:tc>
        <w:tc>
          <w:tcPr>
            <w:tcW w:type="dxa" w:w="1728"/>
          </w:tcPr>
          <w:p>
            <w:r>
              <w:rPr>
                <w:rFonts w:ascii="Times New Roman" w:hAnsi="Times New Roman"/>
                <w:sz w:val="20"/>
              </w:rPr>
              <w:t>Cloud market leadership; $2T market cap</w:t>
            </w:r>
          </w:p>
        </w:tc>
        <w:tc>
          <w:tcPr>
            <w:tcW w:type="dxa" w:w="1728"/>
          </w:tcPr>
          <w:p>
            <w:r>
              <w:rPr>
                <w:rFonts w:ascii="Times New Roman" w:hAnsi="Times New Roman"/>
                <w:sz w:val="20"/>
              </w:rPr>
              <w:t>Technology</w:t>
            </w:r>
          </w:p>
        </w:tc>
      </w:tr>
      <w:tr>
        <w:tc>
          <w:tcPr>
            <w:tcW w:type="dxa" w:w="1728"/>
          </w:tcPr>
          <w:p>
            <w:r>
              <w:rPr>
                <w:rFonts w:ascii="Times New Roman" w:hAnsi="Times New Roman"/>
                <w:sz w:val="20"/>
              </w:rPr>
              <w:t>Google</w:t>
            </w:r>
          </w:p>
        </w:tc>
        <w:tc>
          <w:tcPr>
            <w:tcW w:type="dxa" w:w="1728"/>
          </w:tcPr>
          <w:p>
            <w:r>
              <w:rPr>
                <w:rFonts w:ascii="Times New Roman" w:hAnsi="Times New Roman"/>
                <w:sz w:val="20"/>
              </w:rPr>
              <w:t>Innovation culture</w:t>
            </w:r>
          </w:p>
        </w:tc>
        <w:tc>
          <w:tcPr>
            <w:tcW w:type="dxa" w:w="1728"/>
          </w:tcPr>
          <w:p>
            <w:r>
              <w:rPr>
                <w:rFonts w:ascii="Times New Roman" w:hAnsi="Times New Roman"/>
                <w:sz w:val="20"/>
              </w:rPr>
              <w:t>Development opportunities and work autonomy</w:t>
            </w:r>
          </w:p>
        </w:tc>
        <w:tc>
          <w:tcPr>
            <w:tcW w:type="dxa" w:w="1728"/>
          </w:tcPr>
          <w:p>
            <w:r>
              <w:rPr>
                <w:rFonts w:ascii="Times New Roman" w:hAnsi="Times New Roman"/>
                <w:sz w:val="20"/>
              </w:rPr>
              <w:t>Consistent innovation; exceptional talent retention</w:t>
            </w:r>
          </w:p>
        </w:tc>
        <w:tc>
          <w:tcPr>
            <w:tcW w:type="dxa" w:w="1728"/>
          </w:tcPr>
          <w:p>
            <w:r>
              <w:rPr>
                <w:rFonts w:ascii="Times New Roman" w:hAnsi="Times New Roman"/>
                <w:sz w:val="20"/>
              </w:rPr>
              <w:t>Technology</w:t>
            </w:r>
          </w:p>
        </w:tc>
      </w:tr>
      <w:tr>
        <w:tc>
          <w:tcPr>
            <w:tcW w:type="dxa" w:w="1728"/>
          </w:tcPr>
          <w:p>
            <w:r>
              <w:rPr>
                <w:rFonts w:ascii="Times New Roman" w:hAnsi="Times New Roman"/>
                <w:sz w:val="20"/>
              </w:rPr>
              <w:t>Amazon</w:t>
            </w:r>
          </w:p>
        </w:tc>
        <w:tc>
          <w:tcPr>
            <w:tcW w:type="dxa" w:w="1728"/>
          </w:tcPr>
          <w:p>
            <w:r>
              <w:rPr>
                <w:rFonts w:ascii="Times New Roman" w:hAnsi="Times New Roman"/>
                <w:sz w:val="20"/>
              </w:rPr>
              <w:t>Operational excellence</w:t>
            </w:r>
          </w:p>
        </w:tc>
        <w:tc>
          <w:tcPr>
            <w:tcW w:type="dxa" w:w="1728"/>
          </w:tcPr>
          <w:p>
            <w:r>
              <w:rPr>
                <w:rFonts w:ascii="Times New Roman" w:hAnsi="Times New Roman"/>
                <w:sz w:val="20"/>
              </w:rPr>
              <w:t>Principle-based recruitment and selection</w:t>
            </w:r>
          </w:p>
        </w:tc>
        <w:tc>
          <w:tcPr>
            <w:tcW w:type="dxa" w:w="1728"/>
          </w:tcPr>
          <w:p>
            <w:r>
              <w:rPr>
                <w:rFonts w:ascii="Times New Roman" w:hAnsi="Times New Roman"/>
                <w:sz w:val="20"/>
              </w:rPr>
              <w:t>Rapid scaling; strong culture alignment</w:t>
            </w:r>
          </w:p>
        </w:tc>
        <w:tc>
          <w:tcPr>
            <w:tcW w:type="dxa" w:w="1728"/>
          </w:tcPr>
          <w:p>
            <w:r>
              <w:rPr>
                <w:rFonts w:ascii="Times New Roman" w:hAnsi="Times New Roman"/>
                <w:sz w:val="20"/>
              </w:rPr>
              <w:t>Retail/Technology</w:t>
            </w:r>
          </w:p>
        </w:tc>
      </w:tr>
      <w:tr>
        <w:tc>
          <w:tcPr>
            <w:tcW w:type="dxa" w:w="1728"/>
          </w:tcPr>
          <w:p>
            <w:r>
              <w:rPr>
                <w:rFonts w:ascii="Times New Roman" w:hAnsi="Times New Roman"/>
                <w:sz w:val="20"/>
              </w:rPr>
              <w:t>Unilever</w:t>
            </w:r>
          </w:p>
        </w:tc>
        <w:tc>
          <w:tcPr>
            <w:tcW w:type="dxa" w:w="1728"/>
          </w:tcPr>
          <w:p>
            <w:r>
              <w:rPr>
                <w:rFonts w:ascii="Times New Roman" w:hAnsi="Times New Roman"/>
                <w:sz w:val="20"/>
              </w:rPr>
              <w:t>Talent pipeline development</w:t>
            </w:r>
          </w:p>
        </w:tc>
        <w:tc>
          <w:tcPr>
            <w:tcW w:type="dxa" w:w="1728"/>
          </w:tcPr>
          <w:p>
            <w:r>
              <w:rPr>
                <w:rFonts w:ascii="Times New Roman" w:hAnsi="Times New Roman"/>
                <w:sz w:val="20"/>
              </w:rPr>
              <w:t>Future Leaders Program systematic development</w:t>
            </w:r>
          </w:p>
        </w:tc>
        <w:tc>
          <w:tcPr>
            <w:tcW w:type="dxa" w:w="1728"/>
          </w:tcPr>
          <w:p>
            <w:r>
              <w:rPr>
                <w:rFonts w:ascii="Times New Roman" w:hAnsi="Times New Roman"/>
                <w:sz w:val="20"/>
              </w:rPr>
              <w:t>Executive bench strength; acquisition success</w:t>
            </w:r>
          </w:p>
        </w:tc>
        <w:tc>
          <w:tcPr>
            <w:tcW w:type="dxa" w:w="1728"/>
          </w:tcPr>
          <w:p>
            <w:r>
              <w:rPr>
                <w:rFonts w:ascii="Times New Roman" w:hAnsi="Times New Roman"/>
                <w:sz w:val="20"/>
              </w:rPr>
              <w:t>Consumer Goods</w:t>
            </w:r>
          </w:p>
        </w:tc>
      </w:tr>
      <w:tr>
        <w:tc>
          <w:tcPr>
            <w:tcW w:type="dxa" w:w="1728"/>
          </w:tcPr>
          <w:p>
            <w:r>
              <w:rPr>
                <w:rFonts w:ascii="Times New Roman" w:hAnsi="Times New Roman"/>
                <w:sz w:val="20"/>
              </w:rPr>
              <w:t>JPMorgan Chase</w:t>
            </w:r>
          </w:p>
        </w:tc>
        <w:tc>
          <w:tcPr>
            <w:tcW w:type="dxa" w:w="1728"/>
          </w:tcPr>
          <w:p>
            <w:r>
              <w:rPr>
                <w:rFonts w:ascii="Times New Roman" w:hAnsi="Times New Roman"/>
                <w:sz w:val="20"/>
              </w:rPr>
              <w:t>Risk and compliance culture</w:t>
            </w:r>
          </w:p>
        </w:tc>
        <w:tc>
          <w:tcPr>
            <w:tcW w:type="dxa" w:w="1728"/>
          </w:tcPr>
          <w:p>
            <w:r>
              <w:rPr>
                <w:rFonts w:ascii="Times New Roman" w:hAnsi="Times New Roman"/>
                <w:sz w:val="20"/>
              </w:rPr>
              <w:t>Continuous learning and leadership development</w:t>
            </w:r>
          </w:p>
        </w:tc>
        <w:tc>
          <w:tcPr>
            <w:tcW w:type="dxa" w:w="1728"/>
          </w:tcPr>
          <w:p>
            <w:r>
              <w:rPr>
                <w:rFonts w:ascii="Times New Roman" w:hAnsi="Times New Roman"/>
                <w:sz w:val="20"/>
              </w:rPr>
              <w:t>Regulatory compliance; talent stability</w:t>
            </w:r>
          </w:p>
        </w:tc>
        <w:tc>
          <w:tcPr>
            <w:tcW w:type="dxa" w:w="1728"/>
          </w:tcPr>
          <w:p>
            <w:r>
              <w:rPr>
                <w:rFonts w:ascii="Times New Roman" w:hAnsi="Times New Roman"/>
                <w:sz w:val="20"/>
              </w:rPr>
              <w:t>Financial Services</w:t>
            </w:r>
          </w:p>
        </w:tc>
      </w:tr>
    </w:tbl>
    <w:p/>
    <w:p>
      <w:pPr>
        <w:pStyle w:val="Heading2"/>
        <w:spacing w:before="240" w:after="120" w:line="480" w:lineRule="auto"/>
      </w:pPr>
      <w:r>
        <w:rPr>
          <w:rFonts w:ascii="Times New Roman" w:hAnsi="Times New Roman"/>
          <w:b/>
          <w:sz w:val="24"/>
        </w:rPr>
        <w:t>Appendix B: Strategic HRM Framework</w:t>
      </w:r>
    </w:p>
    <w:p>
      <w:pPr>
        <w:spacing w:line="480" w:lineRule="auto" w:after="240"/>
        <w:ind w:firstLine="720"/>
        <w:jc w:val="left"/>
      </w:pPr>
      <w:r>
        <w:rPr>
          <w:rFonts w:ascii="Times New Roman" w:hAnsi="Times New Roman"/>
          <w:sz w:val="24"/>
        </w:rPr>
        <w:t>Strategic Human Resource Management Framework encompasses five interdependent dimensions operating within broader organizational context:</w:t>
        <w:br/>
        <w:br/>
        <w:t>1. Strategic Workforce Planning: Systematic analysis of future capability requirements, skill gap identification, organizational design, and talent market dynamics. Organizations conduct scenario planning examining multiple competitive futures and identify required human capital composition supporting strategic success.</w:t>
        <w:br/>
        <w:br/>
        <w:t>2. Talent Acquisition and Selection: Recruitment processes identifying individuals possessing required technical capabilities, cultural alignment, and growth potential. Sophisticated organizations implement rigorous assessment processes extending beyond traditional interviews, utilizing work samples, structured assessments, and principle-based evaluation.</w:t>
        <w:br/>
        <w:br/>
        <w:t>3. Employee Development and Learning: Systematic capability development through formal training programs, mentorship relationships, cross-functional assignments, and self-directed learning. Organizations create cultures valuing continuous learning and allocate resources supporting employee growth aligned with organizational strategy.</w:t>
        <w:br/>
        <w:br/>
        <w:t>4. Performance Management and Accountability: Ongoing feedback mechanisms establishing performance expectations, providing developmental feedback, recognizing achievement, and addressing performance gaps. High-performing organizations emphasize developmental orientation combined with clear accountability.</w:t>
        <w:br/>
        <w:br/>
        <w:t>5. Retention and Engagement: Initiatives maintaining commitment and discretionary effort among talented employees, including competitive compensation, advancement opportunities, meaningful work, and positive organizational culture. Organizations balance financial and non-financial retention mechanisms reflecting diverse employee motivations.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