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283F0" w14:textId="77777777" w:rsidR="00604922" w:rsidRPr="00604922" w:rsidRDefault="00604922" w:rsidP="00604922">
      <w:pPr>
        <w:rPr>
          <w:rFonts w:ascii="Times New Roman" w:hAnsi="Times New Roman" w:cs="Times New Roman"/>
          <w:lang w:val="en-US"/>
        </w:rPr>
      </w:pPr>
    </w:p>
    <w:p w14:paraId="7C7C3CB7" w14:textId="77777777" w:rsidR="00604922" w:rsidRPr="00604922" w:rsidRDefault="00604922" w:rsidP="00604922">
      <w:pPr>
        <w:rPr>
          <w:rFonts w:ascii="Times New Roman" w:hAnsi="Times New Roman" w:cs="Times New Roman"/>
          <w:lang w:val="en-US"/>
        </w:rPr>
      </w:pPr>
      <w:r w:rsidRPr="00604922">
        <w:rPr>
          <w:rFonts w:ascii="Times New Roman" w:hAnsi="Times New Roman" w:cs="Times New Roman"/>
          <w:noProof/>
          <w:lang w:val="en-US"/>
        </w:rPr>
        <w:drawing>
          <wp:anchor distT="0" distB="0" distL="114300" distR="114300" simplePos="0" relativeHeight="251659264" behindDoc="1" locked="0" layoutInCell="1" allowOverlap="1" wp14:anchorId="2E8AE1AD" wp14:editId="210063B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53230F7" w14:textId="77777777" w:rsidR="00604922" w:rsidRPr="00604922" w:rsidRDefault="00604922" w:rsidP="00604922">
      <w:pPr>
        <w:rPr>
          <w:rFonts w:ascii="Times New Roman" w:hAnsi="Times New Roman" w:cs="Times New Roman"/>
          <w:b/>
          <w:bCs/>
          <w:lang w:val="en-US"/>
        </w:rPr>
      </w:pPr>
      <w:r w:rsidRPr="00604922">
        <w:rPr>
          <w:rFonts w:ascii="Times New Roman" w:hAnsi="Times New Roman" w:cs="Times New Roman"/>
          <w:b/>
          <w:bCs/>
          <w:lang w:val="en-US"/>
        </w:rPr>
        <w:t>Planning and Management of Sustainable Tourism Spaces</w:t>
      </w:r>
    </w:p>
    <w:p w14:paraId="318D5091" w14:textId="77777777" w:rsidR="00604922" w:rsidRPr="00604922" w:rsidRDefault="00604922" w:rsidP="00604922">
      <w:pPr>
        <w:rPr>
          <w:rFonts w:ascii="Times New Roman" w:hAnsi="Times New Roman" w:cs="Times New Roman"/>
          <w:lang w:val="en-US"/>
        </w:rPr>
      </w:pPr>
      <w:r w:rsidRPr="00604922">
        <w:rPr>
          <w:rFonts w:ascii="Times New Roman" w:hAnsi="Times New Roman" w:cs="Times New Roman"/>
          <w:lang w:val="en-US"/>
        </w:rPr>
        <w:t>Assignment 11</w:t>
      </w:r>
    </w:p>
    <w:p w14:paraId="1558A68A" w14:textId="77777777" w:rsidR="00604922" w:rsidRPr="00604922" w:rsidRDefault="00604922" w:rsidP="00604922">
      <w:pPr>
        <w:rPr>
          <w:rFonts w:ascii="Times New Roman" w:hAnsi="Times New Roman" w:cs="Times New Roman"/>
          <w:lang w:val="en-US"/>
        </w:rPr>
      </w:pPr>
      <w:r w:rsidRPr="00604922">
        <w:rPr>
          <w:rFonts w:ascii="Times New Roman" w:hAnsi="Times New Roman" w:cs="Times New Roman"/>
          <w:lang w:val="en-US"/>
        </w:rPr>
        <w:t>10.12.2025</w:t>
      </w:r>
    </w:p>
    <w:p w14:paraId="04F9CA23" w14:textId="3171B4EC" w:rsidR="00604922" w:rsidRPr="00604922" w:rsidRDefault="00604922" w:rsidP="00604922">
      <w:pPr>
        <w:rPr>
          <w:rFonts w:ascii="Times New Roman" w:hAnsi="Times New Roman" w:cs="Times New Roman"/>
          <w:lang w:val="en-US"/>
        </w:rPr>
      </w:pPr>
      <w:r w:rsidRPr="00604922">
        <w:rPr>
          <w:rFonts w:ascii="Times New Roman" w:hAnsi="Times New Roman" w:cs="Times New Roman"/>
          <w:lang w:val="en-US"/>
        </w:rPr>
        <w:br/>
        <w:t xml:space="preserve">Student </w:t>
      </w:r>
      <w:proofErr w:type="gramStart"/>
      <w:r w:rsidRPr="00604922">
        <w:rPr>
          <w:rFonts w:ascii="Times New Roman" w:hAnsi="Times New Roman" w:cs="Times New Roman"/>
          <w:lang w:val="en-US"/>
        </w:rPr>
        <w:t>Name</w:t>
      </w:r>
      <w:r>
        <w:rPr>
          <w:rFonts w:ascii="Times New Roman" w:hAnsi="Times New Roman" w:cs="Times New Roman"/>
          <w:lang w:val="en-US"/>
        </w:rPr>
        <w:t xml:space="preserve"> :</w:t>
      </w:r>
      <w:proofErr w:type="gramEnd"/>
      <w:r>
        <w:rPr>
          <w:rFonts w:ascii="Times New Roman" w:hAnsi="Times New Roman" w:cs="Times New Roman"/>
          <w:lang w:val="en-US"/>
        </w:rPr>
        <w:t xml:space="preserve"> Harwinder Singh</w:t>
      </w:r>
      <w:r w:rsidRPr="00604922">
        <w:rPr>
          <w:rFonts w:ascii="Times New Roman" w:hAnsi="Times New Roman" w:cs="Times New Roman"/>
          <w:lang w:val="en-US"/>
        </w:rPr>
        <w:br/>
      </w:r>
    </w:p>
    <w:p w14:paraId="7DCC578F" w14:textId="77777777" w:rsidR="00604922" w:rsidRPr="00604922" w:rsidRDefault="00604922" w:rsidP="00604922">
      <w:pPr>
        <w:rPr>
          <w:rFonts w:ascii="Times New Roman" w:hAnsi="Times New Roman" w:cs="Times New Roman"/>
        </w:rPr>
      </w:pPr>
    </w:p>
    <w:p w14:paraId="234807A8" w14:textId="77777777" w:rsidR="00604922" w:rsidRPr="00604922" w:rsidRDefault="00604922" w:rsidP="00604922">
      <w:pPr>
        <w:rPr>
          <w:rFonts w:ascii="Times New Roman" w:hAnsi="Times New Roman" w:cs="Times New Roman"/>
        </w:rPr>
      </w:pPr>
    </w:p>
    <w:p w14:paraId="1D5A7181" w14:textId="77777777" w:rsidR="00604922" w:rsidRPr="00604922" w:rsidRDefault="00604922" w:rsidP="00604922">
      <w:pPr>
        <w:rPr>
          <w:rFonts w:ascii="Times New Roman" w:hAnsi="Times New Roman" w:cs="Times New Roman"/>
        </w:rPr>
      </w:pPr>
    </w:p>
    <w:p w14:paraId="31C1218E" w14:textId="77777777" w:rsidR="00604922" w:rsidRPr="00604922" w:rsidRDefault="00604922" w:rsidP="00604922">
      <w:pPr>
        <w:rPr>
          <w:rFonts w:ascii="Times New Roman" w:hAnsi="Times New Roman" w:cs="Times New Roman"/>
        </w:rPr>
      </w:pPr>
    </w:p>
    <w:p w14:paraId="59310732" w14:textId="77777777" w:rsidR="00604922" w:rsidRPr="00604922" w:rsidRDefault="00604922" w:rsidP="00604922">
      <w:pPr>
        <w:rPr>
          <w:rFonts w:ascii="Times New Roman" w:hAnsi="Times New Roman" w:cs="Times New Roman"/>
        </w:rPr>
      </w:pPr>
    </w:p>
    <w:p w14:paraId="48EDF55C" w14:textId="77777777" w:rsidR="00604922" w:rsidRPr="00604922" w:rsidRDefault="00604922" w:rsidP="00604922">
      <w:pPr>
        <w:rPr>
          <w:rFonts w:ascii="Times New Roman" w:hAnsi="Times New Roman" w:cs="Times New Roman"/>
        </w:rPr>
      </w:pPr>
    </w:p>
    <w:p w14:paraId="6BEAAF59" w14:textId="77777777" w:rsidR="00604922" w:rsidRPr="00604922" w:rsidRDefault="00604922" w:rsidP="00604922">
      <w:pPr>
        <w:rPr>
          <w:rFonts w:ascii="Times New Roman" w:hAnsi="Times New Roman" w:cs="Times New Roman"/>
        </w:rPr>
      </w:pPr>
    </w:p>
    <w:p w14:paraId="2555DCE0" w14:textId="77777777" w:rsidR="00604922" w:rsidRPr="00604922" w:rsidRDefault="00604922" w:rsidP="00604922">
      <w:pPr>
        <w:rPr>
          <w:rFonts w:ascii="Times New Roman" w:hAnsi="Times New Roman" w:cs="Times New Roman"/>
        </w:rPr>
      </w:pPr>
    </w:p>
    <w:p w14:paraId="6A073472" w14:textId="77777777" w:rsidR="00604922" w:rsidRPr="00604922" w:rsidRDefault="00604922" w:rsidP="00604922">
      <w:pPr>
        <w:rPr>
          <w:rFonts w:ascii="Times New Roman" w:hAnsi="Times New Roman" w:cs="Times New Roman"/>
        </w:rPr>
      </w:pPr>
    </w:p>
    <w:p w14:paraId="3173E6A9" w14:textId="77777777" w:rsidR="00604922" w:rsidRPr="00604922" w:rsidRDefault="00604922" w:rsidP="00604922">
      <w:pPr>
        <w:rPr>
          <w:rFonts w:ascii="Times New Roman" w:hAnsi="Times New Roman" w:cs="Times New Roman"/>
        </w:rPr>
      </w:pPr>
    </w:p>
    <w:p w14:paraId="4664B4CA" w14:textId="77777777" w:rsidR="00604922" w:rsidRPr="00604922" w:rsidRDefault="00604922" w:rsidP="00604922">
      <w:pPr>
        <w:rPr>
          <w:rFonts w:ascii="Times New Roman" w:hAnsi="Times New Roman" w:cs="Times New Roman"/>
        </w:rPr>
      </w:pPr>
    </w:p>
    <w:p w14:paraId="20788998" w14:textId="77777777" w:rsidR="00604922" w:rsidRPr="00604922" w:rsidRDefault="00604922" w:rsidP="00604922">
      <w:pPr>
        <w:spacing w:line="276" w:lineRule="auto"/>
        <w:rPr>
          <w:rFonts w:ascii="Times New Roman" w:hAnsi="Times New Roman" w:cs="Times New Roman"/>
          <w:b/>
          <w:bCs/>
          <w:lang w:val="en-US"/>
        </w:rPr>
      </w:pPr>
      <w:r w:rsidRPr="00604922">
        <w:rPr>
          <w:rFonts w:ascii="Times New Roman" w:hAnsi="Times New Roman" w:cs="Times New Roman"/>
          <w:b/>
          <w:bCs/>
          <w:lang w:val="en-US"/>
        </w:rPr>
        <w:t>In no more than 1000 words, and 2-3 references, explain how,</w:t>
      </w:r>
    </w:p>
    <w:p w14:paraId="4B434863" w14:textId="77777777" w:rsidR="00604922" w:rsidRPr="00604922" w:rsidRDefault="00604922" w:rsidP="00604922">
      <w:pPr>
        <w:spacing w:line="276" w:lineRule="auto"/>
        <w:rPr>
          <w:rFonts w:ascii="Times New Roman" w:hAnsi="Times New Roman" w:cs="Times New Roman"/>
          <w:b/>
          <w:bCs/>
          <w:lang w:val="en-US"/>
        </w:rPr>
      </w:pPr>
    </w:p>
    <w:p w14:paraId="6F3CD255" w14:textId="77777777" w:rsidR="00604922" w:rsidRPr="00604922" w:rsidRDefault="00604922" w:rsidP="00604922">
      <w:pPr>
        <w:pStyle w:val="ListParagraph"/>
        <w:numPr>
          <w:ilvl w:val="0"/>
          <w:numId w:val="1"/>
        </w:numPr>
        <w:spacing w:line="276" w:lineRule="auto"/>
        <w:rPr>
          <w:rFonts w:ascii="Times New Roman" w:hAnsi="Times New Roman" w:cs="Times New Roman"/>
          <w:lang w:val="en-US"/>
        </w:rPr>
      </w:pPr>
      <w:r w:rsidRPr="00604922">
        <w:rPr>
          <w:rFonts w:ascii="Times New Roman" w:hAnsi="Times New Roman" w:cs="Times New Roman"/>
          <w:lang w:val="en-US"/>
        </w:rPr>
        <w:t>Using the PATA crisis management strategy, explain how this approach can minimize and reduce the impacts of a selected tourism-related crisis.</w:t>
      </w:r>
    </w:p>
    <w:p w14:paraId="0B5DF4F4" w14:textId="77777777" w:rsidR="00604922" w:rsidRPr="00604922" w:rsidRDefault="00604922" w:rsidP="00604922">
      <w:pPr>
        <w:pStyle w:val="ListParagraph"/>
        <w:numPr>
          <w:ilvl w:val="0"/>
          <w:numId w:val="1"/>
        </w:numPr>
        <w:spacing w:line="276" w:lineRule="auto"/>
        <w:rPr>
          <w:rFonts w:ascii="Times New Roman" w:hAnsi="Times New Roman" w:cs="Times New Roman"/>
          <w:lang w:val="en-US"/>
        </w:rPr>
      </w:pPr>
      <w:r w:rsidRPr="00604922">
        <w:rPr>
          <w:rFonts w:ascii="Times New Roman" w:hAnsi="Times New Roman" w:cs="Times New Roman"/>
          <w:lang w:val="en-US"/>
        </w:rPr>
        <w:t>Please specify the name of the case study, with a particular focus on post-crisis recovery plans.</w:t>
      </w:r>
    </w:p>
    <w:p w14:paraId="7AA62B32" w14:textId="77777777" w:rsidR="00604922" w:rsidRDefault="00604922">
      <w:pPr>
        <w:rPr>
          <w:rFonts w:ascii="Times New Roman" w:hAnsi="Times New Roman" w:cs="Times New Roman"/>
          <w:lang w:val="en-US"/>
        </w:rPr>
      </w:pPr>
    </w:p>
    <w:p w14:paraId="30691133" w14:textId="77777777" w:rsidR="00604922" w:rsidRDefault="00604922">
      <w:pPr>
        <w:rPr>
          <w:rFonts w:ascii="Times New Roman" w:hAnsi="Times New Roman" w:cs="Times New Roman"/>
          <w:lang w:val="en-US"/>
        </w:rPr>
      </w:pPr>
    </w:p>
    <w:p w14:paraId="40267CFE" w14:textId="77777777" w:rsidR="00604922" w:rsidRDefault="00604922">
      <w:pPr>
        <w:rPr>
          <w:rFonts w:ascii="Times New Roman" w:hAnsi="Times New Roman" w:cs="Times New Roman"/>
          <w:lang w:val="en-US"/>
        </w:rPr>
      </w:pPr>
    </w:p>
    <w:p w14:paraId="560CD3D8" w14:textId="77777777" w:rsidR="00604922" w:rsidRDefault="00604922">
      <w:pPr>
        <w:rPr>
          <w:rFonts w:ascii="Times New Roman" w:hAnsi="Times New Roman" w:cs="Times New Roman"/>
          <w:lang w:val="en-US"/>
        </w:rPr>
      </w:pPr>
    </w:p>
    <w:p w14:paraId="29747FEB" w14:textId="77777777" w:rsidR="00604922" w:rsidRDefault="00604922">
      <w:pPr>
        <w:rPr>
          <w:rFonts w:ascii="Times New Roman" w:hAnsi="Times New Roman" w:cs="Times New Roman"/>
          <w:lang w:val="en-US"/>
        </w:rPr>
      </w:pPr>
    </w:p>
    <w:p w14:paraId="6CB09445" w14:textId="77777777" w:rsidR="00604922" w:rsidRDefault="00604922">
      <w:pPr>
        <w:rPr>
          <w:rFonts w:ascii="Times New Roman" w:hAnsi="Times New Roman" w:cs="Times New Roman"/>
          <w:lang w:val="en-US"/>
        </w:rPr>
      </w:pPr>
    </w:p>
    <w:p w14:paraId="082D85C9" w14:textId="77777777" w:rsidR="00604922" w:rsidRDefault="00604922">
      <w:pPr>
        <w:rPr>
          <w:rFonts w:ascii="Times New Roman" w:hAnsi="Times New Roman" w:cs="Times New Roman"/>
          <w:lang w:val="en-US"/>
        </w:rPr>
      </w:pPr>
    </w:p>
    <w:p w14:paraId="15783FF1" w14:textId="77777777" w:rsidR="00604922" w:rsidRDefault="00604922">
      <w:pPr>
        <w:rPr>
          <w:rFonts w:ascii="Times New Roman" w:hAnsi="Times New Roman" w:cs="Times New Roman"/>
          <w:lang w:val="en-US"/>
        </w:rPr>
      </w:pPr>
    </w:p>
    <w:p w14:paraId="60EF7D5B" w14:textId="77777777" w:rsidR="00604922" w:rsidRDefault="00604922">
      <w:pPr>
        <w:rPr>
          <w:rFonts w:ascii="Times New Roman" w:hAnsi="Times New Roman" w:cs="Times New Roman"/>
          <w:lang w:val="en-US"/>
        </w:rPr>
      </w:pPr>
    </w:p>
    <w:p w14:paraId="12AD8187" w14:textId="77777777" w:rsidR="00604922" w:rsidRDefault="00604922">
      <w:pPr>
        <w:rPr>
          <w:rFonts w:ascii="Times New Roman" w:hAnsi="Times New Roman" w:cs="Times New Roman"/>
          <w:lang w:val="en-US"/>
        </w:rPr>
      </w:pPr>
    </w:p>
    <w:p w14:paraId="5D973FD2" w14:textId="77777777" w:rsidR="00604922" w:rsidRDefault="00604922">
      <w:pPr>
        <w:rPr>
          <w:rFonts w:ascii="Times New Roman" w:hAnsi="Times New Roman" w:cs="Times New Roman"/>
          <w:lang w:val="en-US"/>
        </w:rPr>
      </w:pPr>
    </w:p>
    <w:p w14:paraId="352D9E11" w14:textId="77777777" w:rsidR="00604922" w:rsidRDefault="00604922">
      <w:pPr>
        <w:rPr>
          <w:rFonts w:ascii="Times New Roman" w:hAnsi="Times New Roman" w:cs="Times New Roman"/>
          <w:lang w:val="en-US"/>
        </w:rPr>
      </w:pPr>
    </w:p>
    <w:p w14:paraId="066F0797" w14:textId="77777777" w:rsidR="00604922" w:rsidRDefault="00604922">
      <w:pPr>
        <w:rPr>
          <w:rFonts w:ascii="Times New Roman" w:hAnsi="Times New Roman" w:cs="Times New Roman"/>
          <w:lang w:val="en-US"/>
        </w:rPr>
      </w:pPr>
    </w:p>
    <w:p w14:paraId="7376B4C8" w14:textId="77777777" w:rsidR="00604922" w:rsidRDefault="00604922">
      <w:pPr>
        <w:rPr>
          <w:rFonts w:ascii="Times New Roman" w:hAnsi="Times New Roman" w:cs="Times New Roman"/>
          <w:lang w:val="en-US"/>
        </w:rPr>
      </w:pPr>
    </w:p>
    <w:p w14:paraId="6FD40B22" w14:textId="77777777" w:rsidR="00604922" w:rsidRDefault="00604922">
      <w:pPr>
        <w:rPr>
          <w:rFonts w:ascii="Times New Roman" w:hAnsi="Times New Roman" w:cs="Times New Roman"/>
          <w:lang w:val="en-US"/>
        </w:rPr>
      </w:pPr>
    </w:p>
    <w:p w14:paraId="2EE35421" w14:textId="77777777" w:rsidR="00604922" w:rsidRDefault="00604922">
      <w:pPr>
        <w:rPr>
          <w:rFonts w:ascii="Times New Roman" w:hAnsi="Times New Roman" w:cs="Times New Roman"/>
          <w:lang w:val="en-US"/>
        </w:rPr>
      </w:pPr>
    </w:p>
    <w:p w14:paraId="6596F193" w14:textId="77777777" w:rsidR="00604922" w:rsidRDefault="00604922">
      <w:pPr>
        <w:rPr>
          <w:rFonts w:ascii="Times New Roman" w:hAnsi="Times New Roman" w:cs="Times New Roman"/>
          <w:lang w:val="en-US"/>
        </w:rPr>
      </w:pPr>
    </w:p>
    <w:p w14:paraId="29B44E60" w14:textId="77777777" w:rsidR="00604922" w:rsidRDefault="00604922">
      <w:pPr>
        <w:rPr>
          <w:rFonts w:ascii="Times New Roman" w:hAnsi="Times New Roman" w:cs="Times New Roman"/>
          <w:lang w:val="en-US"/>
        </w:rPr>
      </w:pPr>
    </w:p>
    <w:p w14:paraId="08B29AFB" w14:textId="77777777" w:rsidR="00604922" w:rsidRDefault="00604922">
      <w:pPr>
        <w:rPr>
          <w:rFonts w:ascii="Times New Roman" w:hAnsi="Times New Roman" w:cs="Times New Roman"/>
          <w:lang w:val="en-US"/>
        </w:rPr>
      </w:pPr>
    </w:p>
    <w:p w14:paraId="0B67F17E" w14:textId="77777777" w:rsidR="00604922" w:rsidRDefault="00604922">
      <w:pPr>
        <w:rPr>
          <w:rFonts w:ascii="Times New Roman" w:hAnsi="Times New Roman" w:cs="Times New Roman"/>
          <w:lang w:val="en-US"/>
        </w:rPr>
      </w:pPr>
    </w:p>
    <w:p w14:paraId="248A7632" w14:textId="77777777" w:rsidR="00604922" w:rsidRDefault="00604922">
      <w:pPr>
        <w:rPr>
          <w:rFonts w:ascii="Times New Roman" w:hAnsi="Times New Roman" w:cs="Times New Roman"/>
          <w:lang w:val="en-US"/>
        </w:rPr>
      </w:pPr>
    </w:p>
    <w:p w14:paraId="648D38A3" w14:textId="77777777" w:rsidR="00604922" w:rsidRDefault="00604922">
      <w:pPr>
        <w:rPr>
          <w:rFonts w:ascii="Times New Roman" w:hAnsi="Times New Roman" w:cs="Times New Roman"/>
          <w:lang w:val="en-US"/>
        </w:rPr>
      </w:pPr>
    </w:p>
    <w:p w14:paraId="7F289910" w14:textId="77777777" w:rsidR="00604922" w:rsidRDefault="00604922">
      <w:pPr>
        <w:rPr>
          <w:rFonts w:ascii="Times New Roman" w:hAnsi="Times New Roman" w:cs="Times New Roman"/>
          <w:lang w:val="en-US"/>
        </w:rPr>
      </w:pPr>
    </w:p>
    <w:p w14:paraId="26698DA0" w14:textId="77777777" w:rsidR="00604922" w:rsidRDefault="00604922">
      <w:pPr>
        <w:rPr>
          <w:rFonts w:ascii="Times New Roman" w:hAnsi="Times New Roman" w:cs="Times New Roman"/>
          <w:lang w:val="en-US"/>
        </w:rPr>
      </w:pPr>
    </w:p>
    <w:p w14:paraId="3495D72B" w14:textId="6A2197E3" w:rsidR="00604922" w:rsidRPr="00AF2336" w:rsidRDefault="00AF2336">
      <w:pPr>
        <w:rPr>
          <w:rFonts w:ascii="Times New Roman" w:hAnsi="Times New Roman" w:cs="Times New Roman"/>
          <w:b/>
          <w:bCs/>
          <w:lang w:val="en-US"/>
        </w:rPr>
      </w:pPr>
      <w:r w:rsidRPr="00AF2336">
        <w:rPr>
          <w:rFonts w:ascii="Times New Roman" w:hAnsi="Times New Roman" w:cs="Times New Roman"/>
          <w:b/>
          <w:bCs/>
        </w:rPr>
        <w:lastRenderedPageBreak/>
        <w:t>A Case Study of Japan’s Tourism Recovery Following the COVID-19 Pandemic</w:t>
      </w:r>
    </w:p>
    <w:p w14:paraId="39FF2BB4" w14:textId="77777777" w:rsidR="00AF2336" w:rsidRDefault="00AF2336">
      <w:pPr>
        <w:rPr>
          <w:rFonts w:ascii="Times New Roman" w:hAnsi="Times New Roman" w:cs="Times New Roman"/>
          <w:lang w:val="en-US"/>
        </w:rPr>
      </w:pPr>
    </w:p>
    <w:p w14:paraId="62C3556E" w14:textId="77777777" w:rsidR="00AF2336" w:rsidRDefault="00AF2336">
      <w:pPr>
        <w:rPr>
          <w:rFonts w:ascii="Times New Roman" w:hAnsi="Times New Roman" w:cs="Times New Roman"/>
          <w:lang w:val="en-US"/>
        </w:rPr>
      </w:pPr>
    </w:p>
    <w:p w14:paraId="7A03B6A2"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Introduction</w:t>
      </w:r>
    </w:p>
    <w:p w14:paraId="7B8252D8" w14:textId="77777777" w:rsidR="003C01DC" w:rsidRPr="003C01DC" w:rsidRDefault="003C01DC" w:rsidP="003C01DC">
      <w:pPr>
        <w:rPr>
          <w:rFonts w:ascii="Times New Roman" w:hAnsi="Times New Roman" w:cs="Times New Roman"/>
          <w:lang w:val="en-US"/>
        </w:rPr>
      </w:pPr>
    </w:p>
    <w:p w14:paraId="51B11B2F"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Tourism is inherently susceptible to crises owing to its dependence on international mobility, safety perceptions, and economic stability.  Events including pandemics, natural disasters, and geopolitical disruptions have the potential to swiftly destabilize tourism systems, resulting in revenue declines, increased unemployment, and enduring reputational harm.  To address these challenges effectively, the implementation of structured crisis management frameworks is crucial.  The Pacific Asia Travel Association (PATA) crisis management strategy offers a comprehensive framework for mitigating the effects of tourism-related crises through preparedness, response, recovery, and resilience enhancement.  This paper explores the application of the PATA framework in mitigating the effects of tourism crises, with a focus on Japan's recovery of the tourism sector following the COVID-19 pandemic, emphasizing strategies for post-crisis recovery planning.</w:t>
      </w:r>
    </w:p>
    <w:p w14:paraId="126CB783" w14:textId="77777777" w:rsidR="003C01DC" w:rsidRPr="003C01DC" w:rsidRDefault="003C01DC" w:rsidP="003C01DC">
      <w:pPr>
        <w:rPr>
          <w:rFonts w:ascii="Times New Roman" w:hAnsi="Times New Roman" w:cs="Times New Roman"/>
          <w:lang w:val="en-US"/>
        </w:rPr>
      </w:pPr>
    </w:p>
    <w:p w14:paraId="6FC8E378"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The PATA Crisis Management Framework</w:t>
      </w:r>
    </w:p>
    <w:p w14:paraId="08CB6C5B" w14:textId="77777777" w:rsidR="003C01DC" w:rsidRPr="003C01DC" w:rsidRDefault="003C01DC" w:rsidP="003C01DC">
      <w:pPr>
        <w:rPr>
          <w:rFonts w:ascii="Times New Roman" w:hAnsi="Times New Roman" w:cs="Times New Roman"/>
          <w:lang w:val="en-US"/>
        </w:rPr>
      </w:pPr>
    </w:p>
    <w:p w14:paraId="7F0898FA"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The PATA crisis management strategy is formulated to enable tourism destinations to respond in a systematic manner to crises, rather than depending on ad hoc approaches.  The framework comprises four interrelated phases: preparedness, response, recovery, and resolution (PATA, 2011).  Preparedness emphasizes risk evaluation, strategic crisis planning, and effective stakeholder coordination.  The response phase underscores the importance of visitor safety, effective crisis communication, and the maintenance of operational continuity.  Recovery seeks to rejuvenate demand, enhance the destination's image, and aid </w:t>
      </w:r>
      <w:proofErr w:type="gramStart"/>
      <w:r w:rsidRPr="003C01DC">
        <w:rPr>
          <w:rFonts w:ascii="Times New Roman" w:hAnsi="Times New Roman" w:cs="Times New Roman"/>
          <w:lang w:val="en-US"/>
        </w:rPr>
        <w:t>the tourism</w:t>
      </w:r>
      <w:proofErr w:type="gramEnd"/>
      <w:r w:rsidRPr="003C01DC">
        <w:rPr>
          <w:rFonts w:ascii="Times New Roman" w:hAnsi="Times New Roman" w:cs="Times New Roman"/>
          <w:lang w:val="en-US"/>
        </w:rPr>
        <w:t xml:space="preserve"> businesses impacted.  The resolution phase incorporates lessons learned to strengthen long-term resilience.</w:t>
      </w:r>
    </w:p>
    <w:p w14:paraId="07E19853" w14:textId="77777777" w:rsidR="003C01DC" w:rsidRPr="003C01DC" w:rsidRDefault="003C01DC" w:rsidP="003C01DC">
      <w:pPr>
        <w:rPr>
          <w:rFonts w:ascii="Times New Roman" w:hAnsi="Times New Roman" w:cs="Times New Roman"/>
          <w:lang w:val="en-US"/>
        </w:rPr>
      </w:pPr>
    </w:p>
    <w:p w14:paraId="749D5209"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Academic research affirms the efficacy of such structured frameworks, indicating that destinations with formal crisis strategies undergo more efficient recovery and exhibit diminished long-term vulnerability (Faulkner, 2001).</w:t>
      </w:r>
    </w:p>
    <w:p w14:paraId="526111B7" w14:textId="77777777" w:rsidR="003C01DC" w:rsidRPr="003C01DC" w:rsidRDefault="003C01DC" w:rsidP="003C01DC">
      <w:pPr>
        <w:rPr>
          <w:rFonts w:ascii="Times New Roman" w:hAnsi="Times New Roman" w:cs="Times New Roman"/>
          <w:lang w:val="en-US"/>
        </w:rPr>
      </w:pPr>
    </w:p>
    <w:p w14:paraId="70F1696D"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Tourism Crisis Context: The Impact of COVID-19 in Japan</w:t>
      </w:r>
    </w:p>
    <w:p w14:paraId="78667387" w14:textId="77777777" w:rsidR="003C01DC" w:rsidRPr="003C01DC" w:rsidRDefault="003C01DC" w:rsidP="003C01DC">
      <w:pPr>
        <w:rPr>
          <w:rFonts w:ascii="Times New Roman" w:hAnsi="Times New Roman" w:cs="Times New Roman"/>
          <w:lang w:val="en-US"/>
        </w:rPr>
      </w:pPr>
    </w:p>
    <w:p w14:paraId="0D6B08D8"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Japan’s tourism industry faced significant disruptions throughout the COVID-19 pandemic.  Before the crisis, inbound tourism experienced rapid growth </w:t>
      </w:r>
      <w:proofErr w:type="gramStart"/>
      <w:r w:rsidRPr="003C01DC">
        <w:rPr>
          <w:rFonts w:ascii="Times New Roman" w:hAnsi="Times New Roman" w:cs="Times New Roman"/>
          <w:lang w:val="en-US"/>
        </w:rPr>
        <w:t>as a result of</w:t>
      </w:r>
      <w:proofErr w:type="gramEnd"/>
      <w:r w:rsidRPr="003C01DC">
        <w:rPr>
          <w:rFonts w:ascii="Times New Roman" w:hAnsi="Times New Roman" w:cs="Times New Roman"/>
          <w:lang w:val="en-US"/>
        </w:rPr>
        <w:t xml:space="preserve"> government-led promotional initiatives and the organization of significant international events.  Nevertheless, stringent border controls, travel restrictions, and public health measures resulted in a significant decrease in international arrivals.  Regions reliant on tourism experienced business closures, employment reductions, and diminished community income.</w:t>
      </w:r>
    </w:p>
    <w:p w14:paraId="5E3EF140" w14:textId="77777777" w:rsidR="003C01DC" w:rsidRPr="003C01DC" w:rsidRDefault="003C01DC" w:rsidP="003C01DC">
      <w:pPr>
        <w:rPr>
          <w:rFonts w:ascii="Times New Roman" w:hAnsi="Times New Roman" w:cs="Times New Roman"/>
          <w:lang w:val="en-US"/>
        </w:rPr>
      </w:pPr>
    </w:p>
    <w:p w14:paraId="2FBA1997"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According to Hall et al. (2020), the pandemic revealed the vulnerability of tourism systems that are significantly dependent on international demand.  Japan's experience underscores the significance of adopting structured crisis management strategies, such as the PATA framework, in effectively guiding recovery efforts.</w:t>
      </w:r>
    </w:p>
    <w:p w14:paraId="11747A91" w14:textId="77777777" w:rsidR="003C01DC" w:rsidRPr="003C01DC" w:rsidRDefault="003C01DC" w:rsidP="003C01DC">
      <w:pPr>
        <w:rPr>
          <w:rFonts w:ascii="Times New Roman" w:hAnsi="Times New Roman" w:cs="Times New Roman"/>
          <w:lang w:val="en-US"/>
        </w:rPr>
      </w:pPr>
    </w:p>
    <w:p w14:paraId="3C8ED5CE"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Crisis Management and Impact Mitigation</w:t>
      </w:r>
    </w:p>
    <w:p w14:paraId="4EAD2477" w14:textId="77777777" w:rsidR="003C01DC" w:rsidRPr="003C01DC" w:rsidRDefault="003C01DC" w:rsidP="003C01DC">
      <w:pPr>
        <w:rPr>
          <w:rFonts w:ascii="Times New Roman" w:hAnsi="Times New Roman" w:cs="Times New Roman"/>
          <w:lang w:val="en-US"/>
        </w:rPr>
      </w:pPr>
    </w:p>
    <w:p w14:paraId="635CC0E5"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lastRenderedPageBreak/>
        <w:t xml:space="preserve"> During the response phase, Japan emphasized public health and safety, in accordance with PATA’s principle that safeguarding human life must take precedence over economic recovery.  The government enacted entry restrictions, quarantine protocols, and the provisional suspension of tourism operations.  Although these measures incurred immediate economic expenses, they contributed to reducing health risks and safeguarding the long-term credibility of the destination.</w:t>
      </w:r>
    </w:p>
    <w:p w14:paraId="7860FEF5" w14:textId="77777777" w:rsidR="003C01DC" w:rsidRPr="003C01DC" w:rsidRDefault="003C01DC" w:rsidP="003C01DC">
      <w:pPr>
        <w:rPr>
          <w:rFonts w:ascii="Times New Roman" w:hAnsi="Times New Roman" w:cs="Times New Roman"/>
          <w:lang w:val="en-US"/>
        </w:rPr>
      </w:pPr>
    </w:p>
    <w:p w14:paraId="3C22012E"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Effective and well-coordinated communication was fundamental to the crisis response.  Government agencies consistently revised travel advisories and health protocols, thereby diminishing uncertainty among </w:t>
      </w:r>
      <w:proofErr w:type="spellStart"/>
      <w:r w:rsidRPr="003C01DC">
        <w:rPr>
          <w:rFonts w:ascii="Times New Roman" w:hAnsi="Times New Roman" w:cs="Times New Roman"/>
          <w:lang w:val="en-US"/>
        </w:rPr>
        <w:t>travellers</w:t>
      </w:r>
      <w:proofErr w:type="spellEnd"/>
      <w:r w:rsidRPr="003C01DC">
        <w:rPr>
          <w:rFonts w:ascii="Times New Roman" w:hAnsi="Times New Roman" w:cs="Times New Roman"/>
          <w:lang w:val="en-US"/>
        </w:rPr>
        <w:t xml:space="preserve"> and tourism industry stakeholders.  Research demonstrates that efficient crisis communication diminishes panic, preserves trust, and facilitates more seamless recovery efforts (Faulkner, 2001).</w:t>
      </w:r>
    </w:p>
    <w:p w14:paraId="7F940511" w14:textId="77777777" w:rsidR="003C01DC" w:rsidRPr="003C01DC" w:rsidRDefault="003C01DC" w:rsidP="003C01DC">
      <w:pPr>
        <w:rPr>
          <w:rFonts w:ascii="Times New Roman" w:hAnsi="Times New Roman" w:cs="Times New Roman"/>
          <w:lang w:val="en-US"/>
        </w:rPr>
      </w:pPr>
    </w:p>
    <w:p w14:paraId="6C9368B1"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Post-Crisis Recovery Strategy</w:t>
      </w:r>
    </w:p>
    <w:p w14:paraId="6E243087" w14:textId="77777777" w:rsidR="003C01DC" w:rsidRPr="003C01DC" w:rsidRDefault="003C01DC" w:rsidP="003C01DC">
      <w:pPr>
        <w:rPr>
          <w:rFonts w:ascii="Times New Roman" w:hAnsi="Times New Roman" w:cs="Times New Roman"/>
          <w:lang w:val="en-US"/>
        </w:rPr>
      </w:pPr>
    </w:p>
    <w:p w14:paraId="7D66B056"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Post-crisis recovery represents the most pivotal stage of the PATA strategy, as it influences the speed at which tourism demand can be reinstated.  Japan initially concentrated on restoring domestic tourism by implementing nationwide travel subsidy programs to incentivize residents to travel domestically.  Domestic tourism served a stabilizing function by sustaining local enterprises during the period when international borders remained closed.</w:t>
      </w:r>
    </w:p>
    <w:p w14:paraId="6787D8D6" w14:textId="77777777" w:rsidR="003C01DC" w:rsidRPr="003C01DC" w:rsidRDefault="003C01DC" w:rsidP="003C01DC">
      <w:pPr>
        <w:rPr>
          <w:rFonts w:ascii="Times New Roman" w:hAnsi="Times New Roman" w:cs="Times New Roman"/>
          <w:lang w:val="en-US"/>
        </w:rPr>
      </w:pPr>
    </w:p>
    <w:p w14:paraId="619684D9"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As conditions ameliorated, Japan progressively resumed international tourism through a phased strategy that incorporated vaccination mandates and health surveillance.  This corresponds with PATA's guidance for a cautious and risk-managed reopening approach, rather than an immediate full-scale recovery.  Research indicates that a phased reopening diminishes perceived risk and bolsters </w:t>
      </w:r>
      <w:proofErr w:type="spellStart"/>
      <w:r w:rsidRPr="003C01DC">
        <w:rPr>
          <w:rFonts w:ascii="Times New Roman" w:hAnsi="Times New Roman" w:cs="Times New Roman"/>
          <w:lang w:val="en-US"/>
        </w:rPr>
        <w:t>traveller</w:t>
      </w:r>
      <w:proofErr w:type="spellEnd"/>
      <w:r w:rsidRPr="003C01DC">
        <w:rPr>
          <w:rFonts w:ascii="Times New Roman" w:hAnsi="Times New Roman" w:cs="Times New Roman"/>
          <w:lang w:val="en-US"/>
        </w:rPr>
        <w:t xml:space="preserve"> confidence in post-pandemic settings (Prayag, 2020).</w:t>
      </w:r>
    </w:p>
    <w:p w14:paraId="66736361" w14:textId="77777777" w:rsidR="003C01DC" w:rsidRPr="003C01DC" w:rsidRDefault="003C01DC" w:rsidP="003C01DC">
      <w:pPr>
        <w:rPr>
          <w:rFonts w:ascii="Times New Roman" w:hAnsi="Times New Roman" w:cs="Times New Roman"/>
          <w:lang w:val="en-US"/>
        </w:rPr>
      </w:pPr>
    </w:p>
    <w:p w14:paraId="73B86550"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Destination Branding and Market Positioning</w:t>
      </w:r>
    </w:p>
    <w:p w14:paraId="0413AF8B" w14:textId="77777777" w:rsidR="003C01DC" w:rsidRPr="003C01DC" w:rsidRDefault="003C01DC" w:rsidP="003C01DC">
      <w:pPr>
        <w:rPr>
          <w:rFonts w:ascii="Times New Roman" w:hAnsi="Times New Roman" w:cs="Times New Roman"/>
          <w:lang w:val="en-US"/>
        </w:rPr>
      </w:pPr>
    </w:p>
    <w:p w14:paraId="0242162E"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Reconstructing the destination's image is a fundamental element of post-crisis recovery within the PATA framework.  Japan redefined itself as a secure, well-organized, and culturally vibrant destination, highlighting stringent hygiene standards, effective population control, and superior visitor experiences.  Nature-based tourism, pastoral excursions, and cultural heritage activities were encouraged to correspond with evolving tourist preferences.</w:t>
      </w:r>
    </w:p>
    <w:p w14:paraId="3C599C68" w14:textId="77777777" w:rsidR="003C01DC" w:rsidRPr="003C01DC" w:rsidRDefault="003C01DC" w:rsidP="003C01DC">
      <w:pPr>
        <w:rPr>
          <w:rFonts w:ascii="Times New Roman" w:hAnsi="Times New Roman" w:cs="Times New Roman"/>
          <w:lang w:val="en-US"/>
        </w:rPr>
      </w:pPr>
    </w:p>
    <w:p w14:paraId="54D21660"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According to OECD (2020), </w:t>
      </w:r>
      <w:proofErr w:type="spellStart"/>
      <w:r w:rsidRPr="003C01DC">
        <w:rPr>
          <w:rFonts w:ascii="Times New Roman" w:hAnsi="Times New Roman" w:cs="Times New Roman"/>
          <w:lang w:val="en-US"/>
        </w:rPr>
        <w:t>travellers</w:t>
      </w:r>
      <w:proofErr w:type="spellEnd"/>
      <w:r w:rsidRPr="003C01DC">
        <w:rPr>
          <w:rFonts w:ascii="Times New Roman" w:hAnsi="Times New Roman" w:cs="Times New Roman"/>
          <w:lang w:val="en-US"/>
        </w:rPr>
        <w:t xml:space="preserve"> in the post-crisis period are increasingly prioritizing safety, authenticity, and sustainability.  Japan’s recovery marketing strategy embodied these trends, aiding in restoring international confidence and distinguishing the destination within a competitive global marketplace.</w:t>
      </w:r>
    </w:p>
    <w:p w14:paraId="1AB1547E" w14:textId="77777777" w:rsidR="003C01DC" w:rsidRPr="003C01DC" w:rsidRDefault="003C01DC" w:rsidP="003C01DC">
      <w:pPr>
        <w:rPr>
          <w:rFonts w:ascii="Times New Roman" w:hAnsi="Times New Roman" w:cs="Times New Roman"/>
          <w:lang w:val="en-US"/>
        </w:rPr>
      </w:pPr>
    </w:p>
    <w:p w14:paraId="200323AB"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Enhancing the Long-Term Resilience of Tourism</w:t>
      </w:r>
    </w:p>
    <w:p w14:paraId="337C0BF2" w14:textId="77777777" w:rsidR="003C01DC" w:rsidRPr="003C01DC" w:rsidRDefault="003C01DC" w:rsidP="003C01DC">
      <w:pPr>
        <w:rPr>
          <w:rFonts w:ascii="Times New Roman" w:hAnsi="Times New Roman" w:cs="Times New Roman"/>
          <w:lang w:val="en-US"/>
        </w:rPr>
      </w:pPr>
    </w:p>
    <w:p w14:paraId="38E31EED"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The concluding phase of the PATA strategy emphasizes enhancing resilience against future crises.  Japan incorporated lessons learned from COVID-19 into its tourism strategy by advancing digitalization, expanding source markets, and fostering sustainable tourism development.  Digital tools were employed to oversee visitor flows and improve the effectiveness of destination management.</w:t>
      </w:r>
    </w:p>
    <w:p w14:paraId="7C264608" w14:textId="77777777" w:rsidR="003C01DC" w:rsidRPr="003C01DC" w:rsidRDefault="003C01DC" w:rsidP="003C01DC">
      <w:pPr>
        <w:rPr>
          <w:rFonts w:ascii="Times New Roman" w:hAnsi="Times New Roman" w:cs="Times New Roman"/>
          <w:lang w:val="en-US"/>
        </w:rPr>
      </w:pPr>
    </w:p>
    <w:p w14:paraId="63599C3D"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lastRenderedPageBreak/>
        <w:t xml:space="preserve"> Research conducted by Prayag (2020) highlights that resilience-focused tourism strategies enhance adaptive capacity and mitigate long-term vulnerability.  Japan’s focus on sustainability, innovation, and crisis resilience is consistent with PATA’s principle of “building back better,” rather than reverting to pre-crisis models that may be fundamentally fragile.</w:t>
      </w:r>
    </w:p>
    <w:p w14:paraId="7FCBA965" w14:textId="77777777" w:rsidR="003C01DC" w:rsidRPr="003C01DC" w:rsidRDefault="003C01DC" w:rsidP="003C01DC">
      <w:pPr>
        <w:rPr>
          <w:rFonts w:ascii="Times New Roman" w:hAnsi="Times New Roman" w:cs="Times New Roman"/>
          <w:lang w:val="en-US"/>
        </w:rPr>
      </w:pPr>
    </w:p>
    <w:p w14:paraId="432E94B5"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Conclusion</w:t>
      </w:r>
    </w:p>
    <w:p w14:paraId="6D0BB7E5" w14:textId="77777777" w:rsidR="003C01DC" w:rsidRPr="003C01DC" w:rsidRDefault="003C01DC" w:rsidP="003C01DC">
      <w:pPr>
        <w:rPr>
          <w:rFonts w:ascii="Times New Roman" w:hAnsi="Times New Roman" w:cs="Times New Roman"/>
          <w:lang w:val="en-US"/>
        </w:rPr>
      </w:pPr>
    </w:p>
    <w:p w14:paraId="744FCDC1" w14:textId="759ACBB7" w:rsid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 The PATA crisis management strategy offers a systematic and efficient framework for mitigating the effects of crises related to tourism.  The example of Japan's tourism recovery after the COVID-19 pandemic illustrates how preparedness, coordinated response, phased recovery, and resiliency planning can substantially mitigate economic losses and rebuild </w:t>
      </w:r>
      <w:proofErr w:type="spellStart"/>
      <w:r w:rsidRPr="003C01DC">
        <w:rPr>
          <w:rFonts w:ascii="Times New Roman" w:hAnsi="Times New Roman" w:cs="Times New Roman"/>
          <w:lang w:val="en-US"/>
        </w:rPr>
        <w:t>traveller</w:t>
      </w:r>
      <w:proofErr w:type="spellEnd"/>
      <w:r w:rsidRPr="003C01DC">
        <w:rPr>
          <w:rFonts w:ascii="Times New Roman" w:hAnsi="Times New Roman" w:cs="Times New Roman"/>
          <w:lang w:val="en-US"/>
        </w:rPr>
        <w:t xml:space="preserve"> confidence.  Post-crisis recovery guided by the PATA framework encompasses more than merely restoring tourist numbers; it also emphasizes the enhancement of governance, sustainability, and adaptive capacity.  As tourism destinations encounter escalating uncertainty, the implementation of PATA’s crisis management principles remains crucial for fostering resilient and sustainable tourism development.</w:t>
      </w:r>
    </w:p>
    <w:p w14:paraId="0D2C9FFA" w14:textId="77777777" w:rsidR="003C01DC" w:rsidRDefault="003C01DC" w:rsidP="003C01DC">
      <w:pPr>
        <w:rPr>
          <w:rFonts w:ascii="Times New Roman" w:hAnsi="Times New Roman" w:cs="Times New Roman"/>
          <w:lang w:val="en-US"/>
        </w:rPr>
      </w:pPr>
    </w:p>
    <w:p w14:paraId="5C494821" w14:textId="77777777" w:rsidR="003C01DC" w:rsidRDefault="003C01DC" w:rsidP="003C01DC">
      <w:pPr>
        <w:rPr>
          <w:rFonts w:ascii="Times New Roman" w:hAnsi="Times New Roman" w:cs="Times New Roman"/>
          <w:lang w:val="en-US"/>
        </w:rPr>
      </w:pPr>
    </w:p>
    <w:p w14:paraId="5E2EA9E6" w14:textId="77777777" w:rsidR="003C01DC" w:rsidRDefault="003C01DC" w:rsidP="003C01DC">
      <w:pPr>
        <w:rPr>
          <w:rFonts w:ascii="Times New Roman" w:hAnsi="Times New Roman" w:cs="Times New Roman"/>
          <w:lang w:val="en-US"/>
        </w:rPr>
      </w:pPr>
    </w:p>
    <w:p w14:paraId="00E7A4C5" w14:textId="77777777" w:rsidR="003C01DC" w:rsidRDefault="003C01DC" w:rsidP="003C01DC">
      <w:pPr>
        <w:rPr>
          <w:rFonts w:ascii="Times New Roman" w:hAnsi="Times New Roman" w:cs="Times New Roman"/>
          <w:lang w:val="en-US"/>
        </w:rPr>
      </w:pPr>
    </w:p>
    <w:p w14:paraId="55D45964" w14:textId="77777777" w:rsidR="003C01DC" w:rsidRDefault="003C01DC" w:rsidP="003C01DC">
      <w:pPr>
        <w:rPr>
          <w:rFonts w:ascii="Times New Roman" w:hAnsi="Times New Roman" w:cs="Times New Roman"/>
          <w:lang w:val="en-US"/>
        </w:rPr>
      </w:pPr>
    </w:p>
    <w:p w14:paraId="261B0587" w14:textId="78193401" w:rsidR="003C01DC" w:rsidRPr="003C01DC" w:rsidRDefault="003C01DC" w:rsidP="003C01DC">
      <w:pPr>
        <w:rPr>
          <w:rFonts w:ascii="Times New Roman" w:hAnsi="Times New Roman" w:cs="Times New Roman"/>
          <w:b/>
          <w:bCs/>
          <w:lang w:val="en-US"/>
        </w:rPr>
      </w:pPr>
      <w:r w:rsidRPr="003C01DC">
        <w:rPr>
          <w:rFonts w:ascii="Times New Roman" w:hAnsi="Times New Roman" w:cs="Times New Roman"/>
          <w:b/>
          <w:bCs/>
          <w:lang w:val="en-US"/>
        </w:rPr>
        <w:t xml:space="preserve">References </w:t>
      </w:r>
    </w:p>
    <w:p w14:paraId="126B3480" w14:textId="77777777" w:rsidR="003C01DC" w:rsidRDefault="003C01DC" w:rsidP="003C01DC">
      <w:pPr>
        <w:rPr>
          <w:rFonts w:ascii="Times New Roman" w:hAnsi="Times New Roman" w:cs="Times New Roman"/>
          <w:lang w:val="en-US"/>
        </w:rPr>
      </w:pPr>
    </w:p>
    <w:p w14:paraId="2CF5F67B"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Faulkner, B. (2001). Towards a framework for tourism disaster management. Tourism Management, 22(2), 135–147. https://doi.org/10.1016/S0261-5177(00)00048-0</w:t>
      </w:r>
    </w:p>
    <w:p w14:paraId="72FDA146" w14:textId="77777777" w:rsidR="003C01DC" w:rsidRPr="003C01DC" w:rsidRDefault="003C01DC" w:rsidP="003C01DC">
      <w:pPr>
        <w:rPr>
          <w:rFonts w:ascii="Times New Roman" w:hAnsi="Times New Roman" w:cs="Times New Roman"/>
          <w:lang w:val="en-US"/>
        </w:rPr>
      </w:pPr>
    </w:p>
    <w:p w14:paraId="0720FD68"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Hall, C. M., Scott, D., &amp; </w:t>
      </w:r>
      <w:proofErr w:type="spellStart"/>
      <w:r w:rsidRPr="003C01DC">
        <w:rPr>
          <w:rFonts w:ascii="Times New Roman" w:hAnsi="Times New Roman" w:cs="Times New Roman"/>
          <w:lang w:val="en-US"/>
        </w:rPr>
        <w:t>Gössling</w:t>
      </w:r>
      <w:proofErr w:type="spellEnd"/>
      <w:r w:rsidRPr="003C01DC">
        <w:rPr>
          <w:rFonts w:ascii="Times New Roman" w:hAnsi="Times New Roman" w:cs="Times New Roman"/>
          <w:lang w:val="en-US"/>
        </w:rPr>
        <w:t>, S. (2020). Pandemics, transformations and tourism: Be careful what you wish for. Tourism Geographies, 22(3), 577–598. https://doi.org/10.1080/14616688.2020.1759131</w:t>
      </w:r>
    </w:p>
    <w:p w14:paraId="17A645BE" w14:textId="77777777" w:rsidR="003C01DC" w:rsidRPr="003C01DC" w:rsidRDefault="003C01DC" w:rsidP="003C01DC">
      <w:pPr>
        <w:rPr>
          <w:rFonts w:ascii="Times New Roman" w:hAnsi="Times New Roman" w:cs="Times New Roman"/>
          <w:lang w:val="en-US"/>
        </w:rPr>
      </w:pPr>
    </w:p>
    <w:p w14:paraId="60CE3E06" w14:textId="77777777" w:rsidR="003C01DC" w:rsidRPr="003C01DC" w:rsidRDefault="003C01DC" w:rsidP="003C01DC">
      <w:pPr>
        <w:rPr>
          <w:rFonts w:ascii="Times New Roman" w:hAnsi="Times New Roman" w:cs="Times New Roman"/>
          <w:lang w:val="en-US"/>
        </w:rPr>
      </w:pPr>
      <w:proofErr w:type="spellStart"/>
      <w:r w:rsidRPr="003C01DC">
        <w:rPr>
          <w:rFonts w:ascii="Times New Roman" w:hAnsi="Times New Roman" w:cs="Times New Roman"/>
          <w:lang w:val="en-US"/>
        </w:rPr>
        <w:t>Organisation</w:t>
      </w:r>
      <w:proofErr w:type="spellEnd"/>
      <w:r w:rsidRPr="003C01DC">
        <w:rPr>
          <w:rFonts w:ascii="Times New Roman" w:hAnsi="Times New Roman" w:cs="Times New Roman"/>
          <w:lang w:val="en-US"/>
        </w:rPr>
        <w:t xml:space="preserve"> for Economic Co-operation and Development (OECD). (2020). Tourism policy responses to the coronavirus (COVID-19). OECD Publishing.</w:t>
      </w:r>
    </w:p>
    <w:p w14:paraId="632E4844" w14:textId="77777777" w:rsidR="003C01DC" w:rsidRPr="003C01DC" w:rsidRDefault="003C01DC" w:rsidP="003C01DC">
      <w:pPr>
        <w:rPr>
          <w:rFonts w:ascii="Times New Roman" w:hAnsi="Times New Roman" w:cs="Times New Roman"/>
          <w:lang w:val="en-US"/>
        </w:rPr>
      </w:pPr>
    </w:p>
    <w:p w14:paraId="01973B9D"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Pacific Asia Travel Association (PATA). (2011). Crisis management strategy for the tourism industry. PATA.</w:t>
      </w:r>
    </w:p>
    <w:p w14:paraId="21D6A086" w14:textId="77777777" w:rsidR="003C01DC" w:rsidRPr="003C01DC" w:rsidRDefault="003C01DC" w:rsidP="003C01DC">
      <w:pPr>
        <w:rPr>
          <w:rFonts w:ascii="Times New Roman" w:hAnsi="Times New Roman" w:cs="Times New Roman"/>
          <w:lang w:val="en-US"/>
        </w:rPr>
      </w:pPr>
    </w:p>
    <w:p w14:paraId="41D8E7C8" w14:textId="77777777" w:rsidR="003C01DC" w:rsidRPr="003C01DC" w:rsidRDefault="003C01DC" w:rsidP="003C01DC">
      <w:pPr>
        <w:rPr>
          <w:rFonts w:ascii="Times New Roman" w:hAnsi="Times New Roman" w:cs="Times New Roman"/>
          <w:lang w:val="en-US"/>
        </w:rPr>
      </w:pPr>
      <w:r w:rsidRPr="003C01DC">
        <w:rPr>
          <w:rFonts w:ascii="Times New Roman" w:hAnsi="Times New Roman" w:cs="Times New Roman"/>
          <w:lang w:val="en-US"/>
        </w:rPr>
        <w:t xml:space="preserve">Prayag, G. (2020). Time for </w:t>
      </w:r>
      <w:proofErr w:type="gramStart"/>
      <w:r w:rsidRPr="003C01DC">
        <w:rPr>
          <w:rFonts w:ascii="Times New Roman" w:hAnsi="Times New Roman" w:cs="Times New Roman"/>
          <w:lang w:val="en-US"/>
        </w:rPr>
        <w:t>reset?</w:t>
      </w:r>
      <w:proofErr w:type="gramEnd"/>
      <w:r w:rsidRPr="003C01DC">
        <w:rPr>
          <w:rFonts w:ascii="Times New Roman" w:hAnsi="Times New Roman" w:cs="Times New Roman"/>
          <w:lang w:val="en-US"/>
        </w:rPr>
        <w:t xml:space="preserve"> COVID-19 and tourism resilience. Tourism Review International, 24(2–3), 179–184. https://doi.org/10.3727/154427220X15926147793595</w:t>
      </w:r>
    </w:p>
    <w:p w14:paraId="3940C45A" w14:textId="77777777" w:rsidR="003C01DC" w:rsidRPr="003C01DC" w:rsidRDefault="003C01DC" w:rsidP="003C01DC">
      <w:pPr>
        <w:rPr>
          <w:rFonts w:ascii="Times New Roman" w:hAnsi="Times New Roman" w:cs="Times New Roman"/>
          <w:lang w:val="en-US"/>
        </w:rPr>
      </w:pPr>
    </w:p>
    <w:p w14:paraId="1CA52C7D" w14:textId="04B98704" w:rsidR="003C01DC" w:rsidRPr="00AF2336" w:rsidRDefault="003C01DC" w:rsidP="003C01DC">
      <w:pPr>
        <w:rPr>
          <w:rFonts w:ascii="Times New Roman" w:hAnsi="Times New Roman" w:cs="Times New Roman"/>
          <w:lang w:val="en-US"/>
        </w:rPr>
      </w:pPr>
      <w:r w:rsidRPr="003C01DC">
        <w:rPr>
          <w:rFonts w:ascii="Times New Roman" w:hAnsi="Times New Roman" w:cs="Times New Roman"/>
          <w:lang w:val="en-US"/>
        </w:rPr>
        <w:t>UN World Tourism Organization (UNWTO). (2021). Tourism and COVID-19: Recovery strategies. UNWTO.</w:t>
      </w:r>
    </w:p>
    <w:sectPr w:rsidR="003C01DC" w:rsidRPr="00AF2336" w:rsidSect="0060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1794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922"/>
    <w:rsid w:val="003C01DC"/>
    <w:rsid w:val="00604922"/>
    <w:rsid w:val="00A06405"/>
    <w:rsid w:val="00AF2336"/>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40982"/>
  <w15:chartTrackingRefBased/>
  <w15:docId w15:val="{74B27C07-EE70-442E-9EFA-9F3418CA4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4922"/>
    <w:pPr>
      <w:spacing w:after="0" w:line="240" w:lineRule="auto"/>
    </w:pPr>
    <w:rPr>
      <w:szCs w:val="24"/>
      <w:lang w:bidi="ar-SA"/>
    </w:rPr>
  </w:style>
  <w:style w:type="paragraph" w:styleId="Heading1">
    <w:name w:val="heading 1"/>
    <w:basedOn w:val="Normal"/>
    <w:next w:val="Normal"/>
    <w:link w:val="Heading1Char"/>
    <w:uiPriority w:val="9"/>
    <w:qFormat/>
    <w:rsid w:val="00604922"/>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604922"/>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604922"/>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6049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49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49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49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49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49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922"/>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604922"/>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604922"/>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6049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49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49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49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49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4922"/>
    <w:rPr>
      <w:rFonts w:eastAsiaTheme="majorEastAsia" w:cstheme="majorBidi"/>
      <w:color w:val="272727" w:themeColor="text1" w:themeTint="D8"/>
    </w:rPr>
  </w:style>
  <w:style w:type="paragraph" w:styleId="Title">
    <w:name w:val="Title"/>
    <w:basedOn w:val="Normal"/>
    <w:next w:val="Normal"/>
    <w:link w:val="TitleChar"/>
    <w:uiPriority w:val="10"/>
    <w:qFormat/>
    <w:rsid w:val="00604922"/>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604922"/>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604922"/>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604922"/>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604922"/>
    <w:pPr>
      <w:spacing w:before="160"/>
      <w:jc w:val="center"/>
    </w:pPr>
    <w:rPr>
      <w:i/>
      <w:iCs/>
      <w:color w:val="404040" w:themeColor="text1" w:themeTint="BF"/>
    </w:rPr>
  </w:style>
  <w:style w:type="character" w:customStyle="1" w:styleId="QuoteChar">
    <w:name w:val="Quote Char"/>
    <w:basedOn w:val="DefaultParagraphFont"/>
    <w:link w:val="Quote"/>
    <w:uiPriority w:val="29"/>
    <w:rsid w:val="00604922"/>
    <w:rPr>
      <w:i/>
      <w:iCs/>
      <w:color w:val="404040" w:themeColor="text1" w:themeTint="BF"/>
    </w:rPr>
  </w:style>
  <w:style w:type="paragraph" w:styleId="ListParagraph">
    <w:name w:val="List Paragraph"/>
    <w:basedOn w:val="Normal"/>
    <w:uiPriority w:val="34"/>
    <w:qFormat/>
    <w:rsid w:val="00604922"/>
    <w:pPr>
      <w:ind w:left="720"/>
      <w:contextualSpacing/>
    </w:pPr>
  </w:style>
  <w:style w:type="character" w:styleId="IntenseEmphasis">
    <w:name w:val="Intense Emphasis"/>
    <w:basedOn w:val="DefaultParagraphFont"/>
    <w:uiPriority w:val="21"/>
    <w:qFormat/>
    <w:rsid w:val="00604922"/>
    <w:rPr>
      <w:i/>
      <w:iCs/>
      <w:color w:val="0F4761" w:themeColor="accent1" w:themeShade="BF"/>
    </w:rPr>
  </w:style>
  <w:style w:type="paragraph" w:styleId="IntenseQuote">
    <w:name w:val="Intense Quote"/>
    <w:basedOn w:val="Normal"/>
    <w:next w:val="Normal"/>
    <w:link w:val="IntenseQuoteChar"/>
    <w:uiPriority w:val="30"/>
    <w:qFormat/>
    <w:rsid w:val="006049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4922"/>
    <w:rPr>
      <w:i/>
      <w:iCs/>
      <w:color w:val="0F4761" w:themeColor="accent1" w:themeShade="BF"/>
    </w:rPr>
  </w:style>
  <w:style w:type="character" w:styleId="IntenseReference">
    <w:name w:val="Intense Reference"/>
    <w:basedOn w:val="DefaultParagraphFont"/>
    <w:uiPriority w:val="32"/>
    <w:qFormat/>
    <w:rsid w:val="0060492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1278</Words>
  <Characters>7289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2025-12-14T08:51:00Z</dcterms:created>
  <dcterms:modified xsi:type="dcterms:W3CDTF">2025-12-14T08:54:00Z</dcterms:modified>
</cp:coreProperties>
</file>