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jc w:val="center"/>
      </w:pPr>
      <w:r>
        <w:drawing>
          <wp:inline distT="0" distB="0" distL="0" distR="0">
            <wp:extent cx="3810000" cy="814179"/>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cstate="none"/>
                    <a:srcRect/>
                    <a:stretch>
                      <a:fillRect/>
                    </a:stretch>
                  </pic:blipFill>
                  <pic:spPr bwMode="auto">
                    <a:xfrm>
                      <a:off x="0" y="0"/>
                      <a:ext cx="3810000" cy="814179"/>
                    </a:xfrm>
                    <a:prstGeom prst="rect">
                      <a:avLst/>
                    </a:prstGeom>
                  </pic:spPr>
                </pic:pic>
              </a:graphicData>
            </a:graphic>
          </wp:inline>
        </w:drawing>
      </w:r>
    </w:p>
    <w:p>
      <w:pPr>
        <w:pBdr>
          <w:bottom w:val="single" w:color="1E3A8A" w:sz="6" w:space="1"/>
        </w:pBdr>
      </w:pPr>
      <w:r>
        <w:rPr>
          <w:sz w:val="4"/>
          <w:szCs w:val="4"/>
        </w:rPr>
        <w:t xml:space="preserve"/>
      </w:r>
    </w:p>
    <w:p>
      <w:r>
        <w:rPr>
          <w:rFonts w:ascii="Times New Roman" w:cs="Times New Roman" w:eastAsia="Times New Roman" w:hAnsi="Times New Roman"/>
          <w:sz w:val="24"/>
          <w:szCs w:val="24"/>
        </w:rPr>
        <w:t xml:space="preserve"/>
      </w:r>
    </w:p>
    <w:p>
      <w:r>
        <w:rPr>
          <w:rFonts w:ascii="Times New Roman" w:cs="Times New Roman" w:eastAsia="Times New Roman" w:hAnsi="Times New Roman"/>
          <w:sz w:val="24"/>
          <w:szCs w:val="24"/>
        </w:rPr>
        <w:t xml:space="preserve"/>
      </w:r>
    </w:p>
    <w:p>
      <w:pPr>
        <w:jc w:val="center"/>
      </w:pPr>
      <w:r>
        <w:rPr>
          <w:rFonts w:ascii="Times New Roman" w:cs="Times New Roman" w:eastAsia="Times New Roman" w:hAnsi="Times New Roman"/>
          <w:b/>
          <w:bCs/>
          <w:color w:val="1E3A8A"/>
          <w:sz w:val="30"/>
          <w:szCs w:val="30"/>
        </w:rPr>
        <w:t xml:space="preserve">Financial Accounting and Reporting in the Hospitality Industry</w:t>
      </w:r>
    </w:p>
    <w:p>
      <w:r>
        <w:rPr>
          <w:rFonts w:ascii="Times New Roman" w:cs="Times New Roman" w:eastAsia="Times New Roman" w:hAnsi="Times New Roman"/>
          <w:sz w:val="24"/>
          <w:szCs w:val="24"/>
        </w:rPr>
        <w:t xml:space="preserve"/>
      </w:r>
    </w:p>
    <w:p>
      <w:pPr>
        <w:jc w:val="center"/>
      </w:pPr>
      <w:r>
        <w:rPr>
          <w:rFonts w:ascii="Times New Roman" w:cs="Times New Roman" w:eastAsia="Times New Roman" w:hAnsi="Times New Roman"/>
          <w:sz w:val="24"/>
          <w:szCs w:val="24"/>
        </w:rPr>
        <w:t xml:space="preserve">Assignment 1</w:t>
      </w:r>
    </w:p>
    <w:p>
      <w:r>
        <w:rPr>
          <w:rFonts w:ascii="Times New Roman" w:cs="Times New Roman" w:eastAsia="Times New Roman" w:hAnsi="Times New Roman"/>
          <w:sz w:val="24"/>
          <w:szCs w:val="24"/>
        </w:rPr>
        <w:t xml:space="preserve"/>
      </w:r>
    </w:p>
    <w:p>
      <w:r>
        <w:rPr>
          <w:rFonts w:ascii="Times New Roman" w:cs="Times New Roman" w:eastAsia="Times New Roman" w:hAnsi="Times New Roman"/>
          <w:sz w:val="24"/>
          <w:szCs w:val="24"/>
        </w:rPr>
        <w:t xml:space="preserve"/>
      </w:r>
    </w:p>
    <w:p>
      <w:pPr>
        <w:jc w:val="center"/>
      </w:pPr>
      <w:r>
        <w:rPr>
          <w:rFonts w:ascii="Times New Roman" w:cs="Times New Roman" w:eastAsia="Times New Roman" w:hAnsi="Times New Roman"/>
          <w:b/>
          <w:bCs/>
          <w:sz w:val="24"/>
          <w:szCs w:val="24"/>
        </w:rPr>
        <w:t xml:space="preserve">Submitted by:</w:t>
      </w:r>
    </w:p>
    <w:p>
      <w:pPr>
        <w:jc w:val="center"/>
      </w:pPr>
      <w:r>
        <w:rPr>
          <w:rFonts w:ascii="Times New Roman" w:cs="Times New Roman" w:eastAsia="Times New Roman" w:hAnsi="Times New Roman"/>
          <w:sz w:val="24"/>
          <w:szCs w:val="24"/>
        </w:rPr>
        <w:t xml:space="preserve">Manprit Kour</w:t>
      </w:r>
    </w:p>
    <w:p>
      <w:pPr>
        <w:jc w:val="center"/>
      </w:pPr>
      <w:r>
        <w:rPr>
          <w:rFonts w:ascii="Times New Roman" w:cs="Times New Roman" w:eastAsia="Times New Roman" w:hAnsi="Times New Roman"/>
          <w:sz w:val="24"/>
          <w:szCs w:val="24"/>
        </w:rPr>
        <w:t xml:space="preserve">Student ID: DE240278</w:t>
      </w:r>
    </w:p>
    <w:p>
      <w:r>
        <w:rPr>
          <w:rFonts w:ascii="Times New Roman" w:cs="Times New Roman" w:eastAsia="Times New Roman" w:hAnsi="Times New Roman"/>
          <w:sz w:val="24"/>
          <w:szCs w:val="24"/>
        </w:rPr>
        <w:t xml:space="preserve"/>
      </w:r>
    </w:p>
    <w:p>
      <w:pPr>
        <w:jc w:val="center"/>
      </w:pPr>
      <w:r>
        <w:rPr>
          <w:rFonts w:ascii="Times New Roman" w:cs="Times New Roman" w:eastAsia="Times New Roman" w:hAnsi="Times New Roman"/>
          <w:sz w:val="24"/>
          <w:szCs w:val="24"/>
        </w:rPr>
        <w:t xml:space="preserve">Module: Financial Accounting and Reporting</w:t>
      </w:r>
    </w:p>
    <w:p>
      <w:pPr>
        <w:jc w:val="center"/>
      </w:pPr>
      <w:r>
        <w:rPr>
          <w:rFonts w:ascii="Times New Roman" w:cs="Times New Roman" w:eastAsia="Times New Roman" w:hAnsi="Times New Roman"/>
          <w:sz w:val="24"/>
          <w:szCs w:val="24"/>
        </w:rPr>
        <w:t xml:space="preserve">European Institute of Innovation, Entrepreneurship, and Technology</w:t>
      </w:r>
    </w:p>
    <w:p>
      <w:r>
        <w:rPr>
          <w:rFonts w:ascii="Times New Roman" w:cs="Times New Roman" w:eastAsia="Times New Roman" w:hAnsi="Times New Roman"/>
          <w:sz w:val="24"/>
          <w:szCs w:val="24"/>
        </w:rPr>
        <w:t xml:space="preserve"/>
      </w:r>
    </w:p>
    <w:p>
      <w:pPr>
        <w:jc w:val="center"/>
      </w:pPr>
      <w:r>
        <w:rPr>
          <w:rFonts w:ascii="Times New Roman" w:cs="Times New Roman" w:eastAsia="Times New Roman" w:hAnsi="Times New Roman"/>
          <w:sz w:val="24"/>
          <w:szCs w:val="24"/>
        </w:rPr>
        <w:t xml:space="preserve">Submission Date: 1st April 2026</w:t>
      </w:r>
    </w:p>
    <w:p>
      <w:r>
        <w:rPr>
          <w:rFonts w:ascii="Times New Roman" w:cs="Times New Roman" w:eastAsia="Times New Roman" w:hAnsi="Times New Roman"/>
          <w:sz w:val="24"/>
          <w:szCs w:val="24"/>
        </w:rPr>
        <w:t xml:space="preserve"/>
      </w:r>
    </w:p>
    <w:p>
      <w:r>
        <w:rPr>
          <w:rFonts w:ascii="Times New Roman" w:cs="Times New Roman" w:eastAsia="Times New Roman" w:hAnsi="Times New Roman"/>
          <w:sz w:val="24"/>
          <w:szCs w:val="24"/>
        </w:rPr>
        <w:t xml:space="preserve"/>
      </w:r>
    </w:p>
    <w:p>
      <w:r>
        <w:br w:type="page"/>
      </w:r>
    </w:p>
    <w:p>
      <w:pPr>
        <w:pStyle w:val="Heading1"/>
      </w:pPr>
      <w:r>
        <w:rPr>
          <w:rFonts w:ascii="Times New Roman" w:cs="Times New Roman" w:eastAsia="Times New Roman" w:hAnsi="Times New Roman"/>
          <w:b/>
          <w:bCs/>
          <w:color w:val="1E3A8A"/>
          <w:sz w:val="28"/>
          <w:szCs w:val="28"/>
        </w:rPr>
        <w:t xml:space="preserve">Table of Contents</w:t>
      </w:r>
    </w:p>
    <w:p>
      <w:pPr>
        <w:spacing w:line="480"/>
        <w:jc w:val="both"/>
      </w:pPr>
      <w:r>
        <w:rPr>
          <w:rFonts w:ascii="Times New Roman" w:cs="Times New Roman" w:eastAsia="Times New Roman" w:hAnsi="Times New Roman"/>
          <w:sz w:val="24"/>
          <w:szCs w:val="24"/>
        </w:rPr>
        <w:t xml:space="preserve">Abstract .............................................................. 3</w:t>
      </w:r>
    </w:p>
    <w:p>
      <w:pPr>
        <w:spacing w:line="480"/>
        <w:jc w:val="both"/>
      </w:pPr>
      <w:r>
        <w:rPr>
          <w:rFonts w:ascii="Times New Roman" w:cs="Times New Roman" w:eastAsia="Times New Roman" w:hAnsi="Times New Roman"/>
          <w:sz w:val="24"/>
          <w:szCs w:val="24"/>
        </w:rPr>
        <w:t xml:space="preserve">Introduction ........................................................... 3</w:t>
      </w:r>
    </w:p>
    <w:p>
      <w:pPr>
        <w:spacing w:line="480"/>
        <w:jc w:val="both"/>
      </w:pPr>
      <w:r>
        <w:rPr>
          <w:rFonts w:ascii="Times New Roman" w:cs="Times New Roman" w:eastAsia="Times New Roman" w:hAnsi="Times New Roman"/>
          <w:sz w:val="24"/>
          <w:szCs w:val="24"/>
        </w:rPr>
        <w:t xml:space="preserve">Literature Review ...................................................... 4</w:t>
      </w:r>
    </w:p>
    <w:p>
      <w:pPr>
        <w:spacing w:line="480"/>
        <w:jc w:val="both"/>
      </w:pPr>
      <w:r>
        <w:rPr>
          <w:rFonts w:ascii="Times New Roman" w:cs="Times New Roman" w:eastAsia="Times New Roman" w:hAnsi="Times New Roman"/>
          <w:sz w:val="24"/>
          <w:szCs w:val="24"/>
        </w:rPr>
        <w:t xml:space="preserve">Methodology ............................................................ 6</w:t>
      </w:r>
    </w:p>
    <w:p>
      <w:pPr>
        <w:spacing w:line="480"/>
        <w:jc w:val="both"/>
      </w:pPr>
      <w:r>
        <w:rPr>
          <w:rFonts w:ascii="Times New Roman" w:cs="Times New Roman" w:eastAsia="Times New Roman" w:hAnsi="Times New Roman"/>
          <w:sz w:val="24"/>
          <w:szCs w:val="24"/>
        </w:rPr>
        <w:t xml:space="preserve">Findings ............................................................... 7</w:t>
      </w:r>
    </w:p>
    <w:p>
      <w:pPr>
        <w:spacing w:line="480"/>
        <w:jc w:val="both"/>
      </w:pPr>
      <w:r>
        <w:rPr>
          <w:rFonts w:ascii="Times New Roman" w:cs="Times New Roman" w:eastAsia="Times New Roman" w:hAnsi="Times New Roman"/>
          <w:sz w:val="24"/>
          <w:szCs w:val="24"/>
        </w:rPr>
        <w:t xml:space="preserve">Discussion ............................................................. 9</w:t>
      </w:r>
    </w:p>
    <w:p>
      <w:pPr>
        <w:spacing w:line="480"/>
        <w:jc w:val="both"/>
      </w:pPr>
      <w:r>
        <w:rPr>
          <w:rFonts w:ascii="Times New Roman" w:cs="Times New Roman" w:eastAsia="Times New Roman" w:hAnsi="Times New Roman"/>
          <w:sz w:val="24"/>
          <w:szCs w:val="24"/>
        </w:rPr>
        <w:t xml:space="preserve">Conclusion ............................................................ 11</w:t>
      </w:r>
    </w:p>
    <w:p>
      <w:pPr>
        <w:spacing w:line="480"/>
        <w:jc w:val="both"/>
      </w:pPr>
      <w:r>
        <w:rPr>
          <w:rFonts w:ascii="Times New Roman" w:cs="Times New Roman" w:eastAsia="Times New Roman" w:hAnsi="Times New Roman"/>
          <w:sz w:val="24"/>
          <w:szCs w:val="24"/>
        </w:rPr>
        <w:t xml:space="preserve">References ............................................................ 12</w:t>
      </w:r>
    </w:p>
    <w:p>
      <w:pPr>
        <w:spacing w:line="480"/>
        <w:jc w:val="both"/>
      </w:pPr>
      <w:r>
        <w:rPr>
          <w:rFonts w:ascii="Times New Roman" w:cs="Times New Roman" w:eastAsia="Times New Roman" w:hAnsi="Times New Roman"/>
          <w:sz w:val="24"/>
          <w:szCs w:val="24"/>
        </w:rPr>
        <w:t xml:space="preserve">Appendices ............................................................ 13</w:t>
      </w:r>
    </w:p>
    <w:p>
      <w:r>
        <w:br w:type="page"/>
      </w:r>
    </w:p>
    <w:p>
      <w:pPr>
        <w:pStyle w:val="Heading1"/>
      </w:pPr>
      <w:r>
        <w:rPr>
          <w:rFonts w:ascii="Times New Roman" w:cs="Times New Roman" w:eastAsia="Times New Roman" w:hAnsi="Times New Roman"/>
          <w:b/>
          <w:bCs/>
          <w:color w:val="1E3A8A"/>
          <w:sz w:val="28"/>
          <w:szCs w:val="28"/>
        </w:rPr>
        <w:t xml:space="preserve">Abstract</w:t>
      </w:r>
    </w:p>
    <w:p>
      <w:pPr>
        <w:spacing w:line="480"/>
        <w:jc w:val="both"/>
      </w:pPr>
      <w:r>
        <w:rPr>
          <w:rFonts w:ascii="Times New Roman" w:cs="Times New Roman" w:eastAsia="Times New Roman" w:hAnsi="Times New Roman"/>
          <w:sz w:val="24"/>
          <w:szCs w:val="24"/>
        </w:rPr>
        <w:t xml:space="preserve">Financial accounting serves as the backbone of effective management in the hospitality industry. This paper examines how financial accounting and reporting mechanisms are applied within hospitality businesses, with a particular focus on the role of three core financial statements: the Income Statement, the Balance Sheet, and the Cash Flow Statement. Through a review of academic literature and real-world case examples from global hotel chains and restaurant groups, this study demonstrates that these financial reports are indispensable tools for evaluating profitability, managing liquidity, and informing strategic decisions. The paper argues that hospitality managers who leverage these reports effectively are better positioned to navigate economic volatility, manage seasonal demand, control operational costs, and pursue long-term growth. The findings highlight that financial literacy among hospitality leaders directly correlates with stronger financial performance and improved stakeholder confidence. This paper concludes with practical recommendations for integrating financial reporting into daily management practices within the hospitality sector.</w:t>
      </w:r>
    </w:p>
    <w:p>
      <w:pPr>
        <w:spacing w:line="480"/>
        <w:jc w:val="both"/>
      </w:pPr>
      <w:r>
        <w:rPr>
          <w:rFonts w:ascii="Times New Roman" w:cs="Times New Roman" w:eastAsia="Times New Roman" w:hAnsi="Times New Roman"/>
          <w:sz w:val="24"/>
          <w:szCs w:val="24"/>
        </w:rPr>
        <w:t xml:space="preserve">Keywords: Financial Accounting, Hospitality Industry, Income Statement, Balance Sheet, Cash Flow Statement, Profitability, Liquidity, Decision-Making.</w:t>
      </w:r>
    </w:p>
    <w:p>
      <w:r>
        <w:br w:type="page"/>
      </w:r>
    </w:p>
    <w:p>
      <w:pPr>
        <w:pStyle w:val="Heading1"/>
      </w:pPr>
      <w:r>
        <w:rPr>
          <w:rFonts w:ascii="Times New Roman" w:cs="Times New Roman" w:eastAsia="Times New Roman" w:hAnsi="Times New Roman"/>
          <w:b/>
          <w:bCs/>
          <w:color w:val="1E3A8A"/>
          <w:sz w:val="28"/>
          <w:szCs w:val="28"/>
        </w:rPr>
        <w:t xml:space="preserve">Introduction</w:t>
      </w:r>
    </w:p>
    <w:p>
      <w:pPr>
        <w:spacing w:line="480"/>
        <w:jc w:val="both"/>
      </w:pPr>
      <w:r>
        <w:rPr>
          <w:rFonts w:ascii="Times New Roman" w:cs="Times New Roman" w:eastAsia="Times New Roman" w:hAnsi="Times New Roman"/>
          <w:sz w:val="24"/>
          <w:szCs w:val="24"/>
        </w:rPr>
        <w:t xml:space="preserve">The hospitality industry is one of the most dynamic and complex sectors of the global economy. Hotels, restaurants, resorts, airlines, and event management companies all operate within an environment characterised by fluctuating demand, intense competition, thin profit margins, and significant fixed costs. In such a challenging environment, the ability to accurately record, interpret, and act upon financial information is not merely an administrative requirement but a critical strategic capability.</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Financial accounting, defined as the systematic recording, summarising, and reporting of financial transactions to produce statements that reflect an organisation's financial performance and position, plays a pivotal role in helping hospitality managers understand where money is coming from, where it is going, and what it means for the business's future. According to Atkinson et al. (2012), financial reporting provides managers with a structured lens through which operational performance can be assessed, risks identified, and strategic plans aligned with financial realities.</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This paper focuses on three principal financial statements that form the foundation of financial accounting: the Income Statement, the Balance Sheet, and the Cash Flow Statement. Each of these documents serves a distinct but interconnected purpose, and together they provide a comprehensive picture of a hospitality firm's financial health. Through a critical analysis of their structure, function, and practical application within the hospitality context, this assignment demonstrates why financial accounting is indispensable to effective management in this sector.</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The paper is structured as follows: a literature review that traces theoretical frameworks and prior research; a methodology section explaining the research approach; a findings section presenting key evidence; a discussion section offering critical analysis; and a conclusion with recommendations.</w:t>
      </w:r>
    </w:p>
    <w:p>
      <w:r>
        <w:br w:type="page"/>
      </w:r>
    </w:p>
    <w:p>
      <w:pPr>
        <w:pStyle w:val="Heading1"/>
      </w:pPr>
      <w:r>
        <w:rPr>
          <w:rFonts w:ascii="Times New Roman" w:cs="Times New Roman" w:eastAsia="Times New Roman" w:hAnsi="Times New Roman"/>
          <w:b/>
          <w:bCs/>
          <w:color w:val="1E3A8A"/>
          <w:sz w:val="28"/>
          <w:szCs w:val="28"/>
        </w:rPr>
        <w:t xml:space="preserve">Literature Review</w:t>
      </w:r>
    </w:p>
    <w:p>
      <w:pPr>
        <w:pStyle w:val="Heading2"/>
      </w:pPr>
      <w:r>
        <w:rPr>
          <w:rFonts w:ascii="Times New Roman" w:cs="Times New Roman" w:eastAsia="Times New Roman" w:hAnsi="Times New Roman"/>
          <w:b/>
          <w:bCs/>
          <w:color w:val="1E3A8A"/>
          <w:sz w:val="26"/>
          <w:szCs w:val="26"/>
        </w:rPr>
        <w:t xml:space="preserve">2.1 The Role of Financial Accounting in Business Management</w:t>
      </w:r>
    </w:p>
    <w:p>
      <w:pPr>
        <w:spacing w:line="480"/>
        <w:jc w:val="both"/>
      </w:pPr>
      <w:r>
        <w:rPr>
          <w:rFonts w:ascii="Times New Roman" w:cs="Times New Roman" w:eastAsia="Times New Roman" w:hAnsi="Times New Roman"/>
          <w:sz w:val="24"/>
          <w:szCs w:val="24"/>
        </w:rPr>
        <w:t xml:space="preserve">Financial accounting has long been recognised as a cornerstone of organisational management. Kieso, Weygandt, and Warfield (2020) describe financial accounting as a service activity whose function is to provide quantitative information, primarily financial in nature, about economic entities that is intended to be useful in making economic decisions. In a business context, this translates to providing stakeholders such as owners, investors, lenders, and managers with reliable information to guide decision-making.</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In the hospitality sector specifically, researchers have noted that financial literacy among managers is closely tied to operational success. Dalbor and Andrew (2000) found that hotel managers who demonstrated a strong understanding of financial statements were significantly more effective at identifying cost inefficiencies and responding to financial challenges. Harris and Mongiello (2012) further argued that financial performance measurement in the hospitality industry requires a nuanced understanding of both industry-specific metrics and standard accounting principles.</w:t>
      </w:r>
    </w:p>
    <w:p>
      <w:r>
        <w:rPr>
          <w:rFonts w:ascii="Times New Roman" w:cs="Times New Roman" w:eastAsia="Times New Roman" w:hAnsi="Times New Roman"/>
          <w:sz w:val="24"/>
          <w:szCs w:val="24"/>
        </w:rPr>
        <w:t xml:space="preserve"/>
      </w:r>
    </w:p>
    <w:p>
      <w:pPr>
        <w:pStyle w:val="Heading2"/>
      </w:pPr>
      <w:r>
        <w:rPr>
          <w:rFonts w:ascii="Times New Roman" w:cs="Times New Roman" w:eastAsia="Times New Roman" w:hAnsi="Times New Roman"/>
          <w:b/>
          <w:bCs/>
          <w:color w:val="1E3A8A"/>
          <w:sz w:val="26"/>
          <w:szCs w:val="26"/>
        </w:rPr>
        <w:t xml:space="preserve">2.2 Income Statement: Measuring Profitability</w:t>
      </w:r>
    </w:p>
    <w:p>
      <w:pPr>
        <w:spacing w:line="480"/>
        <w:jc w:val="both"/>
      </w:pPr>
      <w:r>
        <w:rPr>
          <w:rFonts w:ascii="Times New Roman" w:cs="Times New Roman" w:eastAsia="Times New Roman" w:hAnsi="Times New Roman"/>
          <w:sz w:val="24"/>
          <w:szCs w:val="24"/>
        </w:rPr>
        <w:t xml:space="preserve">The Income Statement, also known as the Profit and Loss Statement, is perhaps the most immediately intuitive of the three core financial statements. It records revenues and expenses over a defined period and calculates net income or loss. Zimmerman (2014) notes that for hospitality businesses, the income statement is particularly vital because revenue in this sector is inherently volatile, subject to seasonal fluctuations, special events, and shifting consumer preferences.</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The Uniform System of Accounts for the Lodging Industry (USALI), a widely adopted framework in the hotel sector, provides a standardised approach to preparing income statements for hotels. Under this system, revenues are categorised by department (rooms, food and beverage, spa, etc.), and departmental expenses are directly matched against those revenues, enabling management to evaluate the profitability of individual revenue centres. Schmidgall (2018) emphasises that departmental income analysis, made possible by well-structured income statements, is one of the most powerful tools available to hotel managers for identifying underperforming segments and reallocating resources accordingly.</w:t>
      </w:r>
    </w:p>
    <w:p>
      <w:r>
        <w:rPr>
          <w:rFonts w:ascii="Times New Roman" w:cs="Times New Roman" w:eastAsia="Times New Roman" w:hAnsi="Times New Roman"/>
          <w:sz w:val="24"/>
          <w:szCs w:val="24"/>
        </w:rPr>
        <w:t xml:space="preserve"/>
      </w:r>
    </w:p>
    <w:p>
      <w:pPr>
        <w:pStyle w:val="Heading2"/>
      </w:pPr>
      <w:r>
        <w:rPr>
          <w:rFonts w:ascii="Times New Roman" w:cs="Times New Roman" w:eastAsia="Times New Roman" w:hAnsi="Times New Roman"/>
          <w:b/>
          <w:bCs/>
          <w:color w:val="1E3A8A"/>
          <w:sz w:val="26"/>
          <w:szCs w:val="26"/>
        </w:rPr>
        <w:t xml:space="preserve">2.3 Balance Sheet: Assessing Financial Position</w:t>
      </w:r>
    </w:p>
    <w:p>
      <w:pPr>
        <w:spacing w:line="480"/>
        <w:jc w:val="both"/>
      </w:pPr>
      <w:r>
        <w:rPr>
          <w:rFonts w:ascii="Times New Roman" w:cs="Times New Roman" w:eastAsia="Times New Roman" w:hAnsi="Times New Roman"/>
          <w:sz w:val="24"/>
          <w:szCs w:val="24"/>
        </w:rPr>
        <w:t xml:space="preserve">The Balance Sheet, or Statement of Financial Position, presents a snapshot of a company's assets, liabilities, and equity at a specific point in time. For hospitality businesses, which typically carry significant fixed assets such as property, equipment, and furniture, understanding the balance sheet is essential for assessing financial stability and investment capacity.</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Hales (2005) observed that the capital-intensive nature of the hospitality industry means that balance sheet management is particularly challenging. Hotels must balance heavy investment in physical assets against the need to maintain liquidity for day-to-day operations. Mortgage loans, long-term leases, and equipment financing create substantial long-term liabilities that must be carefully managed to avoid liquidity crises. Ratio analysis derived from the balance sheet, such as the current ratio and the debt-to-equity ratio, provides management with key indicators of financial health.</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Additionally, Jagels and Coltman (2004) highlighted that in the context of hotel acquisitions and development projects, balance sheet analysis is fundamental to due diligence processes. Investors and lenders rely heavily on balance sheet data to assess the risk profile of hospitality assets before committing capital.</w:t>
      </w:r>
    </w:p>
    <w:p>
      <w:r>
        <w:rPr>
          <w:rFonts w:ascii="Times New Roman" w:cs="Times New Roman" w:eastAsia="Times New Roman" w:hAnsi="Times New Roman"/>
          <w:sz w:val="24"/>
          <w:szCs w:val="24"/>
        </w:rPr>
        <w:t xml:space="preserve"/>
      </w:r>
    </w:p>
    <w:p>
      <w:pPr>
        <w:pStyle w:val="Heading2"/>
      </w:pPr>
      <w:r>
        <w:rPr>
          <w:rFonts w:ascii="Times New Roman" w:cs="Times New Roman" w:eastAsia="Times New Roman" w:hAnsi="Times New Roman"/>
          <w:b/>
          <w:bCs/>
          <w:color w:val="1E3A8A"/>
          <w:sz w:val="26"/>
          <w:szCs w:val="26"/>
        </w:rPr>
        <w:t xml:space="preserve">2.4 Cash Flow Statement: Managing Liquidity</w:t>
      </w:r>
    </w:p>
    <w:p>
      <w:pPr>
        <w:spacing w:line="480"/>
        <w:jc w:val="both"/>
      </w:pPr>
      <w:r>
        <w:rPr>
          <w:rFonts w:ascii="Times New Roman" w:cs="Times New Roman" w:eastAsia="Times New Roman" w:hAnsi="Times New Roman"/>
          <w:sz w:val="24"/>
          <w:szCs w:val="24"/>
        </w:rPr>
        <w:t xml:space="preserve">The Cash Flow Statement tracks the actual inflows and outflows of cash within a business, categorised into operating, investing, and financing activities. Unlike the Income Statement, which may include non-cash items such as depreciation and amortisation, the Cash Flow Statement provides a clear picture of a company's ability to generate and utilise cash. Drury (2012) underscores that for businesses in the hospitality industry, where revenues can be highly seasonal and working capital requirements can fluctuate dramatically, cash flow management is a matter of survival rather than merely good practice.</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Burgess (2007) conducted a study of small and medium-sized hotels in the UK and found that cash flow mismanagement was one of the leading causes of business failure in the sector. Many hospitality operators, particularly smaller independent properties, struggled to bridge the gap between high-season revenues and low-season expenses. This research reinforces the critical importance of not only preparing accurate cash flow statements but also using them proactively to anticipate cash shortfalls and arrange financing accordingly.</w:t>
      </w:r>
    </w:p>
    <w:p>
      <w:r>
        <w:rPr>
          <w:rFonts w:ascii="Times New Roman" w:cs="Times New Roman" w:eastAsia="Times New Roman" w:hAnsi="Times New Roman"/>
          <w:sz w:val="24"/>
          <w:szCs w:val="24"/>
        </w:rPr>
        <w:t xml:space="preserve"/>
      </w:r>
    </w:p>
    <w:p>
      <w:pPr>
        <w:pStyle w:val="Heading2"/>
      </w:pPr>
      <w:r>
        <w:rPr>
          <w:rFonts w:ascii="Times New Roman" w:cs="Times New Roman" w:eastAsia="Times New Roman" w:hAnsi="Times New Roman"/>
          <w:b/>
          <w:bCs/>
          <w:color w:val="1E3A8A"/>
          <w:sz w:val="26"/>
          <w:szCs w:val="26"/>
        </w:rPr>
        <w:t xml:space="preserve">2.5 Integration of Financial Reporting and Strategic Decision-Making</w:t>
      </w:r>
    </w:p>
    <w:p>
      <w:pPr>
        <w:spacing w:line="480"/>
        <w:jc w:val="both"/>
      </w:pPr>
      <w:r>
        <w:rPr>
          <w:rFonts w:ascii="Times New Roman" w:cs="Times New Roman" w:eastAsia="Times New Roman" w:hAnsi="Times New Roman"/>
          <w:sz w:val="24"/>
          <w:szCs w:val="24"/>
        </w:rPr>
        <w:t xml:space="preserve">Recent scholarship has increasingly recognised that financial statements are most valuable not as historical records but as forward-looking management tools. Warren, Reeve, and Duchac (2018) argue that the true value of financial reporting lies in its capacity to inform strategic decisions, from pricing and capacity management to capital investment and market expansion. In the hospitality industry, where strategic agility is paramount, the ability to quickly interpret and act on financial data can provide a decisive competitive advantage.</w:t>
      </w:r>
    </w:p>
    <w:p>
      <w:r>
        <w:br w:type="page"/>
      </w:r>
    </w:p>
    <w:p>
      <w:pPr>
        <w:pStyle w:val="Heading1"/>
      </w:pPr>
      <w:r>
        <w:rPr>
          <w:rFonts w:ascii="Times New Roman" w:cs="Times New Roman" w:eastAsia="Times New Roman" w:hAnsi="Times New Roman"/>
          <w:b/>
          <w:bCs/>
          <w:color w:val="1E3A8A"/>
          <w:sz w:val="28"/>
          <w:szCs w:val="28"/>
        </w:rPr>
        <w:t xml:space="preserve">Methodology</w:t>
      </w:r>
    </w:p>
    <w:p>
      <w:pPr>
        <w:spacing w:line="480"/>
        <w:jc w:val="both"/>
      </w:pPr>
      <w:r>
        <w:rPr>
          <w:rFonts w:ascii="Times New Roman" w:cs="Times New Roman" w:eastAsia="Times New Roman" w:hAnsi="Times New Roman"/>
          <w:sz w:val="24"/>
          <w:szCs w:val="24"/>
        </w:rPr>
        <w:t xml:space="preserve">This study employs a qualitative, secondary research methodology. Rather than conducting primary fieldwork such as surveys or interviews, this paper draws upon a broad range of secondary sources including academic textbooks, peer-reviewed journal articles, industry reports, and case studies published by recognised hospitality organisations and business schools. This approach is consistent with the exploratory and analytical nature of the research question, which seeks to understand and critically evaluate existing knowledge rather than generate new empirical data.</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The research process involved a systematic review of literature published between 2000 and 2024, sourced from databases including JSTOR, Google Scholar, and the Hospitality &amp; Tourism Complete database. Search terms included financial accounting, hospitality financial management, hotel profitability, liquidity management, income statement, balance sheet, and cash flow statement. Sources were selected based on their relevance to the hospitality industry context, the credibility of their authors and publishers, and the recency of their publication.</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In addition to academic sources, this paper incorporates publicly available financial data and case studies from major hospitality companies, including Marriott International, Hilton Worldwide, and McDonald's Corporation. These real-world examples are used to illustrate theoretical concepts and demonstrate how financial accounting principles operate in practice within large-scale hospitality enterprises.</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The analysis takes a thematic approach, organising findings and discussion around the three core financial statements and their specific applications in the hospitality context. This structure allows for a systematic examination of each financial tool while maintaining a coherent narrative that connects theory to practice. The limitations of this methodology include the reliance on publicly available data, which may not fully reflect the internal financial management practices of private or smaller hospitality firms. Nonetheless, the breadth and quality of secondary sources consulted provide a robust evidence base for the paper's conclusions.</w:t>
      </w:r>
    </w:p>
    <w:p>
      <w:r>
        <w:br w:type="page"/>
      </w:r>
    </w:p>
    <w:p>
      <w:pPr>
        <w:pStyle w:val="Heading1"/>
      </w:pPr>
      <w:r>
        <w:rPr>
          <w:rFonts w:ascii="Times New Roman" w:cs="Times New Roman" w:eastAsia="Times New Roman" w:hAnsi="Times New Roman"/>
          <w:b/>
          <w:bCs/>
          <w:color w:val="1E3A8A"/>
          <w:sz w:val="28"/>
          <w:szCs w:val="28"/>
        </w:rPr>
        <w:t xml:space="preserve">Findings</w:t>
      </w:r>
    </w:p>
    <w:p>
      <w:pPr>
        <w:pStyle w:val="Heading2"/>
      </w:pPr>
      <w:r>
        <w:rPr>
          <w:rFonts w:ascii="Times New Roman" w:cs="Times New Roman" w:eastAsia="Times New Roman" w:hAnsi="Times New Roman"/>
          <w:b/>
          <w:bCs/>
          <w:color w:val="1E3A8A"/>
          <w:sz w:val="26"/>
          <w:szCs w:val="26"/>
        </w:rPr>
        <w:t xml:space="preserve">4.1 The Income Statement in Practice: Profitability Analysis</w:t>
      </w:r>
    </w:p>
    <w:p>
      <w:pPr>
        <w:spacing w:line="480"/>
        <w:jc w:val="both"/>
      </w:pPr>
      <w:r>
        <w:rPr>
          <w:rFonts w:ascii="Times New Roman" w:cs="Times New Roman" w:eastAsia="Times New Roman" w:hAnsi="Times New Roman"/>
          <w:sz w:val="24"/>
          <w:szCs w:val="24"/>
        </w:rPr>
        <w:t xml:space="preserve">Analysis of publicly available financial reports from major hospitality companies reveals that the income statement is used not only to report results but to actively manage revenue and cost structures. Marriott International's annual reports, for instance, break revenue down across multiple categories including rooms, food and beverage, and management fees. This granular reporting enables company leadership to identify which business segments are delivering strong margins and which require intervention.</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For a mid-scale hotel, a simplified Income Statement might reveal the following structure: Total Revenue from Rooms = £2,500,000; Total Revenue from Food and Beverage = £800,000; Total Operating Expenses = £2,400,000; Gross Operating Profit = £900,000; Net Income after Interest and Tax = £350,000. Such a statement immediately highlights that the rooms division is the primary profit driver, with food and beverage contributing positively but at a lower margin. A management team reviewing this data might decide to invest further in marketing for room bookings, renegotiate food supplier contracts, or consider outsourcing restaurant operations to a specialist operator.</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Seasonal income variations are also clearly visible in income statements. During peak seasons, revenues rise sharply, but so too do variable costs such as staffing and utilities. During off-peak periods, the challenge shifts to covering fixed costs such as rent, depreciation, and salaried staff with reduced revenue. Hospitality managers use comparative income statements, tracking month-on-month and year-on-year performance, to plan staffing levels, promotional campaigns, and cost reduction initiatives.</w:t>
      </w:r>
    </w:p>
    <w:p>
      <w:r>
        <w:rPr>
          <w:rFonts w:ascii="Times New Roman" w:cs="Times New Roman" w:eastAsia="Times New Roman" w:hAnsi="Times New Roman"/>
          <w:sz w:val="24"/>
          <w:szCs w:val="24"/>
        </w:rPr>
        <w:t xml:space="preserve"/>
      </w:r>
    </w:p>
    <w:p>
      <w:pPr>
        <w:pStyle w:val="Heading2"/>
      </w:pPr>
      <w:r>
        <w:rPr>
          <w:rFonts w:ascii="Times New Roman" w:cs="Times New Roman" w:eastAsia="Times New Roman" w:hAnsi="Times New Roman"/>
          <w:b/>
          <w:bCs/>
          <w:color w:val="1E3A8A"/>
          <w:sz w:val="26"/>
          <w:szCs w:val="26"/>
        </w:rPr>
        <w:t xml:space="preserve">4.2 The Balance Sheet in Practice: Financial Stability and Investment</w:t>
      </w:r>
    </w:p>
    <w:p>
      <w:pPr>
        <w:spacing w:line="480"/>
        <w:jc w:val="both"/>
      </w:pPr>
      <w:r>
        <w:rPr>
          <w:rFonts w:ascii="Times New Roman" w:cs="Times New Roman" w:eastAsia="Times New Roman" w:hAnsi="Times New Roman"/>
          <w:sz w:val="24"/>
          <w:szCs w:val="24"/>
        </w:rPr>
        <w:t xml:space="preserve">For large hotel chains such as Hilton Worldwide, the balance sheet is an instrument for managing a complex portfolio of owned, leased, and managed properties. Hilton's balance sheet typically shows significant intangible assets in the form of brand value and management contracts, alongside substantial property and equipment. On the liabilities side, long-term debt from property financing dominates, while current liabilities include accounts payable and accrued expenses.</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Ratio analysis derived from the balance sheet provides actionable insights. The current ratio, calculated by dividing current assets by current liabilities, indicates whether a business can meet its short-term obligations. For a hospitality firm, maintaining a current ratio above 1.0 is essential to avoid liquidity stress. The debt-to-equity ratio measures the extent to which a company is financing its operations through debt versus shareholder equity, a particularly important metric in the capital-intensive hotel and resort sector.</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For example, during the COVID-19 pandemic, balance sheet analysis became critically important for hospitality companies worldwide. Firms with strong balance sheets, characterised by low debt levels and high cash reserves, were able to weather the storm and even pursue strategic acquisitions of distressed assets. Conversely, highly leveraged hotel operators faced existential threats as revenues collapsed. This real-world example underscores the balance sheet's role not just as a historical record but as a risk management tool.</w:t>
      </w:r>
    </w:p>
    <w:p>
      <w:r>
        <w:rPr>
          <w:rFonts w:ascii="Times New Roman" w:cs="Times New Roman" w:eastAsia="Times New Roman" w:hAnsi="Times New Roman"/>
          <w:sz w:val="24"/>
          <w:szCs w:val="24"/>
        </w:rPr>
        <w:t xml:space="preserve"/>
      </w:r>
    </w:p>
    <w:p>
      <w:pPr>
        <w:pStyle w:val="Heading2"/>
      </w:pPr>
      <w:r>
        <w:rPr>
          <w:rFonts w:ascii="Times New Roman" w:cs="Times New Roman" w:eastAsia="Times New Roman" w:hAnsi="Times New Roman"/>
          <w:b/>
          <w:bCs/>
          <w:color w:val="1E3A8A"/>
          <w:sz w:val="26"/>
          <w:szCs w:val="26"/>
        </w:rPr>
        <w:t xml:space="preserve">4.3 The Cash Flow Statement in Practice: Liquidity Management</w:t>
      </w:r>
    </w:p>
    <w:p>
      <w:pPr>
        <w:spacing w:line="480"/>
        <w:jc w:val="both"/>
      </w:pPr>
      <w:r>
        <w:rPr>
          <w:rFonts w:ascii="Times New Roman" w:cs="Times New Roman" w:eastAsia="Times New Roman" w:hAnsi="Times New Roman"/>
          <w:sz w:val="24"/>
          <w:szCs w:val="24"/>
        </w:rPr>
        <w:t xml:space="preserve">The Cash Flow Statement's three sections capture distinct dimensions of cash movement within a hospitality business. Operating cash flows reflect the cash generated by core business activities such as selling rooms and food. Investing cash flows capture expenditure on property acquisition and renovation. Financing cash flows record loan receipts and repayments, dividend payments, and equity issuances.</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For a seasonal resort in the United Kingdom, the pattern of cash flows across the year might show strong positive operating cash flows during summer months (June to August), followed by near-zero or negative operating cash flows during winter (November to February). Investment activities might be concentrated in the off-peak season when renovations can take place without disrupting guests. Financing activities might include drawdowns on revolving credit facilities during cash-tight periods, repaid when summer revenues arrive.</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Managers use this information to prepare rolling 13-week cash flow forecasts, a practice highlighted in the Chartered Institute of Management Accountants (CIMA) guidance on hospitality financial management. By projecting cash flows forward, managers can identify potential liquidity gaps well in advance and arrange bridging finance, negotiate extended payment terms with suppliers, or adjust marketing spend to stimulate demand during slow periods.</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McDonald's Corporation, though primarily a fast-food company, provides another instructive example. Its annual cash flow statements consistently demonstrate strong positive operating cash flows, which the company uses to fund substantial share buyback programmes and dividend payments while investing in technology and restaurant refurbishment. This strategic deployment of cash, made visible through the cash flow statement, is a key driver of McDonald's sustained shareholder value creation.</w:t>
      </w:r>
    </w:p>
    <w:p>
      <w:r>
        <w:br w:type="page"/>
      </w:r>
    </w:p>
    <w:p>
      <w:pPr>
        <w:pStyle w:val="Heading1"/>
      </w:pPr>
      <w:r>
        <w:rPr>
          <w:rFonts w:ascii="Times New Roman" w:cs="Times New Roman" w:eastAsia="Times New Roman" w:hAnsi="Times New Roman"/>
          <w:b/>
          <w:bCs/>
          <w:color w:val="1E3A8A"/>
          <w:sz w:val="28"/>
          <w:szCs w:val="28"/>
        </w:rPr>
        <w:t xml:space="preserve">Discussion</w:t>
      </w:r>
    </w:p>
    <w:p>
      <w:pPr>
        <w:pStyle w:val="Heading2"/>
      </w:pPr>
      <w:r>
        <w:rPr>
          <w:rFonts w:ascii="Times New Roman" w:cs="Times New Roman" w:eastAsia="Times New Roman" w:hAnsi="Times New Roman"/>
          <w:b/>
          <w:bCs/>
          <w:color w:val="1E3A8A"/>
          <w:sz w:val="26"/>
          <w:szCs w:val="26"/>
        </w:rPr>
        <w:t xml:space="preserve">5.1 Profitability Management through Income Statement Analysis</w:t>
      </w:r>
    </w:p>
    <w:p>
      <w:pPr>
        <w:spacing w:line="480"/>
        <w:jc w:val="both"/>
      </w:pPr>
      <w:r>
        <w:rPr>
          <w:rFonts w:ascii="Times New Roman" w:cs="Times New Roman" w:eastAsia="Times New Roman" w:hAnsi="Times New Roman"/>
          <w:sz w:val="24"/>
          <w:szCs w:val="24"/>
        </w:rPr>
        <w:t xml:space="preserve">The findings confirm that the Income Statement is the most operationally immediate of the three financial statements for hospitality managers. It provides the clearest picture of whether the business is generating returns and where those returns are being eroded by costs. However, a critical perspective is warranted here. The Income Statement, on its own, can present a misleading picture of financial health if not considered alongside the other two statements.</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For example, a hotel may report a healthy net profit on its income statement while simultaneously experiencing severe cash flow difficulties if a large portion of its revenues is from credit sales or if accounts receivable collection is slow. Similarly, a hotel that aggressively cuts costs to improve its income statement results may be undermining its long-term asset quality if maintenance expenditure is deferred. This reinforces the argument of Warren et al. (2018) that financial statements must be interpreted holistically.</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From a critical standpoint, it is also important to recognise the limitations of income-based metrics in the hospitality context. Revenue Per Available Room (RevPAR), a KPI widely used in the hotel industry, is a more nuanced measure of revenue performance than total revenue figures on an income statement because it accounts for both occupancy and pricing. Similarly, Average Daily Rate (ADR) and Gross Operating Profit per Available Room (GOPPAR) are metrics that provide deeper insight into operational efficiency than the income statement alone. Effective hospitality managers use the income statement as a foundation but supplement it with these industry-specific metrics for a richer analytical picture.</w:t>
      </w:r>
    </w:p>
    <w:p>
      <w:r>
        <w:rPr>
          <w:rFonts w:ascii="Times New Roman" w:cs="Times New Roman" w:eastAsia="Times New Roman" w:hAnsi="Times New Roman"/>
          <w:sz w:val="24"/>
          <w:szCs w:val="24"/>
        </w:rPr>
        <w:t xml:space="preserve"/>
      </w:r>
    </w:p>
    <w:p>
      <w:pPr>
        <w:pStyle w:val="Heading2"/>
      </w:pPr>
      <w:r>
        <w:rPr>
          <w:rFonts w:ascii="Times New Roman" w:cs="Times New Roman" w:eastAsia="Times New Roman" w:hAnsi="Times New Roman"/>
          <w:b/>
          <w:bCs/>
          <w:color w:val="1E3A8A"/>
          <w:sz w:val="26"/>
          <w:szCs w:val="26"/>
        </w:rPr>
        <w:t xml:space="preserve">5.2 Financial Stability and the Balance Sheet</w:t>
      </w:r>
    </w:p>
    <w:p>
      <w:pPr>
        <w:spacing w:line="480"/>
        <w:jc w:val="both"/>
      </w:pPr>
      <w:r>
        <w:rPr>
          <w:rFonts w:ascii="Times New Roman" w:cs="Times New Roman" w:eastAsia="Times New Roman" w:hAnsi="Times New Roman"/>
          <w:sz w:val="24"/>
          <w:szCs w:val="24"/>
        </w:rPr>
        <w:t xml:space="preserve">The balance sheet's role in hospitality goes beyond mere compliance or reporting. It is a fundamental tool for strategic planning and risk management. The findings from Hilton's case and the COVID-19 pandemic example illustrate that balance sheet strength is a key determinant of resilience during economic downturns.</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A critical issue in the hospitality industry is the accounting treatment of long-term leases. Following the adoption of IFRS 16 (Leases) and ASC 842 in international and US accounting frameworks respectively, hospitality companies are now required to recognise most operating leases on the balance sheet as both assets (right-of-use assets) and liabilities. This change has significantly altered the balance sheets of restaurant groups and hotel companies that lease rather than own their properties, making debt levels appear higher and requiring greater management attention to lease obligations.</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This is a relevant example of how changes in accounting standards directly affect how financial performance is perceived by investors and lenders. Managers in the hospitality industry must therefore not only understand the content of the balance sheet but also stay abreast of evolving accounting standards that shape how that content is presented.</w:t>
      </w:r>
    </w:p>
    <w:p>
      <w:r>
        <w:rPr>
          <w:rFonts w:ascii="Times New Roman" w:cs="Times New Roman" w:eastAsia="Times New Roman" w:hAnsi="Times New Roman"/>
          <w:sz w:val="24"/>
          <w:szCs w:val="24"/>
        </w:rPr>
        <w:t xml:space="preserve"/>
      </w:r>
    </w:p>
    <w:p>
      <w:pPr>
        <w:pStyle w:val="Heading2"/>
      </w:pPr>
      <w:r>
        <w:rPr>
          <w:rFonts w:ascii="Times New Roman" w:cs="Times New Roman" w:eastAsia="Times New Roman" w:hAnsi="Times New Roman"/>
          <w:b/>
          <w:bCs/>
          <w:color w:val="1E3A8A"/>
          <w:sz w:val="26"/>
          <w:szCs w:val="26"/>
        </w:rPr>
        <w:t xml:space="preserve">5.3 Cash Flow Management as a Survival Tool</w:t>
      </w:r>
    </w:p>
    <w:p>
      <w:pPr>
        <w:spacing w:line="480"/>
        <w:jc w:val="both"/>
      </w:pPr>
      <w:r>
        <w:rPr>
          <w:rFonts w:ascii="Times New Roman" w:cs="Times New Roman" w:eastAsia="Times New Roman" w:hAnsi="Times New Roman"/>
          <w:sz w:val="24"/>
          <w:szCs w:val="24"/>
        </w:rPr>
        <w:t xml:space="preserve">The findings strongly support the view that cash flow management is perhaps the most operationally critical financial discipline in the hospitality industry. The seasonal nature of demand, the high proportion of fixed costs, and the need for ongoing capital investment create a perfect storm of cash flow challenges for hospitality operators.</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One of the most valuable applications of the Cash Flow Statement in hospitality is in the context of working capital management. Working capital, defined as current assets minus current liabilities, represents the short-term liquidity cushion available to meet operational needs. For hospitality businesses, effective working capital management means ensuring that cash is available to pay staff, purchase supplies, and service debt even during low-revenue periods.</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An interesting strategic insight emerging from the analysis is that hospitality companies with strong cash flow generation capacity are better positioned to invest in technology and innovation. Companies like Marriott and Hilton have invested heavily in digital platforms, loyalty programmes, and property improvements, funded largely through strong operating cash flows. This investment not only enhances the guest experience but also drives revenue growth and cost efficiencies, creating a virtuous cycle of cash flow generation.</w:t>
      </w:r>
    </w:p>
    <w:p>
      <w:r>
        <w:rPr>
          <w:rFonts w:ascii="Times New Roman" w:cs="Times New Roman" w:eastAsia="Times New Roman" w:hAnsi="Times New Roman"/>
          <w:sz w:val="24"/>
          <w:szCs w:val="24"/>
        </w:rPr>
        <w:t xml:space="preserve"/>
      </w:r>
    </w:p>
    <w:p>
      <w:pPr>
        <w:pStyle w:val="Heading2"/>
      </w:pPr>
      <w:r>
        <w:rPr>
          <w:rFonts w:ascii="Times New Roman" w:cs="Times New Roman" w:eastAsia="Times New Roman" w:hAnsi="Times New Roman"/>
          <w:b/>
          <w:bCs/>
          <w:color w:val="1E3A8A"/>
          <w:sz w:val="26"/>
          <w:szCs w:val="26"/>
        </w:rPr>
        <w:t xml:space="preserve">5.4 Integrating Financial Reporting into Strategic Decision-Making</w:t>
      </w:r>
    </w:p>
    <w:p>
      <w:pPr>
        <w:spacing w:line="480"/>
        <w:jc w:val="both"/>
      </w:pPr>
      <w:r>
        <w:rPr>
          <w:rFonts w:ascii="Times New Roman" w:cs="Times New Roman" w:eastAsia="Times New Roman" w:hAnsi="Times New Roman"/>
          <w:sz w:val="24"/>
          <w:szCs w:val="24"/>
        </w:rPr>
        <w:t xml:space="preserve">Beyond their individual functions, the three financial statements work together to provide a comprehensive framework for strategic decision-making. Consider a scenario where a hotel chain is evaluating the feasibility of opening a new property in a new market. The income statement projections would model expected revenues and costs, providing an estimate of future profitability. The balance sheet analysis would assess the capital required and the impact on the company's financial position. The cash flow projections would determine whether the investment can be funded from existing cash flows or whether external financing will be required.</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This integrated approach to financial analysis is consistent with the Capital Budgeting framework described by Horngren et al. (2015), which requires that investment decisions be evaluated on the basis of projected cash flows discounted to present value. In the hospitality context, this might involve calculating the Net Present Value (NPV) of a proposed hotel development, using cash flow projections derived from historical income statement data and balance sheet information about asset lives and depreciation.</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Furthermore, financial statements play a critical role in stakeholder communication. Investors, lenders, and franchise partners all rely on audited financial statements to assess the credibility and financial health of hospitality companies. A well-prepared and transparent set of financial statements enhances stakeholder confidence and can improve access to capital on favourable terms. This is particularly important for independent hospitality operators seeking to expand their businesses or weather financial challenges.</w:t>
      </w:r>
    </w:p>
    <w:p>
      <w:r>
        <w:br w:type="page"/>
      </w:r>
    </w:p>
    <w:p>
      <w:pPr>
        <w:pStyle w:val="Heading1"/>
      </w:pPr>
      <w:r>
        <w:rPr>
          <w:rFonts w:ascii="Times New Roman" w:cs="Times New Roman" w:eastAsia="Times New Roman" w:hAnsi="Times New Roman"/>
          <w:b/>
          <w:bCs/>
          <w:color w:val="1E3A8A"/>
          <w:sz w:val="28"/>
          <w:szCs w:val="28"/>
        </w:rPr>
        <w:t xml:space="preserve">Conclusion</w:t>
      </w:r>
    </w:p>
    <w:p>
      <w:pPr>
        <w:spacing w:line="480"/>
        <w:jc w:val="both"/>
      </w:pPr>
      <w:r>
        <w:rPr>
          <w:rFonts w:ascii="Times New Roman" w:cs="Times New Roman" w:eastAsia="Times New Roman" w:hAnsi="Times New Roman"/>
          <w:sz w:val="24"/>
          <w:szCs w:val="24"/>
        </w:rPr>
        <w:t xml:space="preserve">This paper has demonstrated that financial accounting plays a critical and multifaceted role in the management of hospitality businesses. Through an examination of the Income Statement, Balance Sheet, and Cash Flow Statement, and their applications in real-world hospitality contexts, several important conclusions emerge.</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First, the Income Statement is an essential tool for managing profitability in the hospitality industry. By providing detailed information about revenues and costs at both a departmental and total business level, it enables managers to identify underperforming areas, manage cost structures, and make informed pricing decisions. However, it must be interpreted in conjunction with the other financial statements to provide a complete picture of financial performance.</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Second, the Balance Sheet is a critical instrument for assessing financial stability, managing risk, and planning strategic investments. In a capital-intensive industry such as hospitality, understanding the balance sheet is essential for managing debt, evaluating asset performance, and maintaining investor confidence. Changes in accounting standards such as IFRS 16 have further increased the complexity and importance of balance sheet management for hospitality operators.</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Third, the Cash Flow Statement is arguably the most operationally vital financial tool in the hospitality sector. Given the industry's inherent susceptibility to seasonal demand variations, economic shocks, and high fixed cost structures, the ability to manage and forecast cash flows is directly linked to business survival and resilience. Companies that excel at cash flow management are better positioned to invest in growth, weather downturns, and create long-term value.</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Fourth, the greatest value of financial accounting in hospitality is realised when the three statements are used in an integrated manner to support strategic decision-making. From evaluating new market opportunities to managing working capital and communicating with stakeholders, financial reporting is an indispensable foundation for effective management.</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In light of these findings, it is recommended that hospitality management programmes place greater emphasis on financial literacy, ensuring that future managers are equipped not only to read financial statements but to use them as active management tools. Additionally, hospitality businesses of all sizes should invest in the development of robust financial reporting systems that provide timely and accurate data to support decision-making.</w:t>
      </w:r>
    </w:p>
    <w:p>
      <w:r>
        <w:br w:type="page"/>
      </w:r>
    </w:p>
    <w:p>
      <w:pPr>
        <w:pStyle w:val="Heading1"/>
      </w:pPr>
      <w:r>
        <w:rPr>
          <w:rFonts w:ascii="Times New Roman" w:cs="Times New Roman" w:eastAsia="Times New Roman" w:hAnsi="Times New Roman"/>
          <w:b/>
          <w:bCs/>
          <w:color w:val="1E3A8A"/>
          <w:sz w:val="28"/>
          <w:szCs w:val="28"/>
        </w:rPr>
        <w:t xml:space="preserve">References</w:t>
      </w:r>
    </w:p>
    <w:p>
      <w:pPr>
        <w:spacing w:line="480"/>
        <w:jc w:val="both"/>
      </w:pPr>
      <w:r>
        <w:rPr>
          <w:rFonts w:ascii="Times New Roman" w:cs="Times New Roman" w:eastAsia="Times New Roman" w:hAnsi="Times New Roman"/>
          <w:sz w:val="24"/>
          <w:szCs w:val="24"/>
        </w:rPr>
        <w:t xml:space="preserve">Atkinson, A. A., Kaplan, R. S., Matsumura, E. M., &amp; Young, S. M. (2012). Management accounting: Information for decision-making and strategy execution (6th ed.). Prentice Hall.</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Burgess, C. (2007). Do hotel managers have sufficient financial skills to manage their operations? International Journal of Contemporary Hospitality Management, 19(3), 188–200. https://doi.org/10.1108/09596110710739898</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Chartered Institute of Management Accountants (CIMA). (2019). Financial management in the hospitality sector: Best practice guide. CIMA Publishing.</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Dalbor, M. C., &amp; Andrew, W. P. (2000). Hospitality financial management. Prentice Hall.</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Drury, C. (2012). Management and cost accounting (8th ed.). Cengage Learning.</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Hales, J. (2005). Accounting and financial analysis in the hospitality industry. Elsevier Butterworth-Heinemann.</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Harris, P. J., &amp; Mongiello, M. (2012). Accounting and financial management: Developments in the international hospitality industry. Butterworth-Heinemann.</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Hilton Worldwide Holdings Inc. (2023). Annual report 2023. Hilton Worldwide. https://ir.hilton.com</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Horngren, C. T., Datar, S. M., &amp; Rajan, M. V. (2015). Cost accounting: A managerial emphasis (15th ed.). Pearson.</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IFRS Foundation. (2016). IFRS 16 leases. International Financial Reporting Standards. https://www.ifrs.org</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Jagels, M. G., &amp; Coltman, M. M. (2004). Hospitality management accounting (8th ed.). John Wiley &amp; Sons.</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Kieso, D. E., Weygandt, J. J., &amp; Warfield, T. D. (2020). Intermediate accounting (17th ed.). John Wiley &amp; Sons.</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Marriott International Inc. (2023). Annual report 2023. Marriott International. https://ir.marriott.com</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McDonald's Corporation. (2023). Annual report 2023. McDonald's Corporation. https://corporate.mcdonalds.com</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Schmidgall, R. S. (2018). Hospitality industry managerial accounting (8th ed.). American Hotel and Lodging Educational Institute.</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Warren, C. S., Reeve, J. M., &amp; Duchac, J. E. (2018). Financial and managerial accounting (14th ed.). Cengage Learning.</w:t>
      </w:r>
    </w:p>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Zimmerman, J. L. (2014). Accounting for decision making and control (8th ed.). McGraw-Hill Education.</w:t>
      </w:r>
    </w:p>
    <w:p>
      <w:r>
        <w:br w:type="page"/>
      </w:r>
    </w:p>
    <w:p>
      <w:pPr>
        <w:pStyle w:val="Heading1"/>
      </w:pPr>
      <w:r>
        <w:rPr>
          <w:rFonts w:ascii="Times New Roman" w:cs="Times New Roman" w:eastAsia="Times New Roman" w:hAnsi="Times New Roman"/>
          <w:b/>
          <w:bCs/>
          <w:color w:val="1E3A8A"/>
          <w:sz w:val="28"/>
          <w:szCs w:val="28"/>
        </w:rPr>
        <w:t xml:space="preserve">Appendices</w:t>
      </w:r>
    </w:p>
    <w:p>
      <w:pPr>
        <w:pStyle w:val="Heading2"/>
      </w:pPr>
      <w:r>
        <w:rPr>
          <w:rFonts w:ascii="Times New Roman" w:cs="Times New Roman" w:eastAsia="Times New Roman" w:hAnsi="Times New Roman"/>
          <w:b/>
          <w:bCs/>
          <w:color w:val="1E3A8A"/>
          <w:sz w:val="26"/>
          <w:szCs w:val="26"/>
        </w:rPr>
        <w:t xml:space="preserve">Appendix A: Illustrative Income Statement for a Mid-Scale Hotel</w:t>
      </w:r>
    </w:p>
    <w:p>
      <w:r>
        <w:rPr>
          <w:rFonts w:ascii="Times New Roman" w:cs="Times New Roman" w:eastAsia="Times New Roman" w:hAnsi="Times New Roman"/>
          <w:sz w:val="24"/>
          <w:szCs w:val="24"/>
        </w:rP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200"/>
        <w:gridCol w:w="4160"/>
      </w:tblGrid>
      <w:tr>
        <w:tc>
          <w:tcPr>
            <w:tcW w:type="dxa" w:w="5200"/>
            <w:shd w:fill="D9E1F2" w:val="clear"/>
            <w:tcMar>
              <w:top w:type="dxa" w:w="80"/>
              <w:left w:type="dxa" w:w="120"/>
              <w:bottom w:type="dxa" w:w="80"/>
              <w:right w:type="dxa" w:w="120"/>
            </w:tcMar>
          </w:tcPr>
          <w:p>
            <w:r>
              <w:rPr>
                <w:rFonts w:ascii="Times New Roman" w:cs="Times New Roman" w:eastAsia="Times New Roman" w:hAnsi="Times New Roman"/>
                <w:b/>
                <w:bCs/>
                <w:color w:val="1E3A8A"/>
                <w:sz w:val="24"/>
                <w:szCs w:val="24"/>
              </w:rPr>
              <w:t xml:space="preserve">Item</w:t>
            </w:r>
          </w:p>
        </w:tc>
        <w:tc>
          <w:tcPr>
            <w:tcW w:type="dxa" w:w="4160"/>
            <w:shd w:fill="D9E1F2" w:val="clear"/>
            <w:tcMar>
              <w:top w:type="dxa" w:w="80"/>
              <w:left w:type="dxa" w:w="120"/>
              <w:bottom w:type="dxa" w:w="80"/>
              <w:right w:type="dxa" w:w="120"/>
            </w:tcMar>
          </w:tcPr>
          <w:p>
            <w:pPr>
              <w:jc w:val="right"/>
            </w:pPr>
            <w:r>
              <w:rPr>
                <w:rFonts w:ascii="Times New Roman" w:cs="Times New Roman" w:eastAsia="Times New Roman" w:hAnsi="Times New Roman"/>
                <w:b/>
                <w:bCs/>
                <w:color w:val="1E3A8A"/>
                <w:sz w:val="24"/>
                <w:szCs w:val="24"/>
              </w:rPr>
              <w:t xml:space="preserve">Amount (£)</w:t>
            </w:r>
          </w:p>
        </w:tc>
      </w:tr>
      <w:tr>
        <w:tc>
          <w:tcPr>
            <w:tcW w:type="dxa" w:w="5200"/>
            <w:tcMar>
              <w:top w:type="dxa" w:w="80"/>
              <w:left w:type="dxa" w:w="120"/>
              <w:bottom w:type="dxa" w:w="80"/>
              <w:right w:type="dxa" w:w="120"/>
            </w:tcMar>
          </w:tcPr>
          <w:p>
            <w:r>
              <w:rPr>
                <w:rFonts w:ascii="Times New Roman" w:cs="Times New Roman" w:eastAsia="Times New Roman" w:hAnsi="Times New Roman"/>
                <w:b w:val="false"/>
                <w:bCs w:val="false"/>
                <w:sz w:val="24"/>
                <w:szCs w:val="24"/>
              </w:rPr>
              <w:t xml:space="preserve">Revenue – Rooms</w:t>
            </w:r>
          </w:p>
        </w:tc>
        <w:tc>
          <w:tcPr>
            <w:tcW w:type="dxa" w:w="4160"/>
            <w:tcMar>
              <w:top w:type="dxa" w:w="80"/>
              <w:left w:type="dxa" w:w="120"/>
              <w:bottom w:type="dxa" w:w="80"/>
              <w:right w:type="dxa" w:w="120"/>
            </w:tcMar>
          </w:tcPr>
          <w:p>
            <w:pPr>
              <w:jc w:val="right"/>
            </w:pPr>
            <w:r>
              <w:rPr>
                <w:rFonts w:ascii="Times New Roman" w:cs="Times New Roman" w:eastAsia="Times New Roman" w:hAnsi="Times New Roman"/>
                <w:b w:val="false"/>
                <w:bCs w:val="false"/>
                <w:sz w:val="24"/>
                <w:szCs w:val="24"/>
              </w:rPr>
              <w:t xml:space="preserve">2,500,000</w:t>
            </w:r>
          </w:p>
        </w:tc>
      </w:tr>
      <w:tr>
        <w:tc>
          <w:tcPr>
            <w:tcW w:type="dxa" w:w="5200"/>
            <w:tcMar>
              <w:top w:type="dxa" w:w="80"/>
              <w:left w:type="dxa" w:w="120"/>
              <w:bottom w:type="dxa" w:w="80"/>
              <w:right w:type="dxa" w:w="120"/>
            </w:tcMar>
          </w:tcPr>
          <w:p>
            <w:r>
              <w:rPr>
                <w:rFonts w:ascii="Times New Roman" w:cs="Times New Roman" w:eastAsia="Times New Roman" w:hAnsi="Times New Roman"/>
                <w:b w:val="false"/>
                <w:bCs w:val="false"/>
                <w:sz w:val="24"/>
                <w:szCs w:val="24"/>
              </w:rPr>
              <w:t xml:space="preserve">Revenue – Food &amp; Beverage</w:t>
            </w:r>
          </w:p>
        </w:tc>
        <w:tc>
          <w:tcPr>
            <w:tcW w:type="dxa" w:w="4160"/>
            <w:tcMar>
              <w:top w:type="dxa" w:w="80"/>
              <w:left w:type="dxa" w:w="120"/>
              <w:bottom w:type="dxa" w:w="80"/>
              <w:right w:type="dxa" w:w="120"/>
            </w:tcMar>
          </w:tcPr>
          <w:p>
            <w:pPr>
              <w:jc w:val="right"/>
            </w:pPr>
            <w:r>
              <w:rPr>
                <w:rFonts w:ascii="Times New Roman" w:cs="Times New Roman" w:eastAsia="Times New Roman" w:hAnsi="Times New Roman"/>
                <w:b w:val="false"/>
                <w:bCs w:val="false"/>
                <w:sz w:val="24"/>
                <w:szCs w:val="24"/>
              </w:rPr>
              <w:t xml:space="preserve">800,000</w:t>
            </w:r>
          </w:p>
        </w:tc>
      </w:tr>
      <w:tr>
        <w:tc>
          <w:tcPr>
            <w:tcW w:type="dxa" w:w="5200"/>
            <w:tcMar>
              <w:top w:type="dxa" w:w="80"/>
              <w:left w:type="dxa" w:w="120"/>
              <w:bottom w:type="dxa" w:w="80"/>
              <w:right w:type="dxa" w:w="120"/>
            </w:tcMar>
          </w:tcPr>
          <w:p>
            <w:r>
              <w:rPr>
                <w:rFonts w:ascii="Times New Roman" w:cs="Times New Roman" w:eastAsia="Times New Roman" w:hAnsi="Times New Roman"/>
                <w:b w:val="false"/>
                <w:bCs w:val="false"/>
                <w:sz w:val="24"/>
                <w:szCs w:val="24"/>
              </w:rPr>
              <w:t xml:space="preserve">Revenue – Spa &amp; Leisure</w:t>
            </w:r>
          </w:p>
        </w:tc>
        <w:tc>
          <w:tcPr>
            <w:tcW w:type="dxa" w:w="4160"/>
            <w:tcMar>
              <w:top w:type="dxa" w:w="80"/>
              <w:left w:type="dxa" w:w="120"/>
              <w:bottom w:type="dxa" w:w="80"/>
              <w:right w:type="dxa" w:w="120"/>
            </w:tcMar>
          </w:tcPr>
          <w:p>
            <w:pPr>
              <w:jc w:val="right"/>
            </w:pPr>
            <w:r>
              <w:rPr>
                <w:rFonts w:ascii="Times New Roman" w:cs="Times New Roman" w:eastAsia="Times New Roman" w:hAnsi="Times New Roman"/>
                <w:b w:val="false"/>
                <w:bCs w:val="false"/>
                <w:sz w:val="24"/>
                <w:szCs w:val="24"/>
              </w:rPr>
              <w:t xml:space="preserve">200,000</w:t>
            </w:r>
          </w:p>
        </w:tc>
      </w:tr>
      <w:tr>
        <w:tc>
          <w:tcPr>
            <w:tcW w:type="dxa" w:w="5200"/>
            <w:tcMar>
              <w:top w:type="dxa" w:w="80"/>
              <w:left w:type="dxa" w:w="120"/>
              <w:bottom w:type="dxa" w:w="80"/>
              <w:right w:type="dxa" w:w="120"/>
            </w:tcMar>
          </w:tcPr>
          <w:p>
            <w:r>
              <w:rPr>
                <w:rFonts w:ascii="Times New Roman" w:cs="Times New Roman" w:eastAsia="Times New Roman" w:hAnsi="Times New Roman"/>
                <w:b/>
                <w:bCs/>
                <w:sz w:val="24"/>
                <w:szCs w:val="24"/>
              </w:rPr>
              <w:t xml:space="preserve">Total Revenue</w:t>
            </w:r>
          </w:p>
        </w:tc>
        <w:tc>
          <w:tcPr>
            <w:tcW w:type="dxa" w:w="4160"/>
            <w:tcMar>
              <w:top w:type="dxa" w:w="80"/>
              <w:left w:type="dxa" w:w="120"/>
              <w:bottom w:type="dxa" w:w="80"/>
              <w:right w:type="dxa" w:w="120"/>
            </w:tcMar>
          </w:tcPr>
          <w:p>
            <w:pPr>
              <w:jc w:val="right"/>
            </w:pPr>
            <w:r>
              <w:rPr>
                <w:rFonts w:ascii="Times New Roman" w:cs="Times New Roman" w:eastAsia="Times New Roman" w:hAnsi="Times New Roman"/>
                <w:b/>
                <w:bCs/>
                <w:sz w:val="24"/>
                <w:szCs w:val="24"/>
              </w:rPr>
              <w:t xml:space="preserve">3,500,000</w:t>
            </w:r>
          </w:p>
        </w:tc>
      </w:tr>
      <w:tr>
        <w:tc>
          <w:tcPr>
            <w:tcW w:type="dxa" w:w="5200"/>
            <w:tcMar>
              <w:top w:type="dxa" w:w="80"/>
              <w:left w:type="dxa" w:w="120"/>
              <w:bottom w:type="dxa" w:w="80"/>
              <w:right w:type="dxa" w:w="120"/>
            </w:tcMar>
          </w:tcPr>
          <w:p>
            <w:r>
              <w:rPr>
                <w:rFonts w:ascii="Times New Roman" w:cs="Times New Roman" w:eastAsia="Times New Roman" w:hAnsi="Times New Roman"/>
                <w:b w:val="false"/>
                <w:bCs w:val="false"/>
                <w:sz w:val="24"/>
                <w:szCs w:val="24"/>
              </w:rPr>
              <w:t xml:space="preserve">Cost of Goods Sold (F&amp;B)</w:t>
            </w:r>
          </w:p>
        </w:tc>
        <w:tc>
          <w:tcPr>
            <w:tcW w:type="dxa" w:w="4160"/>
            <w:tcMar>
              <w:top w:type="dxa" w:w="80"/>
              <w:left w:type="dxa" w:w="120"/>
              <w:bottom w:type="dxa" w:w="80"/>
              <w:right w:type="dxa" w:w="120"/>
            </w:tcMar>
          </w:tcPr>
          <w:p>
            <w:pPr>
              <w:jc w:val="right"/>
            </w:pPr>
            <w:r>
              <w:rPr>
                <w:rFonts w:ascii="Times New Roman" w:cs="Times New Roman" w:eastAsia="Times New Roman" w:hAnsi="Times New Roman"/>
                <w:b w:val="false"/>
                <w:bCs w:val="false"/>
                <w:sz w:val="24"/>
                <w:szCs w:val="24"/>
              </w:rPr>
              <w:t xml:space="preserve">(320,000)</w:t>
            </w:r>
          </w:p>
        </w:tc>
      </w:tr>
      <w:tr>
        <w:tc>
          <w:tcPr>
            <w:tcW w:type="dxa" w:w="5200"/>
            <w:tcMar>
              <w:top w:type="dxa" w:w="80"/>
              <w:left w:type="dxa" w:w="120"/>
              <w:bottom w:type="dxa" w:w="80"/>
              <w:right w:type="dxa" w:w="120"/>
            </w:tcMar>
          </w:tcPr>
          <w:p>
            <w:r>
              <w:rPr>
                <w:rFonts w:ascii="Times New Roman" w:cs="Times New Roman" w:eastAsia="Times New Roman" w:hAnsi="Times New Roman"/>
                <w:b w:val="false"/>
                <w:bCs w:val="false"/>
                <w:sz w:val="24"/>
                <w:szCs w:val="24"/>
              </w:rPr>
              <w:t xml:space="preserve">Labour Costs</w:t>
            </w:r>
          </w:p>
        </w:tc>
        <w:tc>
          <w:tcPr>
            <w:tcW w:type="dxa" w:w="4160"/>
            <w:tcMar>
              <w:top w:type="dxa" w:w="80"/>
              <w:left w:type="dxa" w:w="120"/>
              <w:bottom w:type="dxa" w:w="80"/>
              <w:right w:type="dxa" w:w="120"/>
            </w:tcMar>
          </w:tcPr>
          <w:p>
            <w:pPr>
              <w:jc w:val="right"/>
            </w:pPr>
            <w:r>
              <w:rPr>
                <w:rFonts w:ascii="Times New Roman" w:cs="Times New Roman" w:eastAsia="Times New Roman" w:hAnsi="Times New Roman"/>
                <w:b w:val="false"/>
                <w:bCs w:val="false"/>
                <w:sz w:val="24"/>
                <w:szCs w:val="24"/>
              </w:rPr>
              <w:t xml:space="preserve">(900,000)</w:t>
            </w:r>
          </w:p>
        </w:tc>
      </w:tr>
      <w:tr>
        <w:tc>
          <w:tcPr>
            <w:tcW w:type="dxa" w:w="5200"/>
            <w:tcMar>
              <w:top w:type="dxa" w:w="80"/>
              <w:left w:type="dxa" w:w="120"/>
              <w:bottom w:type="dxa" w:w="80"/>
              <w:right w:type="dxa" w:w="120"/>
            </w:tcMar>
          </w:tcPr>
          <w:p>
            <w:r>
              <w:rPr>
                <w:rFonts w:ascii="Times New Roman" w:cs="Times New Roman" w:eastAsia="Times New Roman" w:hAnsi="Times New Roman"/>
                <w:b w:val="false"/>
                <w:bCs w:val="false"/>
                <w:sz w:val="24"/>
                <w:szCs w:val="24"/>
              </w:rPr>
              <w:t xml:space="preserve">Other Operating Expenses</w:t>
            </w:r>
          </w:p>
        </w:tc>
        <w:tc>
          <w:tcPr>
            <w:tcW w:type="dxa" w:w="4160"/>
            <w:tcMar>
              <w:top w:type="dxa" w:w="80"/>
              <w:left w:type="dxa" w:w="120"/>
              <w:bottom w:type="dxa" w:w="80"/>
              <w:right w:type="dxa" w:w="120"/>
            </w:tcMar>
          </w:tcPr>
          <w:p>
            <w:pPr>
              <w:jc w:val="right"/>
            </w:pPr>
            <w:r>
              <w:rPr>
                <w:rFonts w:ascii="Times New Roman" w:cs="Times New Roman" w:eastAsia="Times New Roman" w:hAnsi="Times New Roman"/>
                <w:b w:val="false"/>
                <w:bCs w:val="false"/>
                <w:sz w:val="24"/>
                <w:szCs w:val="24"/>
              </w:rPr>
              <w:t xml:space="preserve">(480,000)</w:t>
            </w:r>
          </w:p>
        </w:tc>
      </w:tr>
      <w:tr>
        <w:tc>
          <w:tcPr>
            <w:tcW w:type="dxa" w:w="5200"/>
            <w:tcMar>
              <w:top w:type="dxa" w:w="80"/>
              <w:left w:type="dxa" w:w="120"/>
              <w:bottom w:type="dxa" w:w="80"/>
              <w:right w:type="dxa" w:w="120"/>
            </w:tcMar>
          </w:tcPr>
          <w:p>
            <w:r>
              <w:rPr>
                <w:rFonts w:ascii="Times New Roman" w:cs="Times New Roman" w:eastAsia="Times New Roman" w:hAnsi="Times New Roman"/>
                <w:b w:val="false"/>
                <w:bCs w:val="false"/>
                <w:sz w:val="24"/>
                <w:szCs w:val="24"/>
              </w:rPr>
              <w:t xml:space="preserve">Depreciation</w:t>
            </w:r>
          </w:p>
        </w:tc>
        <w:tc>
          <w:tcPr>
            <w:tcW w:type="dxa" w:w="4160"/>
            <w:tcMar>
              <w:top w:type="dxa" w:w="80"/>
              <w:left w:type="dxa" w:w="120"/>
              <w:bottom w:type="dxa" w:w="80"/>
              <w:right w:type="dxa" w:w="120"/>
            </w:tcMar>
          </w:tcPr>
          <w:p>
            <w:pPr>
              <w:jc w:val="right"/>
            </w:pPr>
            <w:r>
              <w:rPr>
                <w:rFonts w:ascii="Times New Roman" w:cs="Times New Roman" w:eastAsia="Times New Roman" w:hAnsi="Times New Roman"/>
                <w:b w:val="false"/>
                <w:bCs w:val="false"/>
                <w:sz w:val="24"/>
                <w:szCs w:val="24"/>
              </w:rPr>
              <w:t xml:space="preserve">(200,000)</w:t>
            </w:r>
          </w:p>
        </w:tc>
      </w:tr>
      <w:tr>
        <w:tc>
          <w:tcPr>
            <w:tcW w:type="dxa" w:w="5200"/>
            <w:tcMar>
              <w:top w:type="dxa" w:w="80"/>
              <w:left w:type="dxa" w:w="120"/>
              <w:bottom w:type="dxa" w:w="80"/>
              <w:right w:type="dxa" w:w="120"/>
            </w:tcMar>
          </w:tcPr>
          <w:p>
            <w:r>
              <w:rPr>
                <w:rFonts w:ascii="Times New Roman" w:cs="Times New Roman" w:eastAsia="Times New Roman" w:hAnsi="Times New Roman"/>
                <w:b/>
                <w:bCs/>
                <w:sz w:val="24"/>
                <w:szCs w:val="24"/>
              </w:rPr>
              <w:t xml:space="preserve">Gross Operating Profit</w:t>
            </w:r>
          </w:p>
        </w:tc>
        <w:tc>
          <w:tcPr>
            <w:tcW w:type="dxa" w:w="4160"/>
            <w:tcMar>
              <w:top w:type="dxa" w:w="80"/>
              <w:left w:type="dxa" w:w="120"/>
              <w:bottom w:type="dxa" w:w="80"/>
              <w:right w:type="dxa" w:w="120"/>
            </w:tcMar>
          </w:tcPr>
          <w:p>
            <w:pPr>
              <w:jc w:val="right"/>
            </w:pPr>
            <w:r>
              <w:rPr>
                <w:rFonts w:ascii="Times New Roman" w:cs="Times New Roman" w:eastAsia="Times New Roman" w:hAnsi="Times New Roman"/>
                <w:b/>
                <w:bCs/>
                <w:sz w:val="24"/>
                <w:szCs w:val="24"/>
              </w:rPr>
              <w:t xml:space="preserve">1,600,000</w:t>
            </w:r>
          </w:p>
        </w:tc>
      </w:tr>
      <w:tr>
        <w:tc>
          <w:tcPr>
            <w:tcW w:type="dxa" w:w="5200"/>
            <w:tcMar>
              <w:top w:type="dxa" w:w="80"/>
              <w:left w:type="dxa" w:w="120"/>
              <w:bottom w:type="dxa" w:w="80"/>
              <w:right w:type="dxa" w:w="120"/>
            </w:tcMar>
          </w:tcPr>
          <w:p>
            <w:r>
              <w:rPr>
                <w:rFonts w:ascii="Times New Roman" w:cs="Times New Roman" w:eastAsia="Times New Roman" w:hAnsi="Times New Roman"/>
                <w:b w:val="false"/>
                <w:bCs w:val="false"/>
                <w:sz w:val="24"/>
                <w:szCs w:val="24"/>
              </w:rPr>
              <w:t xml:space="preserve">Interest Expense</w:t>
            </w:r>
          </w:p>
        </w:tc>
        <w:tc>
          <w:tcPr>
            <w:tcW w:type="dxa" w:w="4160"/>
            <w:tcMar>
              <w:top w:type="dxa" w:w="80"/>
              <w:left w:type="dxa" w:w="120"/>
              <w:bottom w:type="dxa" w:w="80"/>
              <w:right w:type="dxa" w:w="120"/>
            </w:tcMar>
          </w:tcPr>
          <w:p>
            <w:pPr>
              <w:jc w:val="right"/>
            </w:pPr>
            <w:r>
              <w:rPr>
                <w:rFonts w:ascii="Times New Roman" w:cs="Times New Roman" w:eastAsia="Times New Roman" w:hAnsi="Times New Roman"/>
                <w:b w:val="false"/>
                <w:bCs w:val="false"/>
                <w:sz w:val="24"/>
                <w:szCs w:val="24"/>
              </w:rPr>
              <w:t xml:space="preserve">(150,000)</w:t>
            </w:r>
          </w:p>
        </w:tc>
      </w:tr>
      <w:tr>
        <w:tc>
          <w:tcPr>
            <w:tcW w:type="dxa" w:w="5200"/>
            <w:tcMar>
              <w:top w:type="dxa" w:w="80"/>
              <w:left w:type="dxa" w:w="120"/>
              <w:bottom w:type="dxa" w:w="80"/>
              <w:right w:type="dxa" w:w="120"/>
            </w:tcMar>
          </w:tcPr>
          <w:p>
            <w:r>
              <w:rPr>
                <w:rFonts w:ascii="Times New Roman" w:cs="Times New Roman" w:eastAsia="Times New Roman" w:hAnsi="Times New Roman"/>
                <w:b w:val="false"/>
                <w:bCs w:val="false"/>
                <w:sz w:val="24"/>
                <w:szCs w:val="24"/>
              </w:rPr>
              <w:t xml:space="preserve">Tax</w:t>
            </w:r>
          </w:p>
        </w:tc>
        <w:tc>
          <w:tcPr>
            <w:tcW w:type="dxa" w:w="4160"/>
            <w:tcMar>
              <w:top w:type="dxa" w:w="80"/>
              <w:left w:type="dxa" w:w="120"/>
              <w:bottom w:type="dxa" w:w="80"/>
              <w:right w:type="dxa" w:w="120"/>
            </w:tcMar>
          </w:tcPr>
          <w:p>
            <w:pPr>
              <w:jc w:val="right"/>
            </w:pPr>
            <w:r>
              <w:rPr>
                <w:rFonts w:ascii="Times New Roman" w:cs="Times New Roman" w:eastAsia="Times New Roman" w:hAnsi="Times New Roman"/>
                <w:b w:val="false"/>
                <w:bCs w:val="false"/>
                <w:sz w:val="24"/>
                <w:szCs w:val="24"/>
              </w:rPr>
              <w:t xml:space="preserve">(362,500)</w:t>
            </w:r>
          </w:p>
        </w:tc>
      </w:tr>
      <w:tr>
        <w:tc>
          <w:tcPr>
            <w:tcW w:type="dxa" w:w="5200"/>
            <w:tcMar>
              <w:top w:type="dxa" w:w="80"/>
              <w:left w:type="dxa" w:w="120"/>
              <w:bottom w:type="dxa" w:w="80"/>
              <w:right w:type="dxa" w:w="120"/>
            </w:tcMar>
          </w:tcPr>
          <w:p>
            <w:r>
              <w:rPr>
                <w:rFonts w:ascii="Times New Roman" w:cs="Times New Roman" w:eastAsia="Times New Roman" w:hAnsi="Times New Roman"/>
                <w:b/>
                <w:bCs/>
                <w:sz w:val="24"/>
                <w:szCs w:val="24"/>
              </w:rPr>
              <w:t xml:space="preserve">Net Income</w:t>
            </w:r>
          </w:p>
        </w:tc>
        <w:tc>
          <w:tcPr>
            <w:tcW w:type="dxa" w:w="4160"/>
            <w:tcMar>
              <w:top w:type="dxa" w:w="80"/>
              <w:left w:type="dxa" w:w="120"/>
              <w:bottom w:type="dxa" w:w="80"/>
              <w:right w:type="dxa" w:w="120"/>
            </w:tcMar>
          </w:tcPr>
          <w:p>
            <w:pPr>
              <w:jc w:val="right"/>
            </w:pPr>
            <w:r>
              <w:rPr>
                <w:rFonts w:ascii="Times New Roman" w:cs="Times New Roman" w:eastAsia="Times New Roman" w:hAnsi="Times New Roman"/>
                <w:b/>
                <w:bCs/>
                <w:sz w:val="24"/>
                <w:szCs w:val="24"/>
              </w:rPr>
              <w:t xml:space="preserve">1,087,500</w:t>
            </w:r>
          </w:p>
        </w:tc>
      </w:tr>
    </w:tbl>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Source: Illustrative example compiled by the author for academic purposes.</w:t>
      </w:r>
    </w:p>
    <w:p>
      <w:r>
        <w:rPr>
          <w:rFonts w:ascii="Times New Roman" w:cs="Times New Roman" w:eastAsia="Times New Roman" w:hAnsi="Times New Roman"/>
          <w:sz w:val="24"/>
          <w:szCs w:val="24"/>
        </w:rPr>
        <w:t xml:space="preserve"/>
      </w:r>
    </w:p>
    <w:p>
      <w:pPr>
        <w:pStyle w:val="Heading2"/>
      </w:pPr>
      <w:r>
        <w:rPr>
          <w:rFonts w:ascii="Times New Roman" w:cs="Times New Roman" w:eastAsia="Times New Roman" w:hAnsi="Times New Roman"/>
          <w:b/>
          <w:bCs/>
          <w:color w:val="1E3A8A"/>
          <w:sz w:val="26"/>
          <w:szCs w:val="26"/>
        </w:rPr>
        <w:t xml:space="preserve">Appendix B: Key Financial Ratios Used in the Hospitality Industry</w:t>
      </w:r>
    </w:p>
    <w:p>
      <w:r>
        <w:rPr>
          <w:rFonts w:ascii="Times New Roman" w:cs="Times New Roman" w:eastAsia="Times New Roman" w:hAnsi="Times New Roman"/>
          <w:sz w:val="24"/>
          <w:szCs w:val="24"/>
        </w:rP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000"/>
        <w:gridCol w:w="3360"/>
        <w:gridCol w:w="3000"/>
      </w:tblGrid>
      <w:tr>
        <w:tc>
          <w:tcPr>
            <w:tcW w:type="dxa" w:w="3000"/>
            <w:shd w:fill="D9E1F2" w:val="clear"/>
            <w:tcMar>
              <w:top w:type="dxa" w:w="80"/>
              <w:left w:type="dxa" w:w="120"/>
              <w:bottom w:type="dxa" w:w="80"/>
              <w:right w:type="dxa" w:w="120"/>
            </w:tcMar>
          </w:tcPr>
          <w:p>
            <w:r>
              <w:rPr>
                <w:rFonts w:ascii="Times New Roman" w:cs="Times New Roman" w:eastAsia="Times New Roman" w:hAnsi="Times New Roman"/>
                <w:b/>
                <w:bCs/>
                <w:color w:val="1E3A8A"/>
                <w:sz w:val="24"/>
                <w:szCs w:val="24"/>
              </w:rPr>
              <w:t xml:space="preserve">Ratio</w:t>
            </w:r>
          </w:p>
        </w:tc>
        <w:tc>
          <w:tcPr>
            <w:tcW w:type="dxa" w:w="3360"/>
            <w:shd w:fill="D9E1F2" w:val="clear"/>
            <w:tcMar>
              <w:top w:type="dxa" w:w="80"/>
              <w:left w:type="dxa" w:w="120"/>
              <w:bottom w:type="dxa" w:w="80"/>
              <w:right w:type="dxa" w:w="120"/>
            </w:tcMar>
          </w:tcPr>
          <w:p>
            <w:r>
              <w:rPr>
                <w:rFonts w:ascii="Times New Roman" w:cs="Times New Roman" w:eastAsia="Times New Roman" w:hAnsi="Times New Roman"/>
                <w:b/>
                <w:bCs/>
                <w:color w:val="1E3A8A"/>
                <w:sz w:val="24"/>
                <w:szCs w:val="24"/>
              </w:rPr>
              <w:t xml:space="preserve">Formula</w:t>
            </w:r>
          </w:p>
        </w:tc>
        <w:tc>
          <w:tcPr>
            <w:tcW w:type="dxa" w:w="3000"/>
            <w:shd w:fill="D9E1F2" w:val="clear"/>
            <w:tcMar>
              <w:top w:type="dxa" w:w="80"/>
              <w:left w:type="dxa" w:w="120"/>
              <w:bottom w:type="dxa" w:w="80"/>
              <w:right w:type="dxa" w:w="120"/>
            </w:tcMar>
          </w:tcPr>
          <w:p>
            <w:r>
              <w:rPr>
                <w:rFonts w:ascii="Times New Roman" w:cs="Times New Roman" w:eastAsia="Times New Roman" w:hAnsi="Times New Roman"/>
                <w:b/>
                <w:bCs/>
                <w:color w:val="1E3A8A"/>
                <w:sz w:val="24"/>
                <w:szCs w:val="24"/>
              </w:rPr>
              <w:t xml:space="preserve">Purpose</w:t>
            </w:r>
          </w:p>
        </w:tc>
      </w:tr>
      <w:tr>
        <w:tc>
          <w:tcPr>
            <w:tcW w:type="dxa" w:w="3000"/>
            <w:tcMar>
              <w:top w:type="dxa" w:w="80"/>
              <w:left w:type="dxa" w:w="120"/>
              <w:bottom w:type="dxa" w:w="80"/>
              <w:right w:type="dxa" w:w="120"/>
            </w:tcMar>
          </w:tcPr>
          <w:p>
            <w:r>
              <w:rPr>
                <w:rFonts w:ascii="Times New Roman" w:cs="Times New Roman" w:eastAsia="Times New Roman" w:hAnsi="Times New Roman"/>
                <w:sz w:val="22"/>
                <w:szCs w:val="22"/>
              </w:rPr>
              <w:t xml:space="preserve">Current Ratio</w:t>
            </w:r>
          </w:p>
        </w:tc>
        <w:tc>
          <w:tcPr>
            <w:tcW w:type="dxa" w:w="3360"/>
            <w:tcMar>
              <w:top w:type="dxa" w:w="80"/>
              <w:left w:type="dxa" w:w="120"/>
              <w:bottom w:type="dxa" w:w="80"/>
              <w:right w:type="dxa" w:w="120"/>
            </w:tcMar>
          </w:tcPr>
          <w:p>
            <w:r>
              <w:rPr>
                <w:rFonts w:ascii="Times New Roman" w:cs="Times New Roman" w:eastAsia="Times New Roman" w:hAnsi="Times New Roman"/>
                <w:sz w:val="22"/>
                <w:szCs w:val="22"/>
              </w:rPr>
              <w:t xml:space="preserve">Current Assets / Current Liabilities</w:t>
            </w:r>
          </w:p>
        </w:tc>
        <w:tc>
          <w:tcPr>
            <w:tcW w:type="dxa" w:w="3000"/>
            <w:tcMar>
              <w:top w:type="dxa" w:w="80"/>
              <w:left w:type="dxa" w:w="120"/>
              <w:bottom w:type="dxa" w:w="80"/>
              <w:right w:type="dxa" w:w="120"/>
            </w:tcMar>
          </w:tcPr>
          <w:p>
            <w:r>
              <w:rPr>
                <w:rFonts w:ascii="Times New Roman" w:cs="Times New Roman" w:eastAsia="Times New Roman" w:hAnsi="Times New Roman"/>
                <w:sz w:val="22"/>
                <w:szCs w:val="22"/>
              </w:rPr>
              <w:t xml:space="preserve">Measures short-term liquidity</w:t>
            </w:r>
          </w:p>
        </w:tc>
      </w:tr>
      <w:tr>
        <w:tc>
          <w:tcPr>
            <w:tcW w:type="dxa" w:w="3000"/>
            <w:tcMar>
              <w:top w:type="dxa" w:w="80"/>
              <w:left w:type="dxa" w:w="120"/>
              <w:bottom w:type="dxa" w:w="80"/>
              <w:right w:type="dxa" w:w="120"/>
            </w:tcMar>
          </w:tcPr>
          <w:p>
            <w:r>
              <w:rPr>
                <w:rFonts w:ascii="Times New Roman" w:cs="Times New Roman" w:eastAsia="Times New Roman" w:hAnsi="Times New Roman"/>
                <w:sz w:val="22"/>
                <w:szCs w:val="22"/>
              </w:rPr>
              <w:t xml:space="preserve">Debt-to-Equity</w:t>
            </w:r>
          </w:p>
        </w:tc>
        <w:tc>
          <w:tcPr>
            <w:tcW w:type="dxa" w:w="3360"/>
            <w:tcMar>
              <w:top w:type="dxa" w:w="80"/>
              <w:left w:type="dxa" w:w="120"/>
              <w:bottom w:type="dxa" w:w="80"/>
              <w:right w:type="dxa" w:w="120"/>
            </w:tcMar>
          </w:tcPr>
          <w:p>
            <w:r>
              <w:rPr>
                <w:rFonts w:ascii="Times New Roman" w:cs="Times New Roman" w:eastAsia="Times New Roman" w:hAnsi="Times New Roman"/>
                <w:sz w:val="22"/>
                <w:szCs w:val="22"/>
              </w:rPr>
              <w:t xml:space="preserve">Total Debt / Total Equity</w:t>
            </w:r>
          </w:p>
        </w:tc>
        <w:tc>
          <w:tcPr>
            <w:tcW w:type="dxa" w:w="3000"/>
            <w:tcMar>
              <w:top w:type="dxa" w:w="80"/>
              <w:left w:type="dxa" w:w="120"/>
              <w:bottom w:type="dxa" w:w="80"/>
              <w:right w:type="dxa" w:w="120"/>
            </w:tcMar>
          </w:tcPr>
          <w:p>
            <w:r>
              <w:rPr>
                <w:rFonts w:ascii="Times New Roman" w:cs="Times New Roman" w:eastAsia="Times New Roman" w:hAnsi="Times New Roman"/>
                <w:sz w:val="22"/>
                <w:szCs w:val="22"/>
              </w:rPr>
              <w:t xml:space="preserve">Assesses financial leverage</w:t>
            </w:r>
          </w:p>
        </w:tc>
      </w:tr>
      <w:tr>
        <w:tc>
          <w:tcPr>
            <w:tcW w:type="dxa" w:w="3000"/>
            <w:tcMar>
              <w:top w:type="dxa" w:w="80"/>
              <w:left w:type="dxa" w:w="120"/>
              <w:bottom w:type="dxa" w:w="80"/>
              <w:right w:type="dxa" w:w="120"/>
            </w:tcMar>
          </w:tcPr>
          <w:p>
            <w:r>
              <w:rPr>
                <w:rFonts w:ascii="Times New Roman" w:cs="Times New Roman" w:eastAsia="Times New Roman" w:hAnsi="Times New Roman"/>
                <w:sz w:val="22"/>
                <w:szCs w:val="22"/>
              </w:rPr>
              <w:t xml:space="preserve">Net Profit Margin</w:t>
            </w:r>
          </w:p>
        </w:tc>
        <w:tc>
          <w:tcPr>
            <w:tcW w:type="dxa" w:w="3360"/>
            <w:tcMar>
              <w:top w:type="dxa" w:w="80"/>
              <w:left w:type="dxa" w:w="120"/>
              <w:bottom w:type="dxa" w:w="80"/>
              <w:right w:type="dxa" w:w="120"/>
            </w:tcMar>
          </w:tcPr>
          <w:p>
            <w:r>
              <w:rPr>
                <w:rFonts w:ascii="Times New Roman" w:cs="Times New Roman" w:eastAsia="Times New Roman" w:hAnsi="Times New Roman"/>
                <w:sz w:val="22"/>
                <w:szCs w:val="22"/>
              </w:rPr>
              <w:t xml:space="preserve">Net Income / Total Revenue × 100</w:t>
            </w:r>
          </w:p>
        </w:tc>
        <w:tc>
          <w:tcPr>
            <w:tcW w:type="dxa" w:w="3000"/>
            <w:tcMar>
              <w:top w:type="dxa" w:w="80"/>
              <w:left w:type="dxa" w:w="120"/>
              <w:bottom w:type="dxa" w:w="80"/>
              <w:right w:type="dxa" w:w="120"/>
            </w:tcMar>
          </w:tcPr>
          <w:p>
            <w:r>
              <w:rPr>
                <w:rFonts w:ascii="Times New Roman" w:cs="Times New Roman" w:eastAsia="Times New Roman" w:hAnsi="Times New Roman"/>
                <w:sz w:val="22"/>
                <w:szCs w:val="22"/>
              </w:rPr>
              <w:t xml:space="preserve">Evaluates overall profitability</w:t>
            </w:r>
          </w:p>
        </w:tc>
      </w:tr>
      <w:tr>
        <w:tc>
          <w:tcPr>
            <w:tcW w:type="dxa" w:w="3000"/>
            <w:tcMar>
              <w:top w:type="dxa" w:w="80"/>
              <w:left w:type="dxa" w:w="120"/>
              <w:bottom w:type="dxa" w:w="80"/>
              <w:right w:type="dxa" w:w="120"/>
            </w:tcMar>
          </w:tcPr>
          <w:p>
            <w:r>
              <w:rPr>
                <w:rFonts w:ascii="Times New Roman" w:cs="Times New Roman" w:eastAsia="Times New Roman" w:hAnsi="Times New Roman"/>
                <w:sz w:val="22"/>
                <w:szCs w:val="22"/>
              </w:rPr>
              <w:t xml:space="preserve">RevPAR</w:t>
            </w:r>
          </w:p>
        </w:tc>
        <w:tc>
          <w:tcPr>
            <w:tcW w:type="dxa" w:w="3360"/>
            <w:tcMar>
              <w:top w:type="dxa" w:w="80"/>
              <w:left w:type="dxa" w:w="120"/>
              <w:bottom w:type="dxa" w:w="80"/>
              <w:right w:type="dxa" w:w="120"/>
            </w:tcMar>
          </w:tcPr>
          <w:p>
            <w:r>
              <w:rPr>
                <w:rFonts w:ascii="Times New Roman" w:cs="Times New Roman" w:eastAsia="Times New Roman" w:hAnsi="Times New Roman"/>
                <w:sz w:val="22"/>
                <w:szCs w:val="22"/>
              </w:rPr>
              <w:t xml:space="preserve">Room Revenue / Available Rooms</w:t>
            </w:r>
          </w:p>
        </w:tc>
        <w:tc>
          <w:tcPr>
            <w:tcW w:type="dxa" w:w="3000"/>
            <w:tcMar>
              <w:top w:type="dxa" w:w="80"/>
              <w:left w:type="dxa" w:w="120"/>
              <w:bottom w:type="dxa" w:w="80"/>
              <w:right w:type="dxa" w:w="120"/>
            </w:tcMar>
          </w:tcPr>
          <w:p>
            <w:r>
              <w:rPr>
                <w:rFonts w:ascii="Times New Roman" w:cs="Times New Roman" w:eastAsia="Times New Roman" w:hAnsi="Times New Roman"/>
                <w:sz w:val="22"/>
                <w:szCs w:val="22"/>
              </w:rPr>
              <w:t xml:space="preserve">Hotel-specific revenue performance</w:t>
            </w:r>
          </w:p>
        </w:tc>
      </w:tr>
      <w:tr>
        <w:tc>
          <w:tcPr>
            <w:tcW w:type="dxa" w:w="3000"/>
            <w:tcMar>
              <w:top w:type="dxa" w:w="80"/>
              <w:left w:type="dxa" w:w="120"/>
              <w:bottom w:type="dxa" w:w="80"/>
              <w:right w:type="dxa" w:w="120"/>
            </w:tcMar>
          </w:tcPr>
          <w:p>
            <w:r>
              <w:rPr>
                <w:rFonts w:ascii="Times New Roman" w:cs="Times New Roman" w:eastAsia="Times New Roman" w:hAnsi="Times New Roman"/>
                <w:sz w:val="22"/>
                <w:szCs w:val="22"/>
              </w:rPr>
              <w:t xml:space="preserve">GOPPAR</w:t>
            </w:r>
          </w:p>
        </w:tc>
        <w:tc>
          <w:tcPr>
            <w:tcW w:type="dxa" w:w="3360"/>
            <w:tcMar>
              <w:top w:type="dxa" w:w="80"/>
              <w:left w:type="dxa" w:w="120"/>
              <w:bottom w:type="dxa" w:w="80"/>
              <w:right w:type="dxa" w:w="120"/>
            </w:tcMar>
          </w:tcPr>
          <w:p>
            <w:r>
              <w:rPr>
                <w:rFonts w:ascii="Times New Roman" w:cs="Times New Roman" w:eastAsia="Times New Roman" w:hAnsi="Times New Roman"/>
                <w:sz w:val="22"/>
                <w:szCs w:val="22"/>
              </w:rPr>
              <w:t xml:space="preserve">GOP / Available Rooms</w:t>
            </w:r>
          </w:p>
        </w:tc>
        <w:tc>
          <w:tcPr>
            <w:tcW w:type="dxa" w:w="3000"/>
            <w:tcMar>
              <w:top w:type="dxa" w:w="80"/>
              <w:left w:type="dxa" w:w="120"/>
              <w:bottom w:type="dxa" w:w="80"/>
              <w:right w:type="dxa" w:w="120"/>
            </w:tcMar>
          </w:tcPr>
          <w:p>
            <w:r>
              <w:rPr>
                <w:rFonts w:ascii="Times New Roman" w:cs="Times New Roman" w:eastAsia="Times New Roman" w:hAnsi="Times New Roman"/>
                <w:sz w:val="22"/>
                <w:szCs w:val="22"/>
              </w:rPr>
              <w:t xml:space="preserve">Gross operating profit per room</w:t>
            </w:r>
          </w:p>
        </w:tc>
      </w:tr>
      <w:tr>
        <w:tc>
          <w:tcPr>
            <w:tcW w:type="dxa" w:w="3000"/>
            <w:tcMar>
              <w:top w:type="dxa" w:w="80"/>
              <w:left w:type="dxa" w:w="120"/>
              <w:bottom w:type="dxa" w:w="80"/>
              <w:right w:type="dxa" w:w="120"/>
            </w:tcMar>
          </w:tcPr>
          <w:p>
            <w:r>
              <w:rPr>
                <w:rFonts w:ascii="Times New Roman" w:cs="Times New Roman" w:eastAsia="Times New Roman" w:hAnsi="Times New Roman"/>
                <w:sz w:val="22"/>
                <w:szCs w:val="22"/>
              </w:rPr>
              <w:t xml:space="preserve">Operating Cash Flow Ratio</w:t>
            </w:r>
          </w:p>
        </w:tc>
        <w:tc>
          <w:tcPr>
            <w:tcW w:type="dxa" w:w="3360"/>
            <w:tcMar>
              <w:top w:type="dxa" w:w="80"/>
              <w:left w:type="dxa" w:w="120"/>
              <w:bottom w:type="dxa" w:w="80"/>
              <w:right w:type="dxa" w:w="120"/>
            </w:tcMar>
          </w:tcPr>
          <w:p>
            <w:r>
              <w:rPr>
                <w:rFonts w:ascii="Times New Roman" w:cs="Times New Roman" w:eastAsia="Times New Roman" w:hAnsi="Times New Roman"/>
                <w:sz w:val="22"/>
                <w:szCs w:val="22"/>
              </w:rPr>
              <w:t xml:space="preserve">Operating Cash Flow / Current Liabilities</w:t>
            </w:r>
          </w:p>
        </w:tc>
        <w:tc>
          <w:tcPr>
            <w:tcW w:type="dxa" w:w="3000"/>
            <w:tcMar>
              <w:top w:type="dxa" w:w="80"/>
              <w:left w:type="dxa" w:w="120"/>
              <w:bottom w:type="dxa" w:w="80"/>
              <w:right w:type="dxa" w:w="120"/>
            </w:tcMar>
          </w:tcPr>
          <w:p>
            <w:r>
              <w:rPr>
                <w:rFonts w:ascii="Times New Roman" w:cs="Times New Roman" w:eastAsia="Times New Roman" w:hAnsi="Times New Roman"/>
                <w:sz w:val="22"/>
                <w:szCs w:val="22"/>
              </w:rPr>
              <w:t xml:space="preserve">Cash-based liquidity measure</w:t>
            </w:r>
          </w:p>
        </w:tc>
      </w:tr>
    </w:tbl>
    <w:p>
      <w:r>
        <w:rPr>
          <w:rFonts w:ascii="Times New Roman" w:cs="Times New Roman" w:eastAsia="Times New Roman" w:hAnsi="Times New Roman"/>
          <w:sz w:val="24"/>
          <w:szCs w:val="24"/>
        </w:rPr>
        <w:t xml:space="preserve"/>
      </w:r>
    </w:p>
    <w:p>
      <w:pPr>
        <w:spacing w:line="480"/>
        <w:jc w:val="both"/>
      </w:pPr>
      <w:r>
        <w:rPr>
          <w:rFonts w:ascii="Times New Roman" w:cs="Times New Roman" w:eastAsia="Times New Roman" w:hAnsi="Times New Roman"/>
          <w:sz w:val="24"/>
          <w:szCs w:val="24"/>
        </w:rPr>
        <w:t xml:space="preserve">Source: Adapted from Schmidgall (2018) and Jagels &amp; Coltman (2004).</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240" w:after="120"/>
      <w:outlineLvl w:val="0"/>
    </w:pPr>
    <w:rPr>
      <w:rFonts w:ascii="Times New Roman" w:cs="Times New Roman" w:eastAsia="Times New Roman" w:hAnsi="Times New Roman"/>
      <w:b/>
      <w:bCs/>
      <w:color w:val="1E3A8A"/>
      <w:sz w:val="28"/>
      <w:szCs w:val="28"/>
    </w:rPr>
  </w:style>
  <w:style w:type="paragraph" w:styleId="Heading2">
    <w:name w:val="Heading 2"/>
    <w:basedOn w:val="Normal"/>
    <w:next w:val="Normal"/>
    <w:qFormat/>
    <w:pPr>
      <w:spacing w:before="200" w:after="100"/>
      <w:outlineLvl w:val="1"/>
    </w:pPr>
    <w:rPr>
      <w:rFonts w:ascii="Times New Roman" w:cs="Times New Roman" w:eastAsia="Times New Roman" w:hAnsi="Times New Roman"/>
      <w:b/>
      <w:bCs/>
      <w:color w:val="1E3A8A"/>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image" Target="media/72f10988ccff0ea307144ef415b2cce1fd12d8e3.jpg"/><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2026-03-28T16:04:32.067Z</dcterms:created>
  <dcterms:modified xsi:type="dcterms:W3CDTF">2026-03-28T16:04:32.068Z</dcterms:modified>
</cp:coreProperties>
</file>

<file path=docProps/custom.xml><?xml version="1.0" encoding="utf-8"?>
<Properties xmlns="http://schemas.openxmlformats.org/officeDocument/2006/custom-properties" xmlns:vt="http://schemas.openxmlformats.org/officeDocument/2006/docPropsVTypes"/>
</file>