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BD919" w14:textId="77777777" w:rsidR="0070246B" w:rsidRDefault="0070246B" w:rsidP="0019504D">
      <w:pPr>
        <w:rPr>
          <w:lang w:val="en-US"/>
        </w:rPr>
      </w:pPr>
    </w:p>
    <w:p w14:paraId="27D493C3"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51CCCFE" wp14:editId="4CF1097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356719"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8C0F9F5" w14:textId="77777777" w:rsidR="0019504D" w:rsidRDefault="0019504D" w:rsidP="0019504D">
      <w:pPr>
        <w:rPr>
          <w:lang w:val="en-US"/>
        </w:rPr>
      </w:pPr>
      <w:r w:rsidRPr="0019504D">
        <w:rPr>
          <w:lang w:val="en-US"/>
        </w:rPr>
        <w:t>Ass</w:t>
      </w:r>
      <w:r>
        <w:rPr>
          <w:lang w:val="en-US"/>
        </w:rPr>
        <w:t xml:space="preserve">ignment </w:t>
      </w:r>
      <w:r w:rsidR="0070246B">
        <w:rPr>
          <w:lang w:val="en-US"/>
        </w:rPr>
        <w:t>11</w:t>
      </w:r>
    </w:p>
    <w:p w14:paraId="3E41F79B" w14:textId="77777777" w:rsidR="00637F36" w:rsidRDefault="0070246B" w:rsidP="0019504D">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03C4D9B7" w14:textId="3BEA291B" w:rsidR="0019504D" w:rsidRPr="0019504D" w:rsidRDefault="00637F36" w:rsidP="0019504D">
      <w:pPr>
        <w:rPr>
          <w:lang w:val="en-US"/>
        </w:rPr>
      </w:pPr>
      <w:r>
        <w:rPr>
          <w:lang w:val="en-US"/>
        </w:rPr>
        <w:br/>
        <w:t>Student Name:</w:t>
      </w:r>
      <w:r w:rsidR="00EF143F">
        <w:rPr>
          <w:lang w:val="en-US"/>
        </w:rPr>
        <w:t xml:space="preserve"> </w:t>
      </w:r>
      <w:proofErr w:type="spellStart"/>
      <w:r w:rsidR="00EF143F">
        <w:rPr>
          <w:lang w:val="en-US"/>
        </w:rPr>
        <w:t>Iqnoor</w:t>
      </w:r>
      <w:proofErr w:type="spellEnd"/>
      <w:r w:rsidR="00EF143F">
        <w:rPr>
          <w:lang w:val="en-US"/>
        </w:rPr>
        <w:t xml:space="preserve"> Singh  </w:t>
      </w:r>
      <w:r>
        <w:rPr>
          <w:lang w:val="en-US"/>
        </w:rPr>
        <w:br/>
      </w:r>
      <w:r>
        <w:rPr>
          <w:lang w:val="en-US"/>
        </w:rPr>
        <w:br/>
      </w:r>
    </w:p>
    <w:p w14:paraId="31E1043E" w14:textId="77777777" w:rsidR="0019504D" w:rsidRDefault="0019504D"/>
    <w:p w14:paraId="206C924C" w14:textId="77777777" w:rsidR="0019504D" w:rsidRDefault="0019504D"/>
    <w:p w14:paraId="003523F0" w14:textId="77777777" w:rsidR="0019504D" w:rsidRDefault="0019504D"/>
    <w:p w14:paraId="11B055C1" w14:textId="77777777" w:rsidR="00CD620A" w:rsidRDefault="00CD620A"/>
    <w:p w14:paraId="34D67CFF" w14:textId="77777777" w:rsidR="009673A4" w:rsidRDefault="009673A4"/>
    <w:p w14:paraId="2386071B" w14:textId="77777777" w:rsidR="009673A4" w:rsidRDefault="009673A4"/>
    <w:p w14:paraId="67CB52E6" w14:textId="77777777" w:rsidR="009673A4" w:rsidRDefault="009673A4"/>
    <w:p w14:paraId="7E383551" w14:textId="77777777" w:rsidR="009673A4" w:rsidRDefault="009673A4"/>
    <w:p w14:paraId="4D62569E" w14:textId="77777777" w:rsidR="009673A4" w:rsidRDefault="009673A4"/>
    <w:p w14:paraId="50A1BE58" w14:textId="77777777" w:rsidR="009673A4" w:rsidRDefault="009673A4"/>
    <w:p w14:paraId="681012BA" w14:textId="77777777" w:rsidR="009673A4" w:rsidRDefault="009673A4"/>
    <w:p w14:paraId="4BAB64D4"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0947EB24" w14:textId="77777777" w:rsidR="0070246B" w:rsidRDefault="0070246B" w:rsidP="0070246B">
      <w:pPr>
        <w:spacing w:line="276" w:lineRule="auto"/>
        <w:rPr>
          <w:b/>
          <w:bCs/>
          <w:lang w:val="en-US"/>
        </w:rPr>
      </w:pPr>
    </w:p>
    <w:p w14:paraId="27147A8E" w14:textId="77777777" w:rsidR="0070246B" w:rsidRPr="0070246B" w:rsidRDefault="0070246B" w:rsidP="0070246B">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476A824B" w14:textId="3A67E4DA" w:rsidR="005F57D8" w:rsidRDefault="0070246B" w:rsidP="005F57D8">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639829D7" w14:textId="77777777" w:rsidR="005F57D8" w:rsidRDefault="005F57D8" w:rsidP="005F57D8">
      <w:pPr>
        <w:pStyle w:val="ListParagraph"/>
        <w:spacing w:line="276" w:lineRule="auto"/>
        <w:ind w:left="0"/>
        <w:rPr>
          <w:lang w:val="en-US"/>
        </w:rPr>
      </w:pPr>
    </w:p>
    <w:p w14:paraId="4F627F14" w14:textId="77777777" w:rsidR="005F57D8" w:rsidRDefault="005F57D8" w:rsidP="005F57D8">
      <w:pPr>
        <w:pStyle w:val="ListParagraph"/>
        <w:spacing w:line="276" w:lineRule="auto"/>
        <w:ind w:left="0"/>
        <w:rPr>
          <w:lang w:val="en-US"/>
        </w:rPr>
      </w:pPr>
    </w:p>
    <w:p w14:paraId="194950A7" w14:textId="77777777" w:rsidR="005F57D8" w:rsidRDefault="005F57D8" w:rsidP="005F57D8">
      <w:pPr>
        <w:pStyle w:val="ListParagraph"/>
        <w:spacing w:line="276" w:lineRule="auto"/>
        <w:ind w:left="0"/>
        <w:rPr>
          <w:lang w:val="en-US"/>
        </w:rPr>
      </w:pPr>
    </w:p>
    <w:p w14:paraId="3E19670F" w14:textId="77777777" w:rsidR="005F57D8" w:rsidRDefault="005F57D8" w:rsidP="005F57D8">
      <w:pPr>
        <w:pStyle w:val="ListParagraph"/>
        <w:spacing w:line="276" w:lineRule="auto"/>
        <w:ind w:left="0"/>
        <w:rPr>
          <w:lang w:val="en-US"/>
        </w:rPr>
      </w:pPr>
    </w:p>
    <w:p w14:paraId="09525C0B" w14:textId="77777777" w:rsidR="005F57D8" w:rsidRDefault="005F57D8" w:rsidP="005F57D8">
      <w:pPr>
        <w:pStyle w:val="ListParagraph"/>
        <w:spacing w:line="276" w:lineRule="auto"/>
        <w:ind w:left="0"/>
        <w:rPr>
          <w:lang w:val="en-US"/>
        </w:rPr>
      </w:pPr>
    </w:p>
    <w:p w14:paraId="519DA199" w14:textId="77777777" w:rsidR="005F57D8" w:rsidRDefault="005F57D8" w:rsidP="005F57D8">
      <w:pPr>
        <w:pStyle w:val="ListParagraph"/>
        <w:spacing w:line="276" w:lineRule="auto"/>
        <w:ind w:left="0"/>
        <w:rPr>
          <w:lang w:val="en-US"/>
        </w:rPr>
      </w:pPr>
    </w:p>
    <w:p w14:paraId="5A91718B" w14:textId="77777777" w:rsidR="005F57D8" w:rsidRDefault="005F57D8" w:rsidP="005F57D8">
      <w:pPr>
        <w:pStyle w:val="ListParagraph"/>
        <w:spacing w:line="276" w:lineRule="auto"/>
        <w:ind w:left="0"/>
        <w:rPr>
          <w:lang w:val="en-US"/>
        </w:rPr>
      </w:pPr>
    </w:p>
    <w:p w14:paraId="42E816FB" w14:textId="77777777" w:rsidR="005F57D8" w:rsidRDefault="005F57D8" w:rsidP="005F57D8">
      <w:pPr>
        <w:pStyle w:val="ListParagraph"/>
        <w:spacing w:line="276" w:lineRule="auto"/>
        <w:ind w:left="0"/>
        <w:rPr>
          <w:lang w:val="en-US"/>
        </w:rPr>
      </w:pPr>
    </w:p>
    <w:p w14:paraId="45EE688E" w14:textId="77777777" w:rsidR="005F57D8" w:rsidRDefault="005F57D8" w:rsidP="005F57D8">
      <w:pPr>
        <w:pStyle w:val="ListParagraph"/>
        <w:spacing w:line="276" w:lineRule="auto"/>
        <w:ind w:left="0"/>
        <w:rPr>
          <w:lang w:val="en-US"/>
        </w:rPr>
      </w:pPr>
    </w:p>
    <w:p w14:paraId="0CFBAE45" w14:textId="77777777" w:rsidR="005F57D8" w:rsidRDefault="005F57D8" w:rsidP="005F57D8">
      <w:pPr>
        <w:pStyle w:val="ListParagraph"/>
        <w:spacing w:line="276" w:lineRule="auto"/>
        <w:ind w:left="0"/>
        <w:rPr>
          <w:lang w:val="en-US"/>
        </w:rPr>
      </w:pPr>
    </w:p>
    <w:p w14:paraId="316FA1C6" w14:textId="77777777" w:rsidR="005F57D8" w:rsidRDefault="005F57D8" w:rsidP="005F57D8">
      <w:pPr>
        <w:pStyle w:val="ListParagraph"/>
        <w:spacing w:line="276" w:lineRule="auto"/>
        <w:ind w:left="0"/>
        <w:rPr>
          <w:lang w:val="en-US"/>
        </w:rPr>
      </w:pPr>
    </w:p>
    <w:p w14:paraId="1F0BBD36" w14:textId="77777777" w:rsidR="005F57D8" w:rsidRDefault="005F57D8" w:rsidP="005F57D8">
      <w:pPr>
        <w:pStyle w:val="ListParagraph"/>
        <w:spacing w:line="276" w:lineRule="auto"/>
        <w:ind w:left="0"/>
        <w:rPr>
          <w:lang w:val="en-US"/>
        </w:rPr>
      </w:pPr>
    </w:p>
    <w:p w14:paraId="1871AC83" w14:textId="77777777" w:rsidR="005F57D8" w:rsidRDefault="005F57D8" w:rsidP="005F57D8">
      <w:pPr>
        <w:pStyle w:val="ListParagraph"/>
        <w:spacing w:line="276" w:lineRule="auto"/>
        <w:ind w:left="0"/>
        <w:rPr>
          <w:lang w:val="en-US"/>
        </w:rPr>
      </w:pPr>
    </w:p>
    <w:p w14:paraId="32C25532" w14:textId="77777777" w:rsidR="005F57D8" w:rsidRDefault="005F57D8" w:rsidP="005F57D8">
      <w:pPr>
        <w:pStyle w:val="ListParagraph"/>
        <w:spacing w:line="276" w:lineRule="auto"/>
        <w:ind w:left="0"/>
        <w:rPr>
          <w:lang w:val="en-US"/>
        </w:rPr>
      </w:pPr>
    </w:p>
    <w:p w14:paraId="326F88B6" w14:textId="77777777" w:rsidR="005F57D8" w:rsidRDefault="005F57D8" w:rsidP="005F57D8">
      <w:pPr>
        <w:pStyle w:val="ListParagraph"/>
        <w:spacing w:line="276" w:lineRule="auto"/>
        <w:ind w:left="0"/>
        <w:rPr>
          <w:lang w:val="en-US"/>
        </w:rPr>
      </w:pPr>
    </w:p>
    <w:p w14:paraId="5636153A" w14:textId="77777777" w:rsidR="005F57D8" w:rsidRDefault="005F57D8" w:rsidP="005F57D8">
      <w:pPr>
        <w:pStyle w:val="ListParagraph"/>
        <w:spacing w:line="276" w:lineRule="auto"/>
        <w:ind w:left="0"/>
        <w:rPr>
          <w:lang w:val="en-US"/>
        </w:rPr>
      </w:pPr>
    </w:p>
    <w:p w14:paraId="6F1448B1" w14:textId="77777777" w:rsidR="005F57D8" w:rsidRDefault="005F57D8" w:rsidP="005F57D8">
      <w:pPr>
        <w:pStyle w:val="ListParagraph"/>
        <w:spacing w:line="276" w:lineRule="auto"/>
        <w:ind w:left="0"/>
        <w:rPr>
          <w:lang w:val="en-US"/>
        </w:rPr>
      </w:pPr>
    </w:p>
    <w:p w14:paraId="6ACA0974" w14:textId="77777777" w:rsidR="005F57D8" w:rsidRDefault="005F57D8" w:rsidP="005F57D8">
      <w:pPr>
        <w:pStyle w:val="ListParagraph"/>
        <w:spacing w:line="276" w:lineRule="auto"/>
        <w:ind w:left="0"/>
        <w:rPr>
          <w:lang w:val="en-US"/>
        </w:rPr>
      </w:pPr>
    </w:p>
    <w:p w14:paraId="48A62F39" w14:textId="3ECD7338" w:rsidR="005F57D8" w:rsidRPr="005F57D8" w:rsidRDefault="005F57D8" w:rsidP="005F57D8">
      <w:pPr>
        <w:pStyle w:val="ListParagraph"/>
        <w:spacing w:line="276" w:lineRule="auto"/>
        <w:ind w:left="0"/>
        <w:rPr>
          <w:b/>
          <w:bCs/>
          <w:lang w:val="en-GB"/>
        </w:rPr>
      </w:pPr>
      <w:r w:rsidRPr="005F57D8">
        <w:rPr>
          <w:b/>
          <w:bCs/>
          <w:lang w:val="en-GB"/>
        </w:rPr>
        <w:lastRenderedPageBreak/>
        <w:t>Applying the PATA Crisis Management Strategy to Minimize Tourism Crisis Impacts:</w:t>
      </w:r>
    </w:p>
    <w:p w14:paraId="2A6E7B12" w14:textId="77777777" w:rsidR="005F57D8" w:rsidRPr="005F57D8" w:rsidRDefault="005F57D8" w:rsidP="005F57D8">
      <w:pPr>
        <w:pStyle w:val="ListParagraph"/>
        <w:spacing w:line="276" w:lineRule="auto"/>
        <w:ind w:left="0"/>
        <w:rPr>
          <w:b/>
          <w:bCs/>
          <w:lang w:val="en-GB"/>
        </w:rPr>
      </w:pPr>
      <w:r w:rsidRPr="005F57D8">
        <w:rPr>
          <w:b/>
          <w:bCs/>
          <w:lang w:val="en-GB"/>
        </w:rPr>
        <w:t>A Case Study of Thailand’s Tourism Recovery After COVID-19</w:t>
      </w:r>
    </w:p>
    <w:p w14:paraId="6FD41F4A" w14:textId="77777777" w:rsidR="005F57D8" w:rsidRDefault="005F57D8" w:rsidP="005F57D8">
      <w:pPr>
        <w:pStyle w:val="ListParagraph"/>
        <w:spacing w:line="276" w:lineRule="auto"/>
        <w:ind w:left="0"/>
        <w:rPr>
          <w:lang w:val="en-US"/>
        </w:rPr>
      </w:pPr>
    </w:p>
    <w:p w14:paraId="45A8F812" w14:textId="77777777" w:rsidR="00491343" w:rsidRPr="00491343" w:rsidRDefault="00491343" w:rsidP="00491343">
      <w:pPr>
        <w:pStyle w:val="ListParagraph"/>
        <w:spacing w:line="276" w:lineRule="auto"/>
        <w:ind w:left="0"/>
        <w:rPr>
          <w:b/>
          <w:bCs/>
          <w:lang w:val="en-GB"/>
        </w:rPr>
      </w:pPr>
      <w:r w:rsidRPr="00491343">
        <w:rPr>
          <w:b/>
          <w:bCs/>
          <w:lang w:val="en-GB"/>
        </w:rPr>
        <w:t>Introduction</w:t>
      </w:r>
    </w:p>
    <w:p w14:paraId="7E41B41C" w14:textId="77777777" w:rsidR="00491343" w:rsidRDefault="00491343" w:rsidP="00491343">
      <w:pPr>
        <w:pStyle w:val="ListParagraph"/>
        <w:spacing w:line="276" w:lineRule="auto"/>
        <w:ind w:left="0"/>
        <w:rPr>
          <w:lang w:val="en-GB"/>
        </w:rPr>
      </w:pPr>
      <w:r w:rsidRPr="00491343">
        <w:rPr>
          <w:lang w:val="en-GB"/>
        </w:rPr>
        <w:t xml:space="preserve">Tourism is highly vulnerable to crises such as pandemics, natural disasters, political instability, and terrorist attacks. These crises can significantly disrupt tourism demand, damage destination image, and threaten the economic sustainability of host communities. Effective crisis management strategies are therefore essential to minimize negative impacts and support recovery. One widely recognized framework in tourism crisis management is the </w:t>
      </w:r>
      <w:r w:rsidRPr="00491343">
        <w:rPr>
          <w:b/>
          <w:bCs/>
          <w:lang w:val="en-GB"/>
        </w:rPr>
        <w:t>Pacific Asia Travel Association (PATA) Crisis Management Strategy</w:t>
      </w:r>
      <w:r w:rsidRPr="00491343">
        <w:rPr>
          <w:lang w:val="en-GB"/>
        </w:rPr>
        <w:t xml:space="preserve">, which emphasizes preparedness, response, recovery, and long-term resilience. This paper applies the PATA crisis management approach to examine how it can reduce the impacts of a tourism-related crisis, using </w:t>
      </w:r>
      <w:r w:rsidRPr="00491343">
        <w:rPr>
          <w:b/>
          <w:bCs/>
          <w:lang w:val="en-GB"/>
        </w:rPr>
        <w:t>Thailand’s tourism sector during and after the COVID-19 pandemic</w:t>
      </w:r>
      <w:r w:rsidRPr="00491343">
        <w:rPr>
          <w:lang w:val="en-GB"/>
        </w:rPr>
        <w:t xml:space="preserve"> as a case study, with particular emphasis on post-crisis recovery planning.</w:t>
      </w:r>
    </w:p>
    <w:p w14:paraId="2DE84C49" w14:textId="77777777" w:rsidR="00491343" w:rsidRPr="00491343" w:rsidRDefault="00491343" w:rsidP="00491343">
      <w:pPr>
        <w:pStyle w:val="ListParagraph"/>
        <w:spacing w:line="276" w:lineRule="auto"/>
        <w:ind w:left="0"/>
        <w:rPr>
          <w:lang w:val="en-GB"/>
        </w:rPr>
      </w:pPr>
    </w:p>
    <w:p w14:paraId="39A793C1" w14:textId="77777777" w:rsidR="00491343" w:rsidRDefault="00491343" w:rsidP="00491343">
      <w:pPr>
        <w:pStyle w:val="ListParagraph"/>
        <w:spacing w:line="276" w:lineRule="auto"/>
        <w:ind w:left="0"/>
        <w:rPr>
          <w:b/>
          <w:bCs/>
          <w:lang w:val="en-GB"/>
        </w:rPr>
      </w:pPr>
      <w:r w:rsidRPr="00491343">
        <w:rPr>
          <w:b/>
          <w:bCs/>
          <w:lang w:val="en-GB"/>
        </w:rPr>
        <w:t>Overview of the PATA Crisis Management Strategy</w:t>
      </w:r>
    </w:p>
    <w:p w14:paraId="37356BE2" w14:textId="77777777" w:rsidR="00491343" w:rsidRPr="00491343" w:rsidRDefault="00491343" w:rsidP="00491343">
      <w:pPr>
        <w:pStyle w:val="ListParagraph"/>
        <w:spacing w:line="276" w:lineRule="auto"/>
        <w:ind w:left="0"/>
        <w:rPr>
          <w:b/>
          <w:bCs/>
          <w:lang w:val="en-GB"/>
        </w:rPr>
      </w:pPr>
    </w:p>
    <w:p w14:paraId="6CDC1712" w14:textId="77777777" w:rsidR="00491343" w:rsidRPr="00491343" w:rsidRDefault="00491343" w:rsidP="00491343">
      <w:pPr>
        <w:pStyle w:val="ListParagraph"/>
        <w:spacing w:line="276" w:lineRule="auto"/>
        <w:ind w:left="0"/>
        <w:rPr>
          <w:lang w:val="en-GB"/>
        </w:rPr>
      </w:pPr>
      <w:r w:rsidRPr="00491343">
        <w:rPr>
          <w:lang w:val="en-GB"/>
        </w:rPr>
        <w:t xml:space="preserve">The PATA crisis management strategy is designed to help tourism destinations and organizations manage crises in a structured and proactive manner. It consists of four interrelated phases: </w:t>
      </w:r>
      <w:r w:rsidRPr="00491343">
        <w:rPr>
          <w:b/>
          <w:bCs/>
          <w:lang w:val="en-GB"/>
        </w:rPr>
        <w:t>crisis preparedness, crisis response, recovery, and resolution/long-term rebuilding</w:t>
      </w:r>
      <w:r w:rsidRPr="00491343">
        <w:rPr>
          <w:lang w:val="en-GB"/>
        </w:rPr>
        <w:t xml:space="preserve"> (PATA, 2011). Preparedness focuses on risk assessment, contingency planning, and stakeholder coordination before a crisis occurs. The response phase emphasizes rapid communication, visitor safety, and operational continuity. Recovery involves restoring </w:t>
      </w:r>
      <w:proofErr w:type="spellStart"/>
      <w:r w:rsidRPr="00491343">
        <w:rPr>
          <w:lang w:val="en-GB"/>
        </w:rPr>
        <w:t>traveler</w:t>
      </w:r>
      <w:proofErr w:type="spellEnd"/>
      <w:r w:rsidRPr="00491343">
        <w:rPr>
          <w:lang w:val="en-GB"/>
        </w:rPr>
        <w:t xml:space="preserve"> confidence, rebuilding destination image, and stimulating demand. Finally, the resolution phase aims to integrate lessons learned to strengthen future resilience and sustainability.</w:t>
      </w:r>
    </w:p>
    <w:p w14:paraId="0799D4DB" w14:textId="77777777" w:rsidR="00491343" w:rsidRDefault="00491343" w:rsidP="00491343">
      <w:pPr>
        <w:pStyle w:val="ListParagraph"/>
        <w:spacing w:line="276" w:lineRule="auto"/>
        <w:ind w:left="0"/>
        <w:rPr>
          <w:lang w:val="en-GB"/>
        </w:rPr>
      </w:pPr>
    </w:p>
    <w:p w14:paraId="526E0413" w14:textId="17789286" w:rsidR="00491343" w:rsidRPr="00491343" w:rsidRDefault="00491343" w:rsidP="00491343">
      <w:pPr>
        <w:pStyle w:val="ListParagraph"/>
        <w:spacing w:line="276" w:lineRule="auto"/>
        <w:ind w:left="0"/>
        <w:rPr>
          <w:lang w:val="en-GB"/>
        </w:rPr>
      </w:pPr>
      <w:r w:rsidRPr="00491343">
        <w:rPr>
          <w:lang w:val="en-GB"/>
        </w:rPr>
        <w:t>This framework is particularly relevant to tourism because it acknowledges the interdependence of stakeholders such as governments, destination management organizations (DMOs), tourism businesses, and local communities. Research suggests that destinations that follow structured crisis frameworks experience faster recovery and reduced long-term reputational damage (Ritchie, 2009).</w:t>
      </w:r>
    </w:p>
    <w:p w14:paraId="7380FA57" w14:textId="77777777" w:rsidR="00491343" w:rsidRDefault="00491343" w:rsidP="00491343">
      <w:pPr>
        <w:pStyle w:val="ListParagraph"/>
        <w:spacing w:line="276" w:lineRule="auto"/>
        <w:ind w:left="0"/>
        <w:rPr>
          <w:b/>
          <w:bCs/>
          <w:lang w:val="en-GB"/>
        </w:rPr>
      </w:pPr>
    </w:p>
    <w:p w14:paraId="619F3487" w14:textId="3387958C" w:rsidR="00491343" w:rsidRPr="00491343" w:rsidRDefault="00491343" w:rsidP="00491343">
      <w:pPr>
        <w:pStyle w:val="ListParagraph"/>
        <w:spacing w:line="276" w:lineRule="auto"/>
        <w:ind w:left="0"/>
        <w:rPr>
          <w:b/>
          <w:bCs/>
          <w:lang w:val="en-GB"/>
        </w:rPr>
      </w:pPr>
      <w:r w:rsidRPr="00491343">
        <w:rPr>
          <w:b/>
          <w:bCs/>
          <w:lang w:val="en-GB"/>
        </w:rPr>
        <w:t>Case Study Context: COVID-19 Crisis in Thailand’s Tourism Industry</w:t>
      </w:r>
    </w:p>
    <w:p w14:paraId="401542A3" w14:textId="77777777" w:rsidR="00491343" w:rsidRDefault="00491343" w:rsidP="00491343">
      <w:pPr>
        <w:pStyle w:val="ListParagraph"/>
        <w:spacing w:line="276" w:lineRule="auto"/>
        <w:ind w:left="0"/>
        <w:rPr>
          <w:lang w:val="en-GB"/>
        </w:rPr>
      </w:pPr>
    </w:p>
    <w:p w14:paraId="33AF00E7" w14:textId="3610DDAF" w:rsidR="00491343" w:rsidRPr="00491343" w:rsidRDefault="00491343" w:rsidP="00491343">
      <w:pPr>
        <w:pStyle w:val="ListParagraph"/>
        <w:spacing w:line="276" w:lineRule="auto"/>
        <w:ind w:left="0"/>
        <w:rPr>
          <w:lang w:val="en-GB"/>
        </w:rPr>
      </w:pPr>
      <w:r w:rsidRPr="00491343">
        <w:rPr>
          <w:lang w:val="en-GB"/>
        </w:rPr>
        <w:t>Thailand is one of the world’s most tourism-dependent economies, with tourism contributing nearly 20% of GDP prior to the COVID-19 pandemic (UNWTO, 2021). The pandemic led to international border closures, a collapse in tourist arrivals, widespread business closures, and significant job losses across hospitality, aviation, and tour operations. In 2020, international arrivals dropped by more than 80%, representing one of the most severe tourism crises in the country’s history.</w:t>
      </w:r>
    </w:p>
    <w:p w14:paraId="424C13B6" w14:textId="77777777" w:rsidR="00491343" w:rsidRDefault="00491343" w:rsidP="00491343">
      <w:pPr>
        <w:pStyle w:val="ListParagraph"/>
        <w:spacing w:line="276" w:lineRule="auto"/>
        <w:ind w:left="0"/>
        <w:rPr>
          <w:lang w:val="en-GB"/>
        </w:rPr>
      </w:pPr>
    </w:p>
    <w:p w14:paraId="5BC259EF" w14:textId="0AAA4CAC" w:rsidR="00491343" w:rsidRPr="00491343" w:rsidRDefault="00491343" w:rsidP="00491343">
      <w:pPr>
        <w:pStyle w:val="ListParagraph"/>
        <w:spacing w:line="276" w:lineRule="auto"/>
        <w:ind w:left="0"/>
        <w:rPr>
          <w:lang w:val="en-GB"/>
        </w:rPr>
      </w:pPr>
      <w:r w:rsidRPr="00491343">
        <w:rPr>
          <w:lang w:val="en-GB"/>
        </w:rPr>
        <w:t>Applying the PATA crisis management strategy provides insight into how Thailand minimized damage and structured its post-crisis recovery through coordinated planning, communication, and innovation.</w:t>
      </w:r>
    </w:p>
    <w:p w14:paraId="5412004D" w14:textId="77777777" w:rsidR="00491343" w:rsidRDefault="00491343" w:rsidP="00491343">
      <w:pPr>
        <w:pStyle w:val="ListParagraph"/>
        <w:spacing w:line="276" w:lineRule="auto"/>
        <w:ind w:left="0"/>
        <w:rPr>
          <w:b/>
          <w:bCs/>
          <w:lang w:val="en-GB"/>
        </w:rPr>
      </w:pPr>
    </w:p>
    <w:p w14:paraId="4A01129F" w14:textId="7B9D13EA" w:rsidR="00491343" w:rsidRPr="00491343" w:rsidRDefault="00491343" w:rsidP="00491343">
      <w:pPr>
        <w:pStyle w:val="ListParagraph"/>
        <w:spacing w:line="276" w:lineRule="auto"/>
        <w:ind w:left="0"/>
        <w:rPr>
          <w:b/>
          <w:bCs/>
          <w:lang w:val="en-GB"/>
        </w:rPr>
      </w:pPr>
      <w:r w:rsidRPr="00491343">
        <w:rPr>
          <w:b/>
          <w:bCs/>
          <w:lang w:val="en-GB"/>
        </w:rPr>
        <w:t>Crisis Preparedness and Response</w:t>
      </w:r>
    </w:p>
    <w:p w14:paraId="6031D955" w14:textId="77777777" w:rsidR="00491343" w:rsidRDefault="00491343" w:rsidP="00491343">
      <w:pPr>
        <w:pStyle w:val="ListParagraph"/>
        <w:spacing w:line="276" w:lineRule="auto"/>
        <w:ind w:left="0"/>
        <w:rPr>
          <w:lang w:val="en-GB"/>
        </w:rPr>
      </w:pPr>
    </w:p>
    <w:p w14:paraId="26342DB6" w14:textId="51A27365" w:rsidR="00491343" w:rsidRPr="00491343" w:rsidRDefault="00491343" w:rsidP="00491343">
      <w:pPr>
        <w:pStyle w:val="ListParagraph"/>
        <w:spacing w:line="276" w:lineRule="auto"/>
        <w:ind w:left="0"/>
        <w:rPr>
          <w:lang w:val="en-GB"/>
        </w:rPr>
      </w:pPr>
      <w:r w:rsidRPr="00491343">
        <w:rPr>
          <w:lang w:val="en-GB"/>
        </w:rPr>
        <w:t>Although COVID-19 was unprecedented in scale, Thailand’s prior experience with crises such as SARS, natural disasters, and political unrest contributed to institutional preparedness. According to Ritchie and Jiang (2019), destinations with crisis memory and established governance mechanisms tend to respond more effectively. Thailand’s Ministry of Tourism and Sports and the Tourism Authority of Thailand (TAT) quickly prioritized health and safety, aligning with the PATA principle that visitor and resident safety must come first.</w:t>
      </w:r>
    </w:p>
    <w:p w14:paraId="7EC4D8D6" w14:textId="77777777" w:rsidR="00491343" w:rsidRDefault="00491343" w:rsidP="00491343">
      <w:pPr>
        <w:pStyle w:val="ListParagraph"/>
        <w:spacing w:line="276" w:lineRule="auto"/>
        <w:ind w:left="0"/>
        <w:rPr>
          <w:lang w:val="en-GB"/>
        </w:rPr>
      </w:pPr>
    </w:p>
    <w:p w14:paraId="3ACA71B0" w14:textId="736B8471" w:rsidR="00491343" w:rsidRPr="00491343" w:rsidRDefault="00491343" w:rsidP="00491343">
      <w:pPr>
        <w:pStyle w:val="ListParagraph"/>
        <w:spacing w:line="276" w:lineRule="auto"/>
        <w:ind w:left="0"/>
        <w:rPr>
          <w:lang w:val="en-GB"/>
        </w:rPr>
      </w:pPr>
      <w:r w:rsidRPr="00491343">
        <w:rPr>
          <w:lang w:val="en-GB"/>
        </w:rPr>
        <w:t>During the response phase, clear communication played a critical role. Authorities issued consistent travel advisories, health protocols, and entry requirements, helping reduce uncertainty among tourists and industry stakeholders. PATA emphasizes transparent and timely information to protect destination credibility, which research identifies as essential for maintaining trust during crises (Coombs, 2015).</w:t>
      </w:r>
    </w:p>
    <w:p w14:paraId="2C75792F" w14:textId="77777777" w:rsidR="00491343" w:rsidRDefault="00491343" w:rsidP="00491343">
      <w:pPr>
        <w:pStyle w:val="ListParagraph"/>
        <w:spacing w:line="276" w:lineRule="auto"/>
        <w:ind w:left="0"/>
        <w:rPr>
          <w:b/>
          <w:bCs/>
          <w:lang w:val="en-GB"/>
        </w:rPr>
      </w:pPr>
    </w:p>
    <w:p w14:paraId="03784D39" w14:textId="60BF7842" w:rsidR="00491343" w:rsidRPr="00491343" w:rsidRDefault="00491343" w:rsidP="00491343">
      <w:pPr>
        <w:pStyle w:val="ListParagraph"/>
        <w:spacing w:line="276" w:lineRule="auto"/>
        <w:ind w:left="0"/>
        <w:rPr>
          <w:b/>
          <w:bCs/>
          <w:lang w:val="en-GB"/>
        </w:rPr>
      </w:pPr>
      <w:r w:rsidRPr="00491343">
        <w:rPr>
          <w:b/>
          <w:bCs/>
          <w:lang w:val="en-GB"/>
        </w:rPr>
        <w:t>Post-Crisis Recovery Planning</w:t>
      </w:r>
    </w:p>
    <w:p w14:paraId="4C12775D" w14:textId="77777777" w:rsidR="00491343" w:rsidRDefault="00491343" w:rsidP="00491343">
      <w:pPr>
        <w:pStyle w:val="ListParagraph"/>
        <w:spacing w:line="276" w:lineRule="auto"/>
        <w:ind w:left="0"/>
        <w:rPr>
          <w:lang w:val="en-GB"/>
        </w:rPr>
      </w:pPr>
    </w:p>
    <w:p w14:paraId="393746D8" w14:textId="31B6C78F" w:rsidR="00491343" w:rsidRPr="00491343" w:rsidRDefault="00491343" w:rsidP="00491343">
      <w:pPr>
        <w:pStyle w:val="ListParagraph"/>
        <w:spacing w:line="276" w:lineRule="auto"/>
        <w:ind w:left="0"/>
        <w:rPr>
          <w:lang w:val="en-GB"/>
        </w:rPr>
      </w:pPr>
      <w:r w:rsidRPr="00491343">
        <w:rPr>
          <w:lang w:val="en-GB"/>
        </w:rPr>
        <w:t xml:space="preserve">Post-crisis recovery is the most critical phase of the PATA strategy, as it determines how quickly a destination can regain competitiveness. Thailand adopted a phased recovery plan aligned with PATA’s recommendations. Initially, the focus was on </w:t>
      </w:r>
      <w:r w:rsidRPr="00491343">
        <w:rPr>
          <w:b/>
          <w:bCs/>
          <w:lang w:val="en-GB"/>
        </w:rPr>
        <w:t>domestic tourism stimulation</w:t>
      </w:r>
      <w:r w:rsidRPr="00491343">
        <w:rPr>
          <w:lang w:val="en-GB"/>
        </w:rPr>
        <w:t>, encouraging local travel through government subsidies and promotional campaigns. Studies show that domestic tourism often acts as a buffer during international demand shocks (</w:t>
      </w:r>
      <w:proofErr w:type="spellStart"/>
      <w:r w:rsidRPr="00491343">
        <w:rPr>
          <w:lang w:val="en-GB"/>
        </w:rPr>
        <w:t>Gössling</w:t>
      </w:r>
      <w:proofErr w:type="spellEnd"/>
      <w:r w:rsidRPr="00491343">
        <w:rPr>
          <w:lang w:val="en-GB"/>
        </w:rPr>
        <w:t xml:space="preserve"> et al., 2020).</w:t>
      </w:r>
    </w:p>
    <w:p w14:paraId="14D38B7F" w14:textId="77777777" w:rsidR="00491343" w:rsidRDefault="00491343" w:rsidP="00491343">
      <w:pPr>
        <w:pStyle w:val="ListParagraph"/>
        <w:spacing w:line="276" w:lineRule="auto"/>
        <w:ind w:left="0"/>
        <w:rPr>
          <w:lang w:val="en-GB"/>
        </w:rPr>
      </w:pPr>
    </w:p>
    <w:p w14:paraId="18A59CB8" w14:textId="7B7A1062" w:rsidR="00491343" w:rsidRPr="00491343" w:rsidRDefault="00491343" w:rsidP="00491343">
      <w:pPr>
        <w:pStyle w:val="ListParagraph"/>
        <w:spacing w:line="276" w:lineRule="auto"/>
        <w:ind w:left="0"/>
        <w:rPr>
          <w:lang w:val="en-GB"/>
        </w:rPr>
      </w:pPr>
      <w:r w:rsidRPr="00491343">
        <w:rPr>
          <w:lang w:val="en-GB"/>
        </w:rPr>
        <w:t xml:space="preserve">Thailand also introduced controlled international reopening initiatives such as the “Phuket Sandbox” program, allowing vaccinated tourists to enter specific regions under strict health protocols. This selective reopening approach reflects PATA’s emphasis on risk-managed recovery rather than immediate mass tourism return. Research indicates that gradual reopening reduces reputational risk and builds confidence among international </w:t>
      </w:r>
      <w:proofErr w:type="spellStart"/>
      <w:r w:rsidRPr="00491343">
        <w:rPr>
          <w:lang w:val="en-GB"/>
        </w:rPr>
        <w:t>travelers</w:t>
      </w:r>
      <w:proofErr w:type="spellEnd"/>
      <w:r w:rsidRPr="00491343">
        <w:rPr>
          <w:lang w:val="en-GB"/>
        </w:rPr>
        <w:t xml:space="preserve"> (Sigala, 2020).</w:t>
      </w:r>
    </w:p>
    <w:p w14:paraId="68DC626E" w14:textId="77777777" w:rsidR="00491343" w:rsidRDefault="00491343" w:rsidP="00491343">
      <w:pPr>
        <w:pStyle w:val="ListParagraph"/>
        <w:spacing w:line="276" w:lineRule="auto"/>
        <w:ind w:left="0"/>
        <w:rPr>
          <w:b/>
          <w:bCs/>
          <w:lang w:val="en-GB"/>
        </w:rPr>
      </w:pPr>
    </w:p>
    <w:p w14:paraId="247A06ED" w14:textId="129B3F69" w:rsidR="00491343" w:rsidRPr="00491343" w:rsidRDefault="00491343" w:rsidP="00491343">
      <w:pPr>
        <w:pStyle w:val="ListParagraph"/>
        <w:spacing w:line="276" w:lineRule="auto"/>
        <w:ind w:left="0"/>
        <w:rPr>
          <w:b/>
          <w:bCs/>
          <w:lang w:val="en-GB"/>
        </w:rPr>
      </w:pPr>
      <w:r w:rsidRPr="00491343">
        <w:rPr>
          <w:b/>
          <w:bCs/>
          <w:lang w:val="en-GB"/>
        </w:rPr>
        <w:t>Destination Image Restoration and Marketing</w:t>
      </w:r>
    </w:p>
    <w:p w14:paraId="777B15A4" w14:textId="77777777" w:rsidR="00491343" w:rsidRDefault="00491343" w:rsidP="00491343">
      <w:pPr>
        <w:pStyle w:val="ListParagraph"/>
        <w:spacing w:line="276" w:lineRule="auto"/>
        <w:ind w:left="0"/>
        <w:rPr>
          <w:lang w:val="en-GB"/>
        </w:rPr>
      </w:pPr>
    </w:p>
    <w:p w14:paraId="786881E5" w14:textId="69B8F425" w:rsidR="00491343" w:rsidRPr="00491343" w:rsidRDefault="00491343" w:rsidP="00491343">
      <w:pPr>
        <w:pStyle w:val="ListParagraph"/>
        <w:spacing w:line="276" w:lineRule="auto"/>
        <w:ind w:left="0"/>
        <w:rPr>
          <w:lang w:val="en-GB"/>
        </w:rPr>
      </w:pPr>
      <w:r w:rsidRPr="00491343">
        <w:rPr>
          <w:lang w:val="en-GB"/>
        </w:rPr>
        <w:t xml:space="preserve">A key element of the PATA recovery framework is destination image rebuilding. Thailand repositioned itself as a safe, responsible, and high-quality destination by emphasizing wellness tourism, nature-based experiences, and sustainability. This aligns with academic </w:t>
      </w:r>
      <w:r w:rsidRPr="00491343">
        <w:rPr>
          <w:lang w:val="en-GB"/>
        </w:rPr>
        <w:lastRenderedPageBreak/>
        <w:t>findings that post-crisis tourists increasingly value safety, hygiene, and responsible tourism practices (Zenker &amp; Kock, 2020).</w:t>
      </w:r>
    </w:p>
    <w:p w14:paraId="63633E70" w14:textId="77777777" w:rsidR="00491343" w:rsidRDefault="00491343" w:rsidP="00491343">
      <w:pPr>
        <w:pStyle w:val="ListParagraph"/>
        <w:spacing w:line="276" w:lineRule="auto"/>
        <w:ind w:left="0"/>
        <w:rPr>
          <w:lang w:val="en-GB"/>
        </w:rPr>
      </w:pPr>
    </w:p>
    <w:p w14:paraId="5C4C1930" w14:textId="47FA2B7D" w:rsidR="00491343" w:rsidRPr="00491343" w:rsidRDefault="00491343" w:rsidP="00491343">
      <w:pPr>
        <w:pStyle w:val="ListParagraph"/>
        <w:spacing w:line="276" w:lineRule="auto"/>
        <w:ind w:left="0"/>
        <w:rPr>
          <w:lang w:val="en-GB"/>
        </w:rPr>
      </w:pPr>
      <w:r w:rsidRPr="00491343">
        <w:rPr>
          <w:lang w:val="en-GB"/>
        </w:rPr>
        <w:t>Marketing campaigns focused on reassurance messaging, health certifications, and flexible booking policies. These initiatives helped mitigate perceived risk, which is a major barrier to travel following a crisis. According to Ritchie (2009), destinations that actively manage risk perception recover faster than those that rely solely on market forces.</w:t>
      </w:r>
    </w:p>
    <w:p w14:paraId="6D741440" w14:textId="77777777" w:rsidR="00491343" w:rsidRDefault="00491343" w:rsidP="00491343">
      <w:pPr>
        <w:pStyle w:val="ListParagraph"/>
        <w:spacing w:line="276" w:lineRule="auto"/>
        <w:ind w:left="0"/>
        <w:rPr>
          <w:b/>
          <w:bCs/>
          <w:lang w:val="en-GB"/>
        </w:rPr>
      </w:pPr>
    </w:p>
    <w:p w14:paraId="6E6F2EF6" w14:textId="715F3B55" w:rsidR="00491343" w:rsidRPr="00491343" w:rsidRDefault="00491343" w:rsidP="00491343">
      <w:pPr>
        <w:pStyle w:val="ListParagraph"/>
        <w:spacing w:line="276" w:lineRule="auto"/>
        <w:ind w:left="0"/>
        <w:rPr>
          <w:b/>
          <w:bCs/>
          <w:lang w:val="en-GB"/>
        </w:rPr>
      </w:pPr>
      <w:r w:rsidRPr="00491343">
        <w:rPr>
          <w:b/>
          <w:bCs/>
          <w:lang w:val="en-GB"/>
        </w:rPr>
        <w:t>Long-Term Resilience and Structural Transformation</w:t>
      </w:r>
    </w:p>
    <w:p w14:paraId="5BCD0113" w14:textId="77777777" w:rsidR="00491343" w:rsidRDefault="00491343" w:rsidP="00491343">
      <w:pPr>
        <w:pStyle w:val="ListParagraph"/>
        <w:spacing w:line="276" w:lineRule="auto"/>
        <w:ind w:left="0"/>
        <w:rPr>
          <w:lang w:val="en-GB"/>
        </w:rPr>
      </w:pPr>
    </w:p>
    <w:p w14:paraId="3A697C1E" w14:textId="1939DC81" w:rsidR="00491343" w:rsidRPr="00491343" w:rsidRDefault="00491343" w:rsidP="00491343">
      <w:pPr>
        <w:pStyle w:val="ListParagraph"/>
        <w:spacing w:line="276" w:lineRule="auto"/>
        <w:ind w:left="0"/>
        <w:rPr>
          <w:lang w:val="en-GB"/>
        </w:rPr>
      </w:pPr>
      <w:r w:rsidRPr="00491343">
        <w:rPr>
          <w:lang w:val="en-GB"/>
        </w:rPr>
        <w:t>The final phase of the PATA strategy focuses on long-term learning and resilience. Thailand integrated lessons from COVID-19 into its national tourism strategy by diversifying source markets, promoting digitalization, and supporting small and medium-sized tourism enterprises. Academic literature highlights that resilience-based recovery strategies improve adaptive capacity and reduce vulnerability to future shocks (Jiang et al., 2023).</w:t>
      </w:r>
    </w:p>
    <w:p w14:paraId="74CFF198" w14:textId="77777777" w:rsidR="00491343" w:rsidRDefault="00491343" w:rsidP="00491343">
      <w:pPr>
        <w:pStyle w:val="ListParagraph"/>
        <w:spacing w:line="276" w:lineRule="auto"/>
        <w:ind w:left="0"/>
        <w:rPr>
          <w:lang w:val="en-GB"/>
        </w:rPr>
      </w:pPr>
    </w:p>
    <w:p w14:paraId="7BCB6256" w14:textId="62AF294A" w:rsidR="00491343" w:rsidRPr="00491343" w:rsidRDefault="00491343" w:rsidP="00491343">
      <w:pPr>
        <w:pStyle w:val="ListParagraph"/>
        <w:spacing w:line="276" w:lineRule="auto"/>
        <w:ind w:left="0"/>
        <w:rPr>
          <w:lang w:val="en-GB"/>
        </w:rPr>
      </w:pPr>
      <w:r w:rsidRPr="00491343">
        <w:rPr>
          <w:lang w:val="en-GB"/>
        </w:rPr>
        <w:t>Sustainability became a central pillar of Thailand’s post-crisis tourism policy, aligning economic recovery with environmental and social goals. This approach reflects PATA’s advocacy for “building back better” rather than restoring pre-crisis models that may be unsustainable. Research supports the argument that sustainable recovery enhances destination competitiveness in the long term (</w:t>
      </w:r>
      <w:proofErr w:type="spellStart"/>
      <w:r w:rsidRPr="00491343">
        <w:rPr>
          <w:lang w:val="en-GB"/>
        </w:rPr>
        <w:t>Gössling</w:t>
      </w:r>
      <w:proofErr w:type="spellEnd"/>
      <w:r w:rsidRPr="00491343">
        <w:rPr>
          <w:lang w:val="en-GB"/>
        </w:rPr>
        <w:t xml:space="preserve"> et al., 2020).</w:t>
      </w:r>
    </w:p>
    <w:p w14:paraId="4E25CF9B" w14:textId="77777777" w:rsidR="00491343" w:rsidRDefault="00491343" w:rsidP="00491343">
      <w:pPr>
        <w:pStyle w:val="ListParagraph"/>
        <w:spacing w:line="276" w:lineRule="auto"/>
        <w:ind w:left="0"/>
        <w:rPr>
          <w:b/>
          <w:bCs/>
          <w:lang w:val="en-GB"/>
        </w:rPr>
      </w:pPr>
    </w:p>
    <w:p w14:paraId="44887C78" w14:textId="68743BC4" w:rsidR="00491343" w:rsidRPr="00491343" w:rsidRDefault="00491343" w:rsidP="00491343">
      <w:pPr>
        <w:pStyle w:val="ListParagraph"/>
        <w:spacing w:line="276" w:lineRule="auto"/>
        <w:ind w:left="0"/>
        <w:rPr>
          <w:b/>
          <w:bCs/>
          <w:lang w:val="en-GB"/>
        </w:rPr>
      </w:pPr>
      <w:r w:rsidRPr="00491343">
        <w:rPr>
          <w:b/>
          <w:bCs/>
          <w:lang w:val="en-GB"/>
        </w:rPr>
        <w:t>Conclusion</w:t>
      </w:r>
    </w:p>
    <w:p w14:paraId="06E502C9" w14:textId="77777777" w:rsidR="00491343" w:rsidRDefault="00491343" w:rsidP="00491343">
      <w:pPr>
        <w:pStyle w:val="ListParagraph"/>
        <w:spacing w:line="276" w:lineRule="auto"/>
        <w:ind w:left="0"/>
        <w:rPr>
          <w:lang w:val="en-GB"/>
        </w:rPr>
      </w:pPr>
    </w:p>
    <w:p w14:paraId="431BF1EB" w14:textId="1B9A3B63" w:rsidR="00491343" w:rsidRPr="00491343" w:rsidRDefault="00491343" w:rsidP="00491343">
      <w:pPr>
        <w:pStyle w:val="ListParagraph"/>
        <w:spacing w:line="276" w:lineRule="auto"/>
        <w:ind w:left="0"/>
        <w:rPr>
          <w:lang w:val="en-GB"/>
        </w:rPr>
      </w:pPr>
      <w:r w:rsidRPr="00491343">
        <w:rPr>
          <w:lang w:val="en-GB"/>
        </w:rPr>
        <w:t>The PATA crisis management strategy provides a comprehensive and practical framework for minimizing the impacts of tourism-related crises. Through the case study of Thailand’s tourism recovery after COVID-19, it is evident that structured preparedness, transparent response, phased recovery, and long-term resilience planning can significantly reduce economic losses and reputational damage. Thailand’s experience demonstrates that effective post-crisis recovery is not merely about restoring tourist numbers but about rebuilding trust, improving sustainability, and strengthening governance systems. By applying PATA’s principles, tourism destinations can enhance their ability to withstand future crises and ensure more resilient and sustainable development.</w:t>
      </w:r>
    </w:p>
    <w:p w14:paraId="2B04E59F" w14:textId="77777777" w:rsidR="005F57D8" w:rsidRDefault="005F57D8" w:rsidP="005F57D8">
      <w:pPr>
        <w:pStyle w:val="ListParagraph"/>
        <w:spacing w:line="276" w:lineRule="auto"/>
        <w:ind w:left="0"/>
        <w:rPr>
          <w:lang w:val="en-US"/>
        </w:rPr>
      </w:pPr>
    </w:p>
    <w:p w14:paraId="4E4B1F82" w14:textId="77777777" w:rsidR="00491343" w:rsidRDefault="00491343" w:rsidP="005F57D8">
      <w:pPr>
        <w:pStyle w:val="ListParagraph"/>
        <w:spacing w:line="276" w:lineRule="auto"/>
        <w:ind w:left="0"/>
        <w:rPr>
          <w:lang w:val="en-US"/>
        </w:rPr>
      </w:pPr>
    </w:p>
    <w:p w14:paraId="528CB2DF" w14:textId="77777777" w:rsidR="00491343" w:rsidRDefault="00491343" w:rsidP="005F57D8">
      <w:pPr>
        <w:pStyle w:val="ListParagraph"/>
        <w:spacing w:line="276" w:lineRule="auto"/>
        <w:ind w:left="0"/>
        <w:rPr>
          <w:lang w:val="en-US"/>
        </w:rPr>
      </w:pPr>
    </w:p>
    <w:p w14:paraId="59EFB098" w14:textId="77777777" w:rsidR="00491343" w:rsidRDefault="00491343" w:rsidP="005F57D8">
      <w:pPr>
        <w:pStyle w:val="ListParagraph"/>
        <w:spacing w:line="276" w:lineRule="auto"/>
        <w:ind w:left="0"/>
        <w:rPr>
          <w:lang w:val="en-US"/>
        </w:rPr>
      </w:pPr>
    </w:p>
    <w:p w14:paraId="260A1B77" w14:textId="77777777" w:rsidR="00491343" w:rsidRDefault="00491343" w:rsidP="005F57D8">
      <w:pPr>
        <w:pStyle w:val="ListParagraph"/>
        <w:spacing w:line="276" w:lineRule="auto"/>
        <w:ind w:left="0"/>
        <w:rPr>
          <w:lang w:val="en-US"/>
        </w:rPr>
      </w:pPr>
    </w:p>
    <w:p w14:paraId="7772BF3B" w14:textId="77777777" w:rsidR="00491343" w:rsidRDefault="00491343" w:rsidP="005F57D8">
      <w:pPr>
        <w:pStyle w:val="ListParagraph"/>
        <w:spacing w:line="276" w:lineRule="auto"/>
        <w:ind w:left="0"/>
        <w:rPr>
          <w:lang w:val="en-US"/>
        </w:rPr>
      </w:pPr>
    </w:p>
    <w:p w14:paraId="31474EE5" w14:textId="77777777" w:rsidR="00491343" w:rsidRDefault="00491343" w:rsidP="005F57D8">
      <w:pPr>
        <w:pStyle w:val="ListParagraph"/>
        <w:spacing w:line="276" w:lineRule="auto"/>
        <w:ind w:left="0"/>
        <w:rPr>
          <w:lang w:val="en-US"/>
        </w:rPr>
      </w:pPr>
    </w:p>
    <w:p w14:paraId="7FFD25EA" w14:textId="77777777" w:rsidR="00491343" w:rsidRDefault="00491343" w:rsidP="005F57D8">
      <w:pPr>
        <w:pStyle w:val="ListParagraph"/>
        <w:spacing w:line="276" w:lineRule="auto"/>
        <w:ind w:left="0"/>
        <w:rPr>
          <w:lang w:val="en-US"/>
        </w:rPr>
      </w:pPr>
    </w:p>
    <w:p w14:paraId="2A8E06C5" w14:textId="77777777" w:rsidR="00491343" w:rsidRPr="00491343" w:rsidRDefault="00491343" w:rsidP="00491343">
      <w:pPr>
        <w:pStyle w:val="ListParagraph"/>
        <w:spacing w:line="276" w:lineRule="auto"/>
        <w:rPr>
          <w:b/>
          <w:bCs/>
          <w:lang w:val="en-GB"/>
        </w:rPr>
      </w:pPr>
      <w:r w:rsidRPr="00491343">
        <w:rPr>
          <w:b/>
          <w:bCs/>
          <w:lang w:val="en-GB"/>
        </w:rPr>
        <w:lastRenderedPageBreak/>
        <w:t xml:space="preserve">References </w:t>
      </w:r>
    </w:p>
    <w:p w14:paraId="01B6BE84" w14:textId="77777777" w:rsidR="00491343" w:rsidRDefault="00491343" w:rsidP="00491343">
      <w:pPr>
        <w:pStyle w:val="ListParagraph"/>
        <w:spacing w:line="276" w:lineRule="auto"/>
        <w:rPr>
          <w:lang w:val="en-GB"/>
        </w:rPr>
      </w:pPr>
    </w:p>
    <w:p w14:paraId="34E8060F" w14:textId="25A68E88" w:rsidR="00491343" w:rsidRPr="00491343" w:rsidRDefault="00491343" w:rsidP="00491343">
      <w:pPr>
        <w:pStyle w:val="ListParagraph"/>
        <w:numPr>
          <w:ilvl w:val="0"/>
          <w:numId w:val="13"/>
        </w:numPr>
        <w:spacing w:line="276" w:lineRule="auto"/>
        <w:rPr>
          <w:lang w:val="en-GB"/>
        </w:rPr>
      </w:pPr>
      <w:r w:rsidRPr="00491343">
        <w:rPr>
          <w:lang w:val="en-GB"/>
        </w:rPr>
        <w:t xml:space="preserve">Coombs, W. T. (2015). </w:t>
      </w:r>
      <w:r w:rsidRPr="00491343">
        <w:rPr>
          <w:i/>
          <w:iCs/>
          <w:lang w:val="en-GB"/>
        </w:rPr>
        <w:t>Ongoing crisis communication: Planning, managing, and responding</w:t>
      </w:r>
      <w:r w:rsidRPr="00491343">
        <w:rPr>
          <w:lang w:val="en-GB"/>
        </w:rPr>
        <w:t xml:space="preserve"> (4th ed.). Sage Publications.</w:t>
      </w:r>
    </w:p>
    <w:p w14:paraId="443D4198" w14:textId="77777777" w:rsidR="00491343" w:rsidRPr="00491343" w:rsidRDefault="00491343" w:rsidP="00491343">
      <w:pPr>
        <w:pStyle w:val="ListParagraph"/>
        <w:numPr>
          <w:ilvl w:val="0"/>
          <w:numId w:val="13"/>
        </w:numPr>
        <w:spacing w:line="276" w:lineRule="auto"/>
        <w:rPr>
          <w:lang w:val="en-GB"/>
        </w:rPr>
      </w:pPr>
      <w:proofErr w:type="spellStart"/>
      <w:r w:rsidRPr="00491343">
        <w:rPr>
          <w:lang w:val="en-GB"/>
        </w:rPr>
        <w:t>Gössling</w:t>
      </w:r>
      <w:proofErr w:type="spellEnd"/>
      <w:r w:rsidRPr="00491343">
        <w:rPr>
          <w:lang w:val="en-GB"/>
        </w:rPr>
        <w:t xml:space="preserve">, S., Scott, D., &amp; Hall, C. M. (2020). Pandemics, tourism and global change: A rapid assessment of COVID-19. </w:t>
      </w:r>
      <w:r w:rsidRPr="00491343">
        <w:rPr>
          <w:i/>
          <w:iCs/>
          <w:lang w:val="en-GB"/>
        </w:rPr>
        <w:t>Journal of Sustainable Tourism, 29</w:t>
      </w:r>
      <w:r w:rsidRPr="00491343">
        <w:rPr>
          <w:lang w:val="en-GB"/>
        </w:rPr>
        <w:t xml:space="preserve">(1), 1–20. </w:t>
      </w:r>
      <w:hyperlink r:id="rId6" w:tgtFrame="_new" w:history="1">
        <w:r w:rsidRPr="00491343">
          <w:rPr>
            <w:rStyle w:val="Hyperlink"/>
            <w:lang w:val="en-GB"/>
          </w:rPr>
          <w:t>https://doi.org/10.1080/09669582.2020.1758708</w:t>
        </w:r>
      </w:hyperlink>
    </w:p>
    <w:p w14:paraId="7D0A3D61" w14:textId="77777777" w:rsidR="00491343" w:rsidRPr="00491343" w:rsidRDefault="00491343" w:rsidP="00491343">
      <w:pPr>
        <w:pStyle w:val="ListParagraph"/>
        <w:numPr>
          <w:ilvl w:val="0"/>
          <w:numId w:val="13"/>
        </w:numPr>
        <w:spacing w:line="276" w:lineRule="auto"/>
        <w:rPr>
          <w:lang w:val="en-GB"/>
        </w:rPr>
      </w:pPr>
      <w:r w:rsidRPr="00491343">
        <w:rPr>
          <w:lang w:val="en-GB"/>
        </w:rPr>
        <w:t xml:space="preserve">Jiang, Y., Ritchie, B. W., &amp; </w:t>
      </w:r>
      <w:proofErr w:type="spellStart"/>
      <w:r w:rsidRPr="00491343">
        <w:rPr>
          <w:lang w:val="en-GB"/>
        </w:rPr>
        <w:t>Benckendorff</w:t>
      </w:r>
      <w:proofErr w:type="spellEnd"/>
      <w:r w:rsidRPr="00491343">
        <w:rPr>
          <w:lang w:val="en-GB"/>
        </w:rPr>
        <w:t xml:space="preserve">, P. (2023). Tourism resilience and crisis management: A review and future research agenda. </w:t>
      </w:r>
      <w:r w:rsidRPr="00491343">
        <w:rPr>
          <w:i/>
          <w:iCs/>
          <w:lang w:val="en-GB"/>
        </w:rPr>
        <w:t>Tourism Management Perspectives, 45</w:t>
      </w:r>
      <w:r w:rsidRPr="00491343">
        <w:rPr>
          <w:lang w:val="en-GB"/>
        </w:rPr>
        <w:t xml:space="preserve">, 101048. </w:t>
      </w:r>
      <w:hyperlink r:id="rId7" w:tgtFrame="_new" w:history="1">
        <w:r w:rsidRPr="00491343">
          <w:rPr>
            <w:rStyle w:val="Hyperlink"/>
            <w:lang w:val="en-GB"/>
          </w:rPr>
          <w:t>https://doi.org/10.1016/j.tmp.2022.101048</w:t>
        </w:r>
      </w:hyperlink>
    </w:p>
    <w:p w14:paraId="0CE1B84A" w14:textId="77777777" w:rsidR="00491343" w:rsidRPr="00491343" w:rsidRDefault="00491343" w:rsidP="00491343">
      <w:pPr>
        <w:pStyle w:val="ListParagraph"/>
        <w:numPr>
          <w:ilvl w:val="0"/>
          <w:numId w:val="13"/>
        </w:numPr>
        <w:spacing w:line="276" w:lineRule="auto"/>
        <w:rPr>
          <w:lang w:val="en-GB"/>
        </w:rPr>
      </w:pPr>
      <w:r w:rsidRPr="00491343">
        <w:rPr>
          <w:lang w:val="en-GB"/>
        </w:rPr>
        <w:t xml:space="preserve">Pacific Asia Travel Association (PATA). (2011). </w:t>
      </w:r>
      <w:r w:rsidRPr="00491343">
        <w:rPr>
          <w:i/>
          <w:iCs/>
          <w:lang w:val="en-GB"/>
        </w:rPr>
        <w:t>Crisis management strategy for the tourism industry</w:t>
      </w:r>
      <w:r w:rsidRPr="00491343">
        <w:rPr>
          <w:lang w:val="en-GB"/>
        </w:rPr>
        <w:t>. PATA.</w:t>
      </w:r>
    </w:p>
    <w:p w14:paraId="4A67A0B6" w14:textId="77777777" w:rsidR="00491343" w:rsidRPr="00491343" w:rsidRDefault="00491343" w:rsidP="00491343">
      <w:pPr>
        <w:pStyle w:val="ListParagraph"/>
        <w:numPr>
          <w:ilvl w:val="0"/>
          <w:numId w:val="13"/>
        </w:numPr>
        <w:spacing w:line="276" w:lineRule="auto"/>
        <w:rPr>
          <w:lang w:val="en-GB"/>
        </w:rPr>
      </w:pPr>
      <w:r w:rsidRPr="00491343">
        <w:rPr>
          <w:lang w:val="en-GB"/>
        </w:rPr>
        <w:t xml:space="preserve">Ritchie, B. W. (2009). </w:t>
      </w:r>
      <w:r w:rsidRPr="00491343">
        <w:rPr>
          <w:i/>
          <w:iCs/>
          <w:lang w:val="en-GB"/>
        </w:rPr>
        <w:t>Crisis and disaster management for tourism</w:t>
      </w:r>
      <w:r w:rsidRPr="00491343">
        <w:rPr>
          <w:lang w:val="en-GB"/>
        </w:rPr>
        <w:t>. Channel View Publications.</w:t>
      </w:r>
    </w:p>
    <w:p w14:paraId="048D37F1" w14:textId="77777777" w:rsidR="00491343" w:rsidRPr="00491343" w:rsidRDefault="00491343" w:rsidP="00491343">
      <w:pPr>
        <w:pStyle w:val="ListParagraph"/>
        <w:numPr>
          <w:ilvl w:val="0"/>
          <w:numId w:val="13"/>
        </w:numPr>
        <w:spacing w:line="276" w:lineRule="auto"/>
        <w:rPr>
          <w:lang w:val="en-GB"/>
        </w:rPr>
      </w:pPr>
      <w:r w:rsidRPr="00491343">
        <w:rPr>
          <w:lang w:val="en-GB"/>
        </w:rPr>
        <w:t xml:space="preserve">Sigala, M. (2020). Tourism and COVID-19: Impacts and implications for advancing and resetting industry and research. </w:t>
      </w:r>
      <w:r w:rsidRPr="00491343">
        <w:rPr>
          <w:i/>
          <w:iCs/>
          <w:lang w:val="en-GB"/>
        </w:rPr>
        <w:t>Journal of Business Research, 117</w:t>
      </w:r>
      <w:r w:rsidRPr="00491343">
        <w:rPr>
          <w:lang w:val="en-GB"/>
        </w:rPr>
        <w:t>, 312–321. https://doi.org/10.1016/j.jbusres.2020.06.015</w:t>
      </w:r>
    </w:p>
    <w:p w14:paraId="1C23F7C8" w14:textId="77777777" w:rsidR="00491343" w:rsidRPr="005F57D8" w:rsidRDefault="00491343" w:rsidP="005F57D8">
      <w:pPr>
        <w:pStyle w:val="ListParagraph"/>
        <w:spacing w:line="276" w:lineRule="auto"/>
        <w:ind w:left="0"/>
        <w:rPr>
          <w:lang w:val="en-US"/>
        </w:rPr>
      </w:pPr>
    </w:p>
    <w:sectPr w:rsidR="00491343" w:rsidRPr="005F57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EE4B413-4A4E-4EFD-B539-7571D11D245B}"/>
    <w:embedBold r:id="rId2" w:fontKey="{3FB3BC87-F3DB-4DAC-A9B9-0EB2084CFE5F}"/>
    <w:embedItalic r:id="rId3" w:fontKey="{C72954A9-638A-41AD-B25D-C30D427C910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81566C9-1460-4711-9BD3-1228400C458B}"/>
  </w:font>
  <w:font w:name="Calibri Light">
    <w:panose1 w:val="020F0302020204030204"/>
    <w:charset w:val="00"/>
    <w:family w:val="swiss"/>
    <w:pitch w:val="variable"/>
    <w:sig w:usb0="E4002EFF" w:usb1="C000247B" w:usb2="00000009" w:usb3="00000000" w:csb0="000001FF" w:csb1="00000000"/>
    <w:embedRegular r:id="rId5" w:fontKey="{B2E8D005-9CCE-406C-9CE2-3CACCB2D18A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8673B4"/>
    <w:multiLevelType w:val="hybridMultilevel"/>
    <w:tmpl w:val="FD1CDE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1"/>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88899893">
    <w:abstractNumId w:val="10"/>
  </w:num>
  <w:num w:numId="12" w16cid:durableId="1601794058">
    <w:abstractNumId w:val="12"/>
  </w:num>
  <w:num w:numId="13" w16cid:durableId="1244294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491343"/>
    <w:rsid w:val="00502E29"/>
    <w:rsid w:val="005D6F0D"/>
    <w:rsid w:val="005E458B"/>
    <w:rsid w:val="005F57D8"/>
    <w:rsid w:val="00637F36"/>
    <w:rsid w:val="00661030"/>
    <w:rsid w:val="006F6FA4"/>
    <w:rsid w:val="0070246B"/>
    <w:rsid w:val="00795108"/>
    <w:rsid w:val="00844EC2"/>
    <w:rsid w:val="008516FE"/>
    <w:rsid w:val="0089575A"/>
    <w:rsid w:val="00903466"/>
    <w:rsid w:val="009673A4"/>
    <w:rsid w:val="009A65F5"/>
    <w:rsid w:val="009C1D0A"/>
    <w:rsid w:val="00A044F7"/>
    <w:rsid w:val="00A8150E"/>
    <w:rsid w:val="00B20343"/>
    <w:rsid w:val="00B85EA7"/>
    <w:rsid w:val="00BE65DD"/>
    <w:rsid w:val="00C21EBA"/>
    <w:rsid w:val="00C612A4"/>
    <w:rsid w:val="00CC6AD1"/>
    <w:rsid w:val="00CD620A"/>
    <w:rsid w:val="00D92F0A"/>
    <w:rsid w:val="00E6778A"/>
    <w:rsid w:val="00EA737F"/>
    <w:rsid w:val="00EF143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5D2F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491343"/>
    <w:rPr>
      <w:color w:val="0563C1" w:themeColor="hyperlink"/>
      <w:u w:val="single"/>
    </w:rPr>
  </w:style>
  <w:style w:type="character" w:styleId="UnresolvedMention">
    <w:name w:val="Unresolved Mention"/>
    <w:basedOn w:val="DefaultParagraphFont"/>
    <w:uiPriority w:val="99"/>
    <w:semiHidden/>
    <w:unhideWhenUsed/>
    <w:rsid w:val="00491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tmp.2022.1010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2.2020.1758708"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1327</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2025-12-14T08:28:00Z</dcterms:created>
  <dcterms:modified xsi:type="dcterms:W3CDTF">2025-12-14T08:28:00Z</dcterms:modified>
</cp:coreProperties>
</file>