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321254" w:rsidRDefault="0019504D" w:rsidP="0019504D">
      <w:pPr>
        <w:rPr>
          <w:rFonts w:ascii="Times New Roman" w:hAnsi="Times New Roman" w:cs="Times New Roman"/>
          <w:lang w:val="en-US"/>
        </w:rPr>
      </w:pPr>
      <w:r w:rsidRPr="00321254">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321254" w:rsidRDefault="00661030" w:rsidP="00661030">
      <w:pPr>
        <w:rPr>
          <w:rFonts w:ascii="Times New Roman" w:hAnsi="Times New Roman" w:cs="Times New Roman"/>
          <w:b/>
          <w:bCs/>
          <w:lang w:val="en-US"/>
        </w:rPr>
      </w:pPr>
      <w:r w:rsidRPr="00321254">
        <w:rPr>
          <w:rFonts w:ascii="Times New Roman" w:hAnsi="Times New Roman" w:cs="Times New Roman"/>
          <w:b/>
          <w:bCs/>
          <w:lang w:val="en-US"/>
        </w:rPr>
        <w:t>Tourism</w:t>
      </w:r>
      <w:r w:rsidR="00C21EBA" w:rsidRPr="00321254">
        <w:rPr>
          <w:rFonts w:ascii="Times New Roman" w:hAnsi="Times New Roman" w:cs="Times New Roman"/>
          <w:b/>
          <w:bCs/>
          <w:lang w:val="en-US"/>
        </w:rPr>
        <w:t xml:space="preserve"> </w:t>
      </w:r>
      <w:r w:rsidR="00481859" w:rsidRPr="00321254">
        <w:rPr>
          <w:rFonts w:ascii="Times New Roman" w:hAnsi="Times New Roman" w:cs="Times New Roman"/>
          <w:b/>
          <w:bCs/>
          <w:lang w:val="en-US"/>
        </w:rPr>
        <w:t>Law and Legislation</w:t>
      </w:r>
    </w:p>
    <w:p w:rsidR="0019504D" w:rsidRPr="00321254" w:rsidRDefault="0019504D" w:rsidP="0019504D">
      <w:pPr>
        <w:rPr>
          <w:rFonts w:ascii="Times New Roman" w:hAnsi="Times New Roman" w:cs="Times New Roman"/>
          <w:lang w:val="en-US"/>
        </w:rPr>
      </w:pPr>
      <w:r w:rsidRPr="00321254">
        <w:rPr>
          <w:rFonts w:ascii="Times New Roman" w:hAnsi="Times New Roman" w:cs="Times New Roman"/>
          <w:lang w:val="en-US"/>
        </w:rPr>
        <w:t xml:space="preserve">Assignment </w:t>
      </w:r>
      <w:r w:rsidR="00CA2604" w:rsidRPr="00321254">
        <w:rPr>
          <w:rFonts w:ascii="Times New Roman" w:hAnsi="Times New Roman" w:cs="Times New Roman"/>
          <w:lang w:val="en-US"/>
        </w:rPr>
        <w:t>3</w:t>
      </w:r>
    </w:p>
    <w:p w:rsidR="0019504D" w:rsidRPr="00321254" w:rsidRDefault="00CA2604" w:rsidP="0019504D">
      <w:pPr>
        <w:rPr>
          <w:rFonts w:ascii="Times New Roman" w:hAnsi="Times New Roman" w:cs="Times New Roman"/>
          <w:lang w:val="en-US"/>
        </w:rPr>
      </w:pPr>
      <w:r w:rsidRPr="00321254">
        <w:rPr>
          <w:rFonts w:ascii="Times New Roman" w:hAnsi="Times New Roman" w:cs="Times New Roman"/>
          <w:lang w:val="en-US"/>
        </w:rPr>
        <w:t>2</w:t>
      </w:r>
      <w:r w:rsidR="003E6F9A" w:rsidRPr="00321254">
        <w:rPr>
          <w:rFonts w:ascii="Times New Roman" w:hAnsi="Times New Roman" w:cs="Times New Roman"/>
          <w:lang w:val="en-US"/>
        </w:rPr>
        <w:t>8</w:t>
      </w:r>
      <w:r w:rsidR="0019504D" w:rsidRPr="00321254">
        <w:rPr>
          <w:rFonts w:ascii="Times New Roman" w:hAnsi="Times New Roman" w:cs="Times New Roman"/>
          <w:lang w:val="en-US"/>
        </w:rPr>
        <w:t>.0</w:t>
      </w:r>
      <w:r w:rsidR="00481859" w:rsidRPr="00321254">
        <w:rPr>
          <w:rFonts w:ascii="Times New Roman" w:hAnsi="Times New Roman" w:cs="Times New Roman"/>
          <w:lang w:val="en-US"/>
        </w:rPr>
        <w:t>1</w:t>
      </w:r>
      <w:r w:rsidR="0019504D" w:rsidRPr="00321254">
        <w:rPr>
          <w:rFonts w:ascii="Times New Roman" w:hAnsi="Times New Roman" w:cs="Times New Roman"/>
          <w:lang w:val="en-US"/>
        </w:rPr>
        <w:t>.202</w:t>
      </w:r>
      <w:r w:rsidR="003E6F9A" w:rsidRPr="00321254">
        <w:rPr>
          <w:rFonts w:ascii="Times New Roman" w:hAnsi="Times New Roman" w:cs="Times New Roman"/>
          <w:lang w:val="en-US"/>
        </w:rPr>
        <w:t>6</w:t>
      </w:r>
    </w:p>
    <w:p w:rsidR="0019504D" w:rsidRPr="00321254" w:rsidRDefault="0019504D">
      <w:pPr>
        <w:rPr>
          <w:rFonts w:ascii="Times New Roman" w:hAnsi="Times New Roman" w:cs="Times New Roman"/>
        </w:rPr>
      </w:pPr>
    </w:p>
    <w:p w:rsidR="0019504D" w:rsidRPr="00321254" w:rsidRDefault="0019504D">
      <w:pPr>
        <w:rPr>
          <w:rFonts w:ascii="Times New Roman" w:hAnsi="Times New Roman" w:cs="Times New Roman"/>
        </w:rPr>
      </w:pPr>
    </w:p>
    <w:p w:rsidR="0019504D" w:rsidRPr="00321254" w:rsidRDefault="0019504D">
      <w:pPr>
        <w:rPr>
          <w:rFonts w:ascii="Times New Roman" w:hAnsi="Times New Roman" w:cs="Times New Roman"/>
        </w:rPr>
      </w:pPr>
    </w:p>
    <w:p w:rsidR="0019504D" w:rsidRPr="00321254" w:rsidRDefault="0019504D">
      <w:pPr>
        <w:rPr>
          <w:rFonts w:ascii="Times New Roman" w:hAnsi="Times New Roman" w:cs="Times New Roman"/>
        </w:rPr>
      </w:pPr>
    </w:p>
    <w:p w:rsidR="00321254" w:rsidRPr="00321254" w:rsidRDefault="00321254" w:rsidP="00321254">
      <w:pPr>
        <w:spacing w:before="100" w:beforeAutospacing="1" w:after="100" w:afterAutospacing="1"/>
        <w:rPr>
          <w:rFonts w:ascii="Times New Roman" w:eastAsia="Times New Roman" w:hAnsi="Times New Roman" w:cs="Times New Roman"/>
        </w:rPr>
      </w:pPr>
      <w:r w:rsidRPr="00321254">
        <w:rPr>
          <w:rFonts w:ascii="Times New Roman" w:eastAsia="Times New Roman" w:hAnsi="Times New Roman" w:cs="Times New Roman"/>
          <w:b/>
          <w:bCs/>
        </w:rPr>
        <w:t>Submitted by         :</w:t>
      </w:r>
      <w:r w:rsidRPr="00321254">
        <w:rPr>
          <w:rFonts w:ascii="Times New Roman" w:eastAsia="Times New Roman" w:hAnsi="Times New Roman" w:cs="Times New Roman"/>
        </w:rPr>
        <w:t xml:space="preserve"> Ehtisham Ul Haq</w:t>
      </w:r>
    </w:p>
    <w:p w:rsidR="00321254" w:rsidRPr="00321254" w:rsidRDefault="00321254" w:rsidP="00321254">
      <w:pPr>
        <w:spacing w:before="100" w:beforeAutospacing="1" w:after="100" w:afterAutospacing="1"/>
        <w:rPr>
          <w:rFonts w:ascii="Times New Roman" w:eastAsia="Times New Roman" w:hAnsi="Times New Roman" w:cs="Times New Roman"/>
          <w:b/>
        </w:rPr>
      </w:pPr>
      <w:r w:rsidRPr="00321254">
        <w:rPr>
          <w:rFonts w:ascii="Times New Roman" w:eastAsia="Times New Roman" w:hAnsi="Times New Roman" w:cs="Times New Roman"/>
          <w:b/>
        </w:rPr>
        <w:t>Course                    :</w:t>
      </w:r>
      <w:r w:rsidRPr="00321254">
        <w:rPr>
          <w:rFonts w:ascii="Times New Roman" w:eastAsia="Times New Roman" w:hAnsi="Times New Roman" w:cs="Times New Roman"/>
        </w:rPr>
        <w:t xml:space="preserve"> BA Tourism Management and Recreation</w:t>
      </w:r>
    </w:p>
    <w:p w:rsidR="00321254" w:rsidRPr="00321254" w:rsidRDefault="00321254" w:rsidP="00321254">
      <w:pPr>
        <w:rPr>
          <w:rFonts w:ascii="Times New Roman" w:hAnsi="Times New Roman" w:cs="Times New Roman"/>
          <w:b/>
          <w:bCs/>
        </w:rPr>
      </w:pPr>
      <w:r w:rsidRPr="00321254">
        <w:rPr>
          <w:rFonts w:ascii="Times New Roman" w:eastAsia="Times New Roman" w:hAnsi="Times New Roman" w:cs="Times New Roman"/>
          <w:b/>
        </w:rPr>
        <w:t>Subject</w:t>
      </w:r>
      <w:r w:rsidRPr="00321254">
        <w:rPr>
          <w:rFonts w:ascii="Times New Roman" w:eastAsia="Times New Roman" w:hAnsi="Times New Roman" w:cs="Times New Roman"/>
        </w:rPr>
        <w:t xml:space="preserve">              </w:t>
      </w:r>
      <w:r w:rsidRPr="00321254">
        <w:rPr>
          <w:rFonts w:ascii="Times New Roman" w:eastAsia="Times New Roman" w:hAnsi="Times New Roman" w:cs="Times New Roman"/>
          <w:b/>
        </w:rPr>
        <w:t xml:space="preserve">     : </w:t>
      </w:r>
      <w:r w:rsidRPr="00321254">
        <w:rPr>
          <w:rFonts w:ascii="Times New Roman" w:hAnsi="Times New Roman" w:cs="Times New Roman"/>
          <w:bCs/>
          <w:lang w:val="en-US"/>
        </w:rPr>
        <w:t>Tourism Law and Legislation</w:t>
      </w:r>
    </w:p>
    <w:p w:rsidR="00321254" w:rsidRPr="00321254" w:rsidRDefault="00321254" w:rsidP="00321254">
      <w:pPr>
        <w:spacing w:before="100" w:beforeAutospacing="1" w:after="100" w:afterAutospacing="1"/>
        <w:rPr>
          <w:rFonts w:ascii="Times New Roman" w:eastAsia="Times New Roman" w:hAnsi="Times New Roman" w:cs="Times New Roman"/>
        </w:rPr>
      </w:pPr>
      <w:r w:rsidRPr="00321254">
        <w:rPr>
          <w:rFonts w:ascii="Times New Roman" w:eastAsia="Times New Roman" w:hAnsi="Times New Roman" w:cs="Times New Roman"/>
          <w:b/>
          <w:bCs/>
        </w:rPr>
        <w:t>Institution Name   :</w:t>
      </w:r>
      <w:r w:rsidRPr="00321254">
        <w:rPr>
          <w:rFonts w:ascii="Times New Roman" w:eastAsia="Times New Roman" w:hAnsi="Times New Roman" w:cs="Times New Roman"/>
        </w:rPr>
        <w:t xml:space="preserve"> European Institute of Innovation Entrepreneurship and Technology</w:t>
      </w:r>
    </w:p>
    <w:p w:rsidR="00321254" w:rsidRPr="00321254" w:rsidRDefault="00321254" w:rsidP="00321254">
      <w:pPr>
        <w:spacing w:before="100" w:beforeAutospacing="1" w:after="100" w:afterAutospacing="1"/>
        <w:rPr>
          <w:rFonts w:ascii="Times New Roman" w:eastAsia="Times New Roman" w:hAnsi="Times New Roman" w:cs="Times New Roman"/>
        </w:rPr>
      </w:pPr>
      <w:r w:rsidRPr="00321254">
        <w:rPr>
          <w:rFonts w:ascii="Times New Roman" w:eastAsia="Times New Roman" w:hAnsi="Times New Roman" w:cs="Times New Roman"/>
          <w:b/>
          <w:lang w:val="en-US"/>
        </w:rPr>
        <w:t>Student ID              :</w:t>
      </w:r>
      <w:r w:rsidRPr="00321254">
        <w:rPr>
          <w:rFonts w:ascii="Times New Roman" w:eastAsia="Times New Roman" w:hAnsi="Times New Roman" w:cs="Times New Roman"/>
          <w:lang w:val="en-US"/>
        </w:rPr>
        <w:t xml:space="preserve"> DE240197</w:t>
      </w:r>
    </w:p>
    <w:p w:rsidR="0019504D" w:rsidRPr="00321254" w:rsidRDefault="0019504D">
      <w:pPr>
        <w:rPr>
          <w:rFonts w:ascii="Times New Roman" w:hAnsi="Times New Roman" w:cs="Times New Roman"/>
        </w:rPr>
      </w:pPr>
    </w:p>
    <w:p w:rsidR="0019504D" w:rsidRPr="00321254" w:rsidRDefault="0019504D">
      <w:pPr>
        <w:rPr>
          <w:rFonts w:ascii="Times New Roman" w:hAnsi="Times New Roman" w:cs="Times New Roman"/>
        </w:rPr>
      </w:pPr>
    </w:p>
    <w:p w:rsidR="00321254" w:rsidRPr="00321254" w:rsidRDefault="00321254" w:rsidP="00321254">
      <w:pPr>
        <w:rPr>
          <w:rFonts w:ascii="Times New Roman" w:hAnsi="Times New Roman" w:cs="Times New Roman"/>
        </w:rPr>
      </w:pPr>
      <w:r w:rsidRPr="00321254">
        <w:rPr>
          <w:rFonts w:ascii="Times New Roman" w:hAnsi="Times New Roman" w:cs="Times New Roman"/>
        </w:rPr>
        <w:pict>
          <v:rect id="_x0000_i1025" style="width:0;height:1.5pt" o:hralign="center" o:hrstd="t" o:hr="t" fillcolor="#a0a0a0" stroked="f"/>
        </w:pict>
      </w:r>
    </w:p>
    <w:p w:rsidR="00321254" w:rsidRPr="00321254" w:rsidRDefault="00321254" w:rsidP="00321254">
      <w:pPr>
        <w:pStyle w:val="Heading1"/>
        <w:rPr>
          <w:rFonts w:ascii="Times New Roman" w:hAnsi="Times New Roman" w:cs="Times New Roman"/>
          <w:sz w:val="24"/>
          <w:szCs w:val="24"/>
        </w:rPr>
      </w:pPr>
      <w:r w:rsidRPr="00321254">
        <w:rPr>
          <w:rStyle w:val="Strong"/>
          <w:rFonts w:ascii="Times New Roman" w:hAnsi="Times New Roman" w:cs="Times New Roman"/>
          <w:bCs/>
          <w:sz w:val="24"/>
          <w:szCs w:val="24"/>
        </w:rPr>
        <w:t>Challenges in Harmonizing Consumer Protection Standards Globally</w:t>
      </w:r>
    </w:p>
    <w:p w:rsidR="00321254" w:rsidRPr="00321254" w:rsidRDefault="00321254" w:rsidP="00321254">
      <w:pPr>
        <w:pStyle w:val="NormalWeb"/>
      </w:pPr>
      <w:r w:rsidRPr="00321254">
        <w:t>Harmonizing consumer protection standards across the global tourism industry is a complex and multifaceted challenge due to differences in legal frameworks, economic development, cultural norms, and enforcement capacity. As tourism becomes increasingly international, travelers frequently interact with multiple jurisdictions, each governed by its own laws. While harmonization aims to provide consistent rights and obligations for consumers worldwide, several key challenges hinder its practical implementation.</w:t>
      </w:r>
    </w:p>
    <w:p w:rsidR="00321254" w:rsidRPr="00321254" w:rsidRDefault="00321254" w:rsidP="00321254">
      <w:pPr>
        <w:pStyle w:val="NormalWeb"/>
      </w:pPr>
      <w:r w:rsidRPr="00321254">
        <w:rPr>
          <w:rStyle w:val="Strong"/>
          <w:rFonts w:eastAsiaTheme="majorEastAsia"/>
        </w:rPr>
        <w:t>1. Variations in Legal Frameworks</w:t>
      </w:r>
      <w:r w:rsidRPr="00321254">
        <w:br/>
        <w:t xml:space="preserve">One of the primary obstacles is the significant variation in legal systems between countries. Developed nations often have comprehensive consumer protection laws, such as the European Union’s Package Travel Directive or the U.S. Federal Trade Commission regulations, which provide extensive safeguards, including compensation, refunds, and dispute resolution mechanisms (European Commission, 2018; UNWTO, 2019). </w:t>
      </w:r>
      <w:bookmarkStart w:id="0" w:name="_GoBack"/>
      <w:bookmarkEnd w:id="0"/>
    </w:p>
    <w:p w:rsidR="00321254" w:rsidRPr="00321254" w:rsidRDefault="00321254" w:rsidP="00321254">
      <w:pPr>
        <w:pStyle w:val="NormalWeb"/>
      </w:pPr>
      <w:r w:rsidRPr="00321254">
        <w:rPr>
          <w:rStyle w:val="Strong"/>
          <w:rFonts w:eastAsiaTheme="majorEastAsia"/>
        </w:rPr>
        <w:t>2. Differences in Enforcement and Institutional Capacity</w:t>
      </w:r>
      <w:r w:rsidRPr="00321254">
        <w:br/>
        <w:t xml:space="preserve">Even when consumer protection laws exist, enforcement capacity varies widely. Countries with limited resources, understaffed regulatory agencies, or inefficient judicial systems struggle to implement and monitor compliance effectively. Travelers may encounter difficulties in claiming compensation or enforcing rights when service providers operate across borders, creating gaps in protection (Sharpley, 2009). </w:t>
      </w:r>
    </w:p>
    <w:p w:rsidR="00321254" w:rsidRDefault="00321254" w:rsidP="00321254">
      <w:pPr>
        <w:pStyle w:val="NormalWeb"/>
      </w:pPr>
      <w:r w:rsidRPr="00321254">
        <w:rPr>
          <w:rStyle w:val="Strong"/>
          <w:rFonts w:eastAsiaTheme="majorEastAsia"/>
        </w:rPr>
        <w:t>3. Economic and Cultural Considerations</w:t>
      </w:r>
      <w:r w:rsidRPr="00321254">
        <w:br/>
        <w:t xml:space="preserve">Economic and cultural differences further complicate harmonization. In some regions, informal tourism markets dominate, where regulatory compliance is low and consumer </w:t>
      </w:r>
      <w:r w:rsidRPr="00321254">
        <w:lastRenderedPageBreak/>
        <w:t xml:space="preserve">expectations differ. Cultural norms may also influence perceptions of fairness, responsibility, and dispute resolution. </w:t>
      </w:r>
    </w:p>
    <w:p w:rsidR="00321254" w:rsidRPr="00321254" w:rsidRDefault="00321254" w:rsidP="00321254">
      <w:pPr>
        <w:pStyle w:val="NormalWeb"/>
      </w:pPr>
      <w:r w:rsidRPr="00321254">
        <w:rPr>
          <w:rStyle w:val="Strong"/>
          <w:rFonts w:eastAsiaTheme="majorEastAsia"/>
        </w:rPr>
        <w:t>4. Jurisdictional and Cross-Border Challenges</w:t>
      </w:r>
      <w:r w:rsidRPr="00321254">
        <w:br/>
        <w:t xml:space="preserve">Tourism inherently involves cross-border transactions, which raise jurisdictional challenges. Travelers may book services in one country, consume them in another, and face legal disputes in a third. Determining which country’s laws apply, resolving conflicts of law, and coordinating enforcement across borders are complex legal problems. </w:t>
      </w:r>
    </w:p>
    <w:p w:rsidR="00321254" w:rsidRPr="00321254" w:rsidRDefault="00321254" w:rsidP="00321254">
      <w:pPr>
        <w:pStyle w:val="NormalWeb"/>
      </w:pPr>
      <w:r w:rsidRPr="00321254">
        <w:rPr>
          <w:rStyle w:val="Strong"/>
          <w:rFonts w:eastAsiaTheme="majorEastAsia"/>
        </w:rPr>
        <w:t>5. Technological and Market Evolution</w:t>
      </w:r>
      <w:r w:rsidRPr="00321254">
        <w:br/>
        <w:t>The rapid growth of online travel platforms and digital services introduces additional challenges. Emerging business models, dynamic pricing, and virtual marketplaces often outpace existing legal frameworks, making standardization difficult. Harmonized consumer protection standards must be flexible enough to address technological changes while maintaining clear rights and obligations (Edelman &amp; Suchman, 2016).</w:t>
      </w:r>
    </w:p>
    <w:p w:rsidR="00321254" w:rsidRPr="00321254" w:rsidRDefault="00321254" w:rsidP="00321254">
      <w:pPr>
        <w:pStyle w:val="NormalWeb"/>
      </w:pPr>
      <w:r w:rsidRPr="00321254">
        <w:rPr>
          <w:rStyle w:val="Strong"/>
          <w:rFonts w:eastAsiaTheme="majorEastAsia"/>
        </w:rPr>
        <w:t>Conclusion</w:t>
      </w:r>
      <w:r w:rsidRPr="00321254">
        <w:br/>
        <w:t>In summary, harmonizing global consumer protection standards in tourism is hindered by variations in legal frameworks, enforcement capacity, economic and cultural differences, jurisdictional complexities, and technological evolution. While international guidelines such as the UNWTO Global Code of Ethics for Tourism provide a foundation, achieving effective global harmonization requires international cooperation, capacity-building in developing nations, and adaptable regulations that consider both local realities and global best practices.</w:t>
      </w:r>
    </w:p>
    <w:p w:rsidR="00321254" w:rsidRPr="00321254" w:rsidRDefault="00321254" w:rsidP="00321254">
      <w:pPr>
        <w:rPr>
          <w:rFonts w:ascii="Times New Roman" w:hAnsi="Times New Roman" w:cs="Times New Roman"/>
        </w:rPr>
      </w:pPr>
      <w:r w:rsidRPr="00321254">
        <w:rPr>
          <w:rFonts w:ascii="Times New Roman" w:hAnsi="Times New Roman" w:cs="Times New Roman"/>
        </w:rPr>
        <w:pict>
          <v:rect id="_x0000_i1026" style="width:0;height:1.5pt" o:hralign="center" o:hrstd="t" o:hr="t" fillcolor="#a0a0a0" stroked="f"/>
        </w:pict>
      </w:r>
    </w:p>
    <w:p w:rsidR="00321254" w:rsidRPr="00321254" w:rsidRDefault="00321254" w:rsidP="00321254">
      <w:pPr>
        <w:pStyle w:val="Heading3"/>
        <w:rPr>
          <w:rFonts w:ascii="Times New Roman" w:hAnsi="Times New Roman" w:cs="Times New Roman"/>
        </w:rPr>
      </w:pPr>
      <w:r w:rsidRPr="00321254">
        <w:rPr>
          <w:rStyle w:val="Strong"/>
          <w:rFonts w:ascii="Times New Roman" w:hAnsi="Times New Roman" w:cs="Times New Roman"/>
          <w:b w:val="0"/>
          <w:bCs w:val="0"/>
        </w:rPr>
        <w:t xml:space="preserve">References </w:t>
      </w:r>
    </w:p>
    <w:p w:rsidR="00321254" w:rsidRPr="00321254" w:rsidRDefault="00321254" w:rsidP="00321254">
      <w:pPr>
        <w:pStyle w:val="NormalWeb"/>
      </w:pPr>
      <w:r w:rsidRPr="00321254">
        <w:t xml:space="preserve">Edelman, D. C., &amp; Suchman, M. C. (2016). </w:t>
      </w:r>
      <w:r w:rsidRPr="00321254">
        <w:rPr>
          <w:rStyle w:val="Emphasis"/>
        </w:rPr>
        <w:t>The principal-agent problem in services</w:t>
      </w:r>
      <w:r w:rsidRPr="00321254">
        <w:t>. Harvard Business Review.</w:t>
      </w:r>
      <w:r w:rsidRPr="00321254">
        <w:br/>
      </w:r>
      <w:hyperlink r:id="rId5" w:history="1">
        <w:r w:rsidRPr="00321254">
          <w:rPr>
            <w:rStyle w:val="Hyperlink"/>
          </w:rPr>
          <w:t>https:/</w:t>
        </w:r>
        <w:r w:rsidRPr="00321254">
          <w:rPr>
            <w:rStyle w:val="Hyperlink"/>
          </w:rPr>
          <w:t>/</w:t>
        </w:r>
        <w:r w:rsidRPr="00321254">
          <w:rPr>
            <w:rStyle w:val="Hyperlink"/>
          </w:rPr>
          <w:t>hbr.org</w:t>
        </w:r>
      </w:hyperlink>
    </w:p>
    <w:p w:rsidR="00321254" w:rsidRPr="00321254" w:rsidRDefault="00321254" w:rsidP="00321254">
      <w:pPr>
        <w:pStyle w:val="NormalWeb"/>
      </w:pPr>
      <w:r w:rsidRPr="00321254">
        <w:t xml:space="preserve">European Commission. (2018). </w:t>
      </w:r>
      <w:r w:rsidRPr="00321254">
        <w:rPr>
          <w:rStyle w:val="Emphasis"/>
        </w:rPr>
        <w:t>Package Travel Directive</w:t>
      </w:r>
      <w:r w:rsidRPr="00321254">
        <w:t>.</w:t>
      </w:r>
      <w:r w:rsidRPr="00321254">
        <w:br/>
      </w:r>
      <w:hyperlink r:id="rId6" w:history="1">
        <w:r w:rsidRPr="00321254">
          <w:rPr>
            <w:rStyle w:val="Hyperlink"/>
          </w:rPr>
          <w:t>https://ec.europa.eu/info/law/law-topic/consume</w:t>
        </w:r>
        <w:r w:rsidRPr="00321254">
          <w:rPr>
            <w:rStyle w:val="Hyperlink"/>
          </w:rPr>
          <w:t>r</w:t>
        </w:r>
        <w:r w:rsidRPr="00321254">
          <w:rPr>
            <w:rStyle w:val="Hyperlink"/>
          </w:rPr>
          <w:t>-protection-law/package-travel-directive_en</w:t>
        </w:r>
      </w:hyperlink>
    </w:p>
    <w:p w:rsidR="00321254" w:rsidRPr="00321254" w:rsidRDefault="00321254" w:rsidP="00321254">
      <w:pPr>
        <w:pStyle w:val="NormalWeb"/>
      </w:pPr>
      <w:r w:rsidRPr="00321254">
        <w:t xml:space="preserve">Hall, C. M., &amp; Jenkins, J. M. (1995). </w:t>
      </w:r>
      <w:r w:rsidRPr="00321254">
        <w:rPr>
          <w:rStyle w:val="Emphasis"/>
        </w:rPr>
        <w:t>Tourism and public policy</w:t>
      </w:r>
      <w:r w:rsidRPr="00321254">
        <w:t>. Routledge.</w:t>
      </w:r>
      <w:r w:rsidRPr="00321254">
        <w:br/>
      </w:r>
      <w:hyperlink r:id="rId7" w:history="1">
        <w:r w:rsidRPr="00321254">
          <w:rPr>
            <w:rStyle w:val="Hyperlink"/>
          </w:rPr>
          <w:t>https://www.routledge.com/Tourism-and-Public-Policy/Hall-Jenk</w:t>
        </w:r>
        <w:r w:rsidRPr="00321254">
          <w:rPr>
            <w:rStyle w:val="Hyperlink"/>
          </w:rPr>
          <w:t>i</w:t>
        </w:r>
        <w:r w:rsidRPr="00321254">
          <w:rPr>
            <w:rStyle w:val="Hyperlink"/>
          </w:rPr>
          <w:t>ns/p/book/9780415107470</w:t>
        </w:r>
      </w:hyperlink>
    </w:p>
    <w:p w:rsidR="00321254" w:rsidRPr="00321254" w:rsidRDefault="00321254" w:rsidP="00321254">
      <w:pPr>
        <w:pStyle w:val="NormalWeb"/>
      </w:pPr>
      <w:r w:rsidRPr="00321254">
        <w:t xml:space="preserve">Sharpley, R. (2009). </w:t>
      </w:r>
      <w:r w:rsidRPr="00321254">
        <w:rPr>
          <w:rStyle w:val="Emphasis"/>
        </w:rPr>
        <w:t>Tourism development and the environment</w:t>
      </w:r>
      <w:r w:rsidRPr="00321254">
        <w:t>. Earthscan.</w:t>
      </w:r>
      <w:r w:rsidRPr="00321254">
        <w:br/>
      </w:r>
      <w:hyperlink r:id="rId8" w:history="1">
        <w:r w:rsidRPr="00321254">
          <w:rPr>
            <w:rStyle w:val="Hyperlink"/>
          </w:rPr>
          <w:t>https://www.routledge.com/Tourism-Development-and-the-Environment/Sharpley/p/bo</w:t>
        </w:r>
        <w:r w:rsidRPr="00321254">
          <w:rPr>
            <w:rStyle w:val="Hyperlink"/>
          </w:rPr>
          <w:t>o</w:t>
        </w:r>
        <w:r w:rsidRPr="00321254">
          <w:rPr>
            <w:rStyle w:val="Hyperlink"/>
          </w:rPr>
          <w:t>k/9781844075785</w:t>
        </w:r>
      </w:hyperlink>
    </w:p>
    <w:p w:rsidR="00321254" w:rsidRPr="00321254" w:rsidRDefault="00321254" w:rsidP="00321254">
      <w:pPr>
        <w:pStyle w:val="NormalWeb"/>
      </w:pPr>
      <w:r w:rsidRPr="00321254">
        <w:t xml:space="preserve">UNWTO. (2019). </w:t>
      </w:r>
      <w:r w:rsidRPr="00321254">
        <w:rPr>
          <w:rStyle w:val="Emphasis"/>
        </w:rPr>
        <w:t>International tourism and consumer protection</w:t>
      </w:r>
      <w:r w:rsidRPr="00321254">
        <w:t>.</w:t>
      </w:r>
      <w:r w:rsidRPr="00321254">
        <w:br/>
      </w:r>
      <w:hyperlink r:id="rId9" w:history="1">
        <w:r w:rsidRPr="00321254">
          <w:rPr>
            <w:rStyle w:val="Hyperlink"/>
          </w:rPr>
          <w:t>https://w</w:t>
        </w:r>
        <w:r w:rsidRPr="00321254">
          <w:rPr>
            <w:rStyle w:val="Hyperlink"/>
          </w:rPr>
          <w:t>w</w:t>
        </w:r>
        <w:r w:rsidRPr="00321254">
          <w:rPr>
            <w:rStyle w:val="Hyperlink"/>
          </w:rPr>
          <w:t>w.unwto.org</w:t>
        </w:r>
      </w:hyperlink>
    </w:p>
    <w:p w:rsidR="00EA737F" w:rsidRPr="00321254" w:rsidRDefault="00EA737F" w:rsidP="00321254">
      <w:pPr>
        <w:rPr>
          <w:rFonts w:ascii="Times New Roman" w:hAnsi="Times New Roman" w:cs="Times New Roman"/>
        </w:rPr>
      </w:pPr>
    </w:p>
    <w:sectPr w:rsidR="00EA737F" w:rsidRPr="00321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8090A9A8-44A5-4896-9077-44FDF6228538}"/>
    <w:embedBold r:id="rId2" w:fontKey="{E0599B55-DB45-42A4-95AE-3A0116A8AE0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57C4E44-533A-4317-928B-912264AAC77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C026E7BC-2A2D-4E95-8878-12A674B685E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21254"/>
    <w:rsid w:val="00384E8A"/>
    <w:rsid w:val="003D1074"/>
    <w:rsid w:val="003E6F9A"/>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DEE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321254"/>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254"/>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21254"/>
    <w:rPr>
      <w:b/>
      <w:bCs/>
    </w:rPr>
  </w:style>
  <w:style w:type="character" w:styleId="Emphasis">
    <w:name w:val="Emphasis"/>
    <w:basedOn w:val="DefaultParagraphFont"/>
    <w:uiPriority w:val="20"/>
    <w:qFormat/>
    <w:rsid w:val="00321254"/>
    <w:rPr>
      <w:i/>
      <w:iCs/>
    </w:rPr>
  </w:style>
  <w:style w:type="character" w:styleId="Hyperlink">
    <w:name w:val="Hyperlink"/>
    <w:basedOn w:val="DefaultParagraphFont"/>
    <w:uiPriority w:val="99"/>
    <w:semiHidden/>
    <w:unhideWhenUsed/>
    <w:rsid w:val="00321254"/>
    <w:rPr>
      <w:color w:val="0000FF"/>
      <w:u w:val="single"/>
    </w:rPr>
  </w:style>
  <w:style w:type="character" w:styleId="FollowedHyperlink">
    <w:name w:val="FollowedHyperlink"/>
    <w:basedOn w:val="DefaultParagraphFont"/>
    <w:uiPriority w:val="99"/>
    <w:semiHidden/>
    <w:unhideWhenUsed/>
    <w:rsid w:val="003212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 w:id="2047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Tourism-Development-and-the-Environment/Sharpley/p/book/9781844075785" TargetMode="External"/><Relationship Id="rId3" Type="http://schemas.openxmlformats.org/officeDocument/2006/relationships/webSettings" Target="webSettings.xml"/><Relationship Id="rId7" Type="http://schemas.openxmlformats.org/officeDocument/2006/relationships/hyperlink" Target="https://www.routledge.com/Tourism-and-Public-Policy/Hall-Jenkins/p/book/97804151074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info/law/law-topic/consumer-protection-law/package-travel-directive_en" TargetMode="External"/><Relationship Id="rId11" Type="http://schemas.openxmlformats.org/officeDocument/2006/relationships/theme" Target="theme/theme1.xml"/><Relationship Id="rId5" Type="http://schemas.openxmlformats.org/officeDocument/2006/relationships/hyperlink" Target="https://hbr.org/"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unwto.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2026-01-31T04:44:00Z</dcterms:created>
  <dcterms:modified xsi:type="dcterms:W3CDTF">2026-01-31T04:44:00Z</dcterms:modified>
</cp:coreProperties>
</file>