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6927147A"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lastRenderedPageBreak/>
        <w:t>Heritage Management Plan Analysis: Petra Archaeological Park Management Plan (Jordan)</w:t>
      </w:r>
    </w:p>
    <w:p w14:paraId="1B4977B2" w14:textId="3B366CFF"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The Petra Archaeological Park in Jordan, a UNESCO World Heritage Site, is one of the most significant cultural heritage landscapes in the world. Known for its rock-cut architecture and advanced water management systems developed by the Nabataean civilization, Petra represents both archaeological and cultural value of global importance. The site is managed through a comprehensive management plan that aims to balance conservation, tourism, and community development. This essay critically </w:t>
      </w:r>
      <w:r w:rsidR="002E2BA4" w:rsidRPr="00584FEB">
        <w:rPr>
          <w:rFonts w:ascii="Times New Roman" w:hAnsi="Times New Roman" w:cs="Times New Roman"/>
          <w:lang w:val="en-GB"/>
        </w:rPr>
        <w:t>analyses</w:t>
      </w:r>
      <w:r w:rsidRPr="00584FEB">
        <w:rPr>
          <w:rFonts w:ascii="Times New Roman" w:hAnsi="Times New Roman" w:cs="Times New Roman"/>
          <w:lang w:val="en-GB"/>
        </w:rPr>
        <w:t xml:space="preserve"> three major components of the Petra Management Plan: the Vision Statement, Objectives, and Value Statement, highlighting their strengths and limitations in the context of contemporary heritage management practices.</w:t>
      </w:r>
    </w:p>
    <w:p w14:paraId="6C81A64D" w14:textId="5F4A6598" w:rsidR="00584FEB" w:rsidRPr="00584FEB" w:rsidRDefault="00584FEB" w:rsidP="00584FEB">
      <w:pPr>
        <w:spacing w:line="360" w:lineRule="auto"/>
        <w:rPr>
          <w:rFonts w:ascii="Times New Roman" w:hAnsi="Times New Roman" w:cs="Times New Roman"/>
          <w:lang w:val="en-GB"/>
        </w:rPr>
      </w:pPr>
    </w:p>
    <w:p w14:paraId="44D5D27B"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Vision Statement</w:t>
      </w:r>
    </w:p>
    <w:p w14:paraId="59F891EC"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The vision of the Petra Management Plan emphasizes the protection of the site’s Outstanding Universal Value (OUV) while promoting sustainable tourism and improving the socio-economic conditions of local communities. It aims to ensure that Petra is preserved for future generations while remaining accessible and beneficial to present-day stakeholders.</w:t>
      </w:r>
    </w:p>
    <w:p w14:paraId="3002F163"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 major strength of this vision is its clear emphasis on sustainability. By recognizing the need to balance conservation with tourism and economic development, the plan reflects modern heritage management approaches that view heritage as both a cultural and economic resource. This aligns with global frameworks that advocate for sustainable use rather than strict preservation (Rodwell, 2012). The inclusion of local community development also demonstrates an understanding that heritage management must contribute to social well-being.</w:t>
      </w:r>
    </w:p>
    <w:p w14:paraId="7BF336F5" w14:textId="39DA7A76"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Another strength is the recognition of Petra as a cultural landscape rather than a collection of isolated monuments. The vision acknowledges the importance of the surrounding environment, including natural features </w:t>
      </w:r>
      <w:proofErr w:type="spellStart"/>
      <w:r w:rsidRPr="00584FEB">
        <w:rPr>
          <w:rFonts w:ascii="Times New Roman" w:hAnsi="Times New Roman" w:cs="Times New Roman"/>
          <w:lang w:val="en-GB"/>
        </w:rPr>
        <w:t>su</w:t>
      </w:r>
      <w:r>
        <w:rPr>
          <w:rFonts w:ascii="Times New Roman" w:hAnsi="Times New Roman" w:cs="Times New Roman"/>
          <w:lang w:val="en-US"/>
        </w:rPr>
        <w:t>ch</w:t>
      </w:r>
      <w:proofErr w:type="spellEnd"/>
      <w:r>
        <w:rPr>
          <w:rFonts w:ascii="Times New Roman" w:hAnsi="Times New Roman" w:cs="Times New Roman"/>
          <w:lang w:val="en-US"/>
        </w:rPr>
        <w:t xml:space="preserve"> </w:t>
      </w:r>
      <w:r w:rsidRPr="00584FEB">
        <w:rPr>
          <w:rFonts w:ascii="Times New Roman" w:hAnsi="Times New Roman" w:cs="Times New Roman"/>
          <w:lang w:val="en-GB"/>
        </w:rPr>
        <w:t xml:space="preserve">formations </w:t>
      </w:r>
      <w:r w:rsidR="002E2BA4" w:rsidRPr="00584FEB">
        <w:rPr>
          <w:rFonts w:ascii="Times New Roman" w:hAnsi="Times New Roman" w:cs="Times New Roman"/>
          <w:lang w:val="en-GB"/>
        </w:rPr>
        <w:t>and systems</w:t>
      </w:r>
      <w:r w:rsidRPr="00584FEB">
        <w:rPr>
          <w:rFonts w:ascii="Times New Roman" w:hAnsi="Times New Roman" w:cs="Times New Roman"/>
          <w:lang w:val="en-GB"/>
        </w:rPr>
        <w:t>. This integrated perspective is essential for maintaining the site’s authenticity and integrity.</w:t>
      </w:r>
    </w:p>
    <w:p w14:paraId="3C904699" w14:textId="702FD16A"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However, the vision also has limitations. While it promotes sustainability, it remains somewhat broad and lacks clear priorities. For example, the tension between increasing tourism revenue and protecting fragile sandstone structures is not explicitly addressed. Petra receives large numbers of visitors annually, and this creates significant on the site. Without clear guidelines on limits and thresholds, the vision may be difficult to implement effectively.</w:t>
      </w:r>
    </w:p>
    <w:p w14:paraId="05F11D26"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lastRenderedPageBreak/>
        <w:t>Additionally, although the vision mentions community benefits, it does not clearly define how local communities will be actively involved in decision-making processes. Scholars argue that participation is a key element of sustainable heritage management, and its absence can lead to unequal distribution of benefits (</w:t>
      </w:r>
      <w:proofErr w:type="spellStart"/>
      <w:r w:rsidRPr="00584FEB">
        <w:rPr>
          <w:rFonts w:ascii="Times New Roman" w:hAnsi="Times New Roman" w:cs="Times New Roman"/>
          <w:lang w:val="en-GB"/>
        </w:rPr>
        <w:t>Chirikure</w:t>
      </w:r>
      <w:proofErr w:type="spellEnd"/>
      <w:r w:rsidRPr="00584FEB">
        <w:rPr>
          <w:rFonts w:ascii="Times New Roman" w:hAnsi="Times New Roman" w:cs="Times New Roman"/>
          <w:lang w:val="en-GB"/>
        </w:rPr>
        <w:t xml:space="preserve"> et al., 2010). Strengthening participatory mechanisms would enhance the effectiveness of the vision.</w:t>
      </w:r>
    </w:p>
    <w:p w14:paraId="0DF7EBD0" w14:textId="39058350" w:rsidR="00584FEB" w:rsidRPr="00584FEB" w:rsidRDefault="00584FEB" w:rsidP="00584FEB">
      <w:pPr>
        <w:spacing w:line="360" w:lineRule="auto"/>
        <w:rPr>
          <w:rFonts w:ascii="Times New Roman" w:hAnsi="Times New Roman" w:cs="Times New Roman"/>
          <w:lang w:val="en-GB"/>
        </w:rPr>
      </w:pPr>
    </w:p>
    <w:p w14:paraId="7B1E3618"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Objectives</w:t>
      </w:r>
    </w:p>
    <w:p w14:paraId="510E2503"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The objectives of the Petra Management Plan translate the vision into practical strategies. These include conserving archaeological features, managing tourism, protecting the natural environment, and supporting local livelihoods.</w:t>
      </w:r>
    </w:p>
    <w:p w14:paraId="26AECC51" w14:textId="6C0A3C9D"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One of the key strengths of these objectives is their comprehensive scope. The plan addresses both cultural and natural conservation, reflecting an understanding of Petra as a complex heritage system. Measures such as monitoring the condition of sandstone structures and controlling erosion are essential for preserving the site’s physical integrity. Environmental management is particularly important due to the vulnerability of Petra’s rock formations to weathering and damage.</w:t>
      </w:r>
    </w:p>
    <w:p w14:paraId="1AE10C4E"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Another strength is the focus on tourism management. The plan includes strategies such as regulating visitor routes, improving infrastructure, and developing alternative attractions to reduce overcrowding in key areas like the Treasury. These measures are consistent with best practices in heritage tourism management, which emphasize distributing visitor pressure and minimizing physical impact (Garrod &amp; Fyall, 2000).</w:t>
      </w:r>
    </w:p>
    <w:p w14:paraId="46A1CDC0"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The objectives also highlight the importance of capacity building and education. Training programs for staff and awareness campaigns for visitors contribute to better conservation outcomes. Educating visitors about responsible </w:t>
      </w:r>
      <w:proofErr w:type="spellStart"/>
      <w:r w:rsidRPr="00584FEB">
        <w:rPr>
          <w:rFonts w:ascii="Times New Roman" w:hAnsi="Times New Roman" w:cs="Times New Roman"/>
          <w:lang w:val="en-GB"/>
        </w:rPr>
        <w:t>behavior</w:t>
      </w:r>
      <w:proofErr w:type="spellEnd"/>
      <w:r w:rsidRPr="00584FEB">
        <w:rPr>
          <w:rFonts w:ascii="Times New Roman" w:hAnsi="Times New Roman" w:cs="Times New Roman"/>
          <w:lang w:val="en-GB"/>
        </w:rPr>
        <w:t xml:space="preserve"> can significantly reduce damage to heritage sites.</w:t>
      </w:r>
    </w:p>
    <w:p w14:paraId="485F082E"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Despite these strengths, the objectives face several challenges. Implementation remains a major issue, particularly due to limited financial and technical resources. Effective conservation of sandstone structures requires continuous monitoring and specialized expertise, which may not always be available.</w:t>
      </w:r>
    </w:p>
    <w:p w14:paraId="00C9A6DB"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Another limitation is the inconsistency in tourism regulation. While strategies are outlined, enforcement can be weak, leading to overcrowding and damage to sensitive areas. This gap </w:t>
      </w:r>
      <w:r w:rsidRPr="00584FEB">
        <w:rPr>
          <w:rFonts w:ascii="Times New Roman" w:hAnsi="Times New Roman" w:cs="Times New Roman"/>
          <w:lang w:val="en-GB"/>
        </w:rPr>
        <w:lastRenderedPageBreak/>
        <w:t>between policy and practice is a common challenge in heritage management, especially in sites with high visitor demand.</w:t>
      </w:r>
    </w:p>
    <w:p w14:paraId="5312C060"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Furthermore, the objectives do not fully address the socio-economic complexities of local communities. While tourism provides income, it can also create dependency and inequalities. Some local groups may benefit more than others, leading to social tensions. A more inclusive approach would ensure equitable distribution of benefits and stronger community engagement.</w:t>
      </w:r>
    </w:p>
    <w:p w14:paraId="116B1226"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Additionally, the objectives focus primarily on tangible heritage, such as monuments and structures, while giving less attention to intangible cultural aspects. Petra is not only an archaeological site but also a place with cultural meanings and traditions associated with local communities. Incorporating intangible heritage would provide a more holistic management approach.</w:t>
      </w:r>
    </w:p>
    <w:p w14:paraId="53A3F0A1" w14:textId="717128B5" w:rsidR="00584FEB" w:rsidRDefault="00584FEB" w:rsidP="00584FEB">
      <w:pPr>
        <w:spacing w:line="360" w:lineRule="auto"/>
        <w:rPr>
          <w:rFonts w:ascii="Times New Roman" w:hAnsi="Times New Roman" w:cs="Times New Roman"/>
          <w:lang w:val="en-GB"/>
        </w:rPr>
      </w:pPr>
    </w:p>
    <w:p w14:paraId="5D69A5AB" w14:textId="77777777" w:rsidR="00584FEB" w:rsidRPr="00584FEB" w:rsidRDefault="00584FEB" w:rsidP="00584FEB">
      <w:pPr>
        <w:spacing w:line="360" w:lineRule="auto"/>
        <w:rPr>
          <w:rFonts w:ascii="Times New Roman" w:hAnsi="Times New Roman" w:cs="Times New Roman"/>
          <w:lang w:val="en-GB"/>
        </w:rPr>
      </w:pPr>
    </w:p>
    <w:p w14:paraId="53532C80"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Value Statement</w:t>
      </w:r>
    </w:p>
    <w:p w14:paraId="38DF0670"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The Value Statement of Petra emphasizes its Outstanding Universal Value as a unique example of Nabataean civilization, highlighting its architectural innovation, water management systems, and integration with the natural landscape. It presents Petra as a masterpiece of human creativity and adaptation to a challenging environment.</w:t>
      </w:r>
    </w:p>
    <w:p w14:paraId="5F06CBA8" w14:textId="5FC454A9"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 major strength of this statement is its clear and detailed articulation of the site’s significance. By emphasizing both architectural and achievements, it provides a strong justification for conservation. The recognition of Petra’s integration with its natural surroundings reinforces the importance of preserving the entire landscape rather than individual structures.</w:t>
      </w:r>
    </w:p>
    <w:p w14:paraId="22BFC520"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Another strength is the acknowledgment of the site’s global importance. As a symbol of cultural exchange and technological innovation, Petra holds significance beyond its regional context. This supports its status as a World Heritage Site and encourages international cooperation in its preservation.</w:t>
      </w:r>
    </w:p>
    <w:p w14:paraId="31FA0EFA"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However, the value statement can be critiqued for its focus on historical and expert-driven narratives. It primarily reflects archaeological interpretations, which may not fully capture the diverse meanings associated with the site. For local communities, Petra may hold cultural, economic, and social significance that is not fully represented in the official narrative. Heritage </w:t>
      </w:r>
      <w:r w:rsidRPr="00584FEB">
        <w:rPr>
          <w:rFonts w:ascii="Times New Roman" w:hAnsi="Times New Roman" w:cs="Times New Roman"/>
          <w:lang w:val="en-GB"/>
        </w:rPr>
        <w:lastRenderedPageBreak/>
        <w:t>scholars emphasize that value is not fixed but socially constructed and subject to multiple interpretations (Harrison, 2013).</w:t>
      </w:r>
    </w:p>
    <w:p w14:paraId="611D690E"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Moreover, the emphasis on “universal value” may overshadow local perspectives. While global recognition is important, it can lead to standardized interpretations that do not fully reflect the site’s cultural diversity. A more inclusive value statement would incorporate multiple viewpoints, including those of local communities and visitors.</w:t>
      </w:r>
    </w:p>
    <w:p w14:paraId="40542EEE"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Another limitation is the lack of reference to contemporary challenges. While the statement effectively describes Petra’s historical importance, it does not explicitly address how current issues such as tourism pressure and environmental degradation impact its value. Including these aspects would strengthen the connection between value and management priorities.</w:t>
      </w:r>
    </w:p>
    <w:p w14:paraId="78992910" w14:textId="28884B6D" w:rsidR="00584FEB" w:rsidRPr="00584FEB" w:rsidRDefault="00584FEB" w:rsidP="00584FEB">
      <w:pPr>
        <w:spacing w:line="360" w:lineRule="auto"/>
        <w:rPr>
          <w:rFonts w:ascii="Times New Roman" w:hAnsi="Times New Roman" w:cs="Times New Roman"/>
          <w:lang w:val="en-GB"/>
        </w:rPr>
      </w:pPr>
    </w:p>
    <w:p w14:paraId="26C94B64"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Conclusion</w:t>
      </w:r>
    </w:p>
    <w:p w14:paraId="135E097B" w14:textId="73308C6E"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 xml:space="preserve">The Petra Archaeological Park Management Plan provides a comprehensive framework for managing one of the world’s most important cultural heritage sites. Its vision statement effectively emphasizes sustainability and integrated conservation, though it could benefit from clearer priorities and stronger community participation. The objectives demonstrate a holistic approach to conservation and tourism </w:t>
      </w:r>
      <w:r w:rsidR="002E2BA4" w:rsidRPr="00584FEB">
        <w:rPr>
          <w:rFonts w:ascii="Times New Roman" w:hAnsi="Times New Roman" w:cs="Times New Roman"/>
          <w:lang w:val="en-GB"/>
        </w:rPr>
        <w:t>management yet</w:t>
      </w:r>
      <w:r w:rsidRPr="00584FEB">
        <w:rPr>
          <w:rFonts w:ascii="Times New Roman" w:hAnsi="Times New Roman" w:cs="Times New Roman"/>
          <w:lang w:val="en-GB"/>
        </w:rPr>
        <w:t xml:space="preserve"> face challenges in implementation and socio-economic integration. The value statement clearly articulates Petra’s global significance but would be strengthened by a more inclusive and contemporary perspective.</w:t>
      </w:r>
    </w:p>
    <w:p w14:paraId="199E7878" w14:textId="77777777" w:rsidR="00584FEB" w:rsidRPr="00584FEB" w:rsidRDefault="00584FEB" w:rsidP="00584FEB">
      <w:pPr>
        <w:spacing w:line="360" w:lineRule="auto"/>
        <w:rPr>
          <w:rFonts w:ascii="Times New Roman" w:hAnsi="Times New Roman" w:cs="Times New Roman"/>
          <w:lang w:val="en-GB"/>
        </w:rPr>
      </w:pPr>
      <w:r w:rsidRPr="00584FEB">
        <w:rPr>
          <w:rFonts w:ascii="Times New Roman" w:hAnsi="Times New Roman" w:cs="Times New Roman"/>
          <w:lang w:val="en-GB"/>
        </w:rPr>
        <w:t>Overall, the plan reflects many principles of modern heritage management, particularly in its integration of cultural and natural values. However, its long-term success will depend on its ability to address practical challenges, enhance stakeholder engagement, and adapt to evolving environmental and social conditions.</w:t>
      </w:r>
    </w:p>
    <w:p w14:paraId="6F8063B1" w14:textId="0FC26AFE" w:rsidR="00584FEB" w:rsidRPr="00584FEB" w:rsidRDefault="00584FEB" w:rsidP="00584FEB">
      <w:pPr>
        <w:spacing w:line="360" w:lineRule="auto"/>
        <w:rPr>
          <w:rFonts w:ascii="Times New Roman" w:hAnsi="Times New Roman" w:cs="Times New Roman"/>
          <w:lang w:val="en-GB"/>
        </w:rPr>
      </w:pPr>
    </w:p>
    <w:p w14:paraId="2B7D5DCF"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References</w:t>
      </w:r>
    </w:p>
    <w:p w14:paraId="0384A63E" w14:textId="77777777" w:rsidR="00584FEB" w:rsidRPr="00584FEB" w:rsidRDefault="00584FEB" w:rsidP="00584FEB">
      <w:pPr>
        <w:numPr>
          <w:ilvl w:val="0"/>
          <w:numId w:val="5"/>
        </w:numPr>
        <w:spacing w:line="360" w:lineRule="auto"/>
        <w:rPr>
          <w:rFonts w:ascii="Times New Roman" w:hAnsi="Times New Roman" w:cs="Times New Roman"/>
          <w:lang w:val="en-GB"/>
        </w:rPr>
      </w:pPr>
      <w:proofErr w:type="spellStart"/>
      <w:r w:rsidRPr="00584FEB">
        <w:rPr>
          <w:rFonts w:ascii="Times New Roman" w:hAnsi="Times New Roman" w:cs="Times New Roman"/>
          <w:lang w:val="en-GB"/>
        </w:rPr>
        <w:t>Chirikure</w:t>
      </w:r>
      <w:proofErr w:type="spellEnd"/>
      <w:r w:rsidRPr="00584FEB">
        <w:rPr>
          <w:rFonts w:ascii="Times New Roman" w:hAnsi="Times New Roman" w:cs="Times New Roman"/>
          <w:lang w:val="en-GB"/>
        </w:rPr>
        <w:t xml:space="preserve">, S., Manyanga, M., Ndoro, W., &amp; </w:t>
      </w:r>
      <w:proofErr w:type="spellStart"/>
      <w:r w:rsidRPr="00584FEB">
        <w:rPr>
          <w:rFonts w:ascii="Times New Roman" w:hAnsi="Times New Roman" w:cs="Times New Roman"/>
          <w:lang w:val="en-GB"/>
        </w:rPr>
        <w:t>Pwiti</w:t>
      </w:r>
      <w:proofErr w:type="spellEnd"/>
      <w:r w:rsidRPr="00584FEB">
        <w:rPr>
          <w:rFonts w:ascii="Times New Roman" w:hAnsi="Times New Roman" w:cs="Times New Roman"/>
          <w:lang w:val="en-GB"/>
        </w:rPr>
        <w:t xml:space="preserve">, G. (2010). Unfulfilled promises? Heritage management and community participation at some of Africa’s cultural heritage sites. </w:t>
      </w:r>
      <w:r w:rsidRPr="00584FEB">
        <w:rPr>
          <w:rFonts w:ascii="Times New Roman" w:hAnsi="Times New Roman" w:cs="Times New Roman"/>
          <w:i/>
          <w:iCs/>
          <w:lang w:val="en-GB"/>
        </w:rPr>
        <w:t>International Journal of Heritage Studies</w:t>
      </w:r>
      <w:r w:rsidRPr="00584FEB">
        <w:rPr>
          <w:rFonts w:ascii="Times New Roman" w:hAnsi="Times New Roman" w:cs="Times New Roman"/>
          <w:lang w:val="en-GB"/>
        </w:rPr>
        <w:t xml:space="preserve">, 16(1–2), 30–44. https://doi.org/10.1080/13527250903441739 </w:t>
      </w:r>
    </w:p>
    <w:p w14:paraId="12EA5C69"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Garrod, B., &amp; Fyall, A. (2000). Managing heritage tourism. </w:t>
      </w:r>
      <w:r w:rsidRPr="00584FEB">
        <w:rPr>
          <w:rFonts w:ascii="Times New Roman" w:hAnsi="Times New Roman" w:cs="Times New Roman"/>
          <w:i/>
          <w:iCs/>
          <w:lang w:val="en-GB"/>
        </w:rPr>
        <w:t>Annals of Tourism Research</w:t>
      </w:r>
      <w:r w:rsidRPr="00584FEB">
        <w:rPr>
          <w:rFonts w:ascii="Times New Roman" w:hAnsi="Times New Roman" w:cs="Times New Roman"/>
          <w:lang w:val="en-GB"/>
        </w:rPr>
        <w:t xml:space="preserve">, 27(3), 682–708. </w:t>
      </w:r>
    </w:p>
    <w:p w14:paraId="43E7F159"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lastRenderedPageBreak/>
        <w:t xml:space="preserve">Harrison, R. (2013). </w:t>
      </w:r>
      <w:r w:rsidRPr="00584FEB">
        <w:rPr>
          <w:rFonts w:ascii="Times New Roman" w:hAnsi="Times New Roman" w:cs="Times New Roman"/>
          <w:i/>
          <w:iCs/>
          <w:lang w:val="en-GB"/>
        </w:rPr>
        <w:t>Heritage: Critical Approaches</w:t>
      </w:r>
      <w:r w:rsidRPr="00584FEB">
        <w:rPr>
          <w:rFonts w:ascii="Times New Roman" w:hAnsi="Times New Roman" w:cs="Times New Roman"/>
          <w:lang w:val="en-GB"/>
        </w:rPr>
        <w:t xml:space="preserve">. Routledge. </w:t>
      </w:r>
    </w:p>
    <w:p w14:paraId="3422CEEE"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Rodwell, D. (2012). </w:t>
      </w:r>
      <w:r w:rsidRPr="00584FEB">
        <w:rPr>
          <w:rFonts w:ascii="Times New Roman" w:hAnsi="Times New Roman" w:cs="Times New Roman"/>
          <w:i/>
          <w:iCs/>
          <w:lang w:val="en-GB"/>
        </w:rPr>
        <w:t>The UNESCO World Heritage Convention, 1972–2012: Reflections and Directions</w:t>
      </w:r>
      <w:r w:rsidRPr="00584FEB">
        <w:rPr>
          <w:rFonts w:ascii="Times New Roman" w:hAnsi="Times New Roman" w:cs="Times New Roman"/>
          <w:lang w:val="en-GB"/>
        </w:rPr>
        <w:t xml:space="preserve">. Routledge. </w:t>
      </w:r>
    </w:p>
    <w:p w14:paraId="36695402"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De la Torre, M. (2002). </w:t>
      </w:r>
      <w:r w:rsidRPr="00584FEB">
        <w:rPr>
          <w:rFonts w:ascii="Times New Roman" w:hAnsi="Times New Roman" w:cs="Times New Roman"/>
          <w:i/>
          <w:iCs/>
          <w:lang w:val="en-GB"/>
        </w:rPr>
        <w:t>Assessing the Values of Cultural Heritage</w:t>
      </w:r>
      <w:r w:rsidRPr="00584FEB">
        <w:rPr>
          <w:rFonts w:ascii="Times New Roman" w:hAnsi="Times New Roman" w:cs="Times New Roman"/>
          <w:lang w:val="en-GB"/>
        </w:rPr>
        <w:t>. Getty Conservation Institute.</w:t>
      </w:r>
    </w:p>
    <w:p w14:paraId="0BE6DF52" w14:textId="77777777" w:rsidR="000E2BEF" w:rsidRPr="000E2BEF" w:rsidRDefault="000E2BEF" w:rsidP="00F515C5">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4"/>
  </w:num>
  <w:num w:numId="3" w16cid:durableId="561673524">
    <w:abstractNumId w:val="3"/>
  </w:num>
  <w:num w:numId="4" w16cid:durableId="869534894">
    <w:abstractNumId w:val="2"/>
  </w:num>
  <w:num w:numId="5" w16cid:durableId="209677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D02D4"/>
    <w:rsid w:val="00584FEB"/>
    <w:rsid w:val="00D830A7"/>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2026-04-27T11:28:00Z</dcterms:created>
  <dcterms:modified xsi:type="dcterms:W3CDTF">2026-04-27T11:28:00Z</dcterms:modified>
</cp:coreProperties>
</file>