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9FD60" w14:textId="65435B87" w:rsidR="00224042" w:rsidRPr="00224042" w:rsidRDefault="00224042" w:rsidP="00224042">
      <w:pPr>
        <w:spacing w:line="360" w:lineRule="auto"/>
        <w:jc w:val="center"/>
        <w:rPr>
          <w:rFonts w:ascii="Times New Roman" w:hAnsi="Times New Roman" w:cs="Times New Roman"/>
          <w:szCs w:val="24"/>
          <w:lang w:val="en-US"/>
        </w:rPr>
      </w:pPr>
      <w:r w:rsidRPr="00224042">
        <w:rPr>
          <w:rFonts w:ascii="Times New Roman" w:hAnsi="Times New Roman" w:cs="Times New Roman"/>
          <w:szCs w:val="24"/>
          <w:lang w:val="en-US"/>
        </w:rPr>
        <w:drawing>
          <wp:inline distT="0" distB="0" distL="0" distR="0" wp14:anchorId="641B2F92" wp14:editId="01FCD29A">
            <wp:extent cx="2229161" cy="476316"/>
            <wp:effectExtent l="0" t="0" r="0" b="0"/>
            <wp:docPr id="1999020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20533" name=""/>
                    <pic:cNvPicPr/>
                  </pic:nvPicPr>
                  <pic:blipFill>
                    <a:blip r:embed="rId5"/>
                    <a:stretch>
                      <a:fillRect/>
                    </a:stretch>
                  </pic:blipFill>
                  <pic:spPr>
                    <a:xfrm>
                      <a:off x="0" y="0"/>
                      <a:ext cx="2229161" cy="476316"/>
                    </a:xfrm>
                    <a:prstGeom prst="rect">
                      <a:avLst/>
                    </a:prstGeom>
                  </pic:spPr>
                </pic:pic>
              </a:graphicData>
            </a:graphic>
          </wp:inline>
        </w:drawing>
      </w:r>
    </w:p>
    <w:p w14:paraId="0F8CC914" w14:textId="565674EA" w:rsidR="00224042" w:rsidRDefault="00224042" w:rsidP="00224042">
      <w:pPr>
        <w:spacing w:line="360" w:lineRule="auto"/>
        <w:jc w:val="center"/>
        <w:rPr>
          <w:rFonts w:ascii="Times New Roman" w:hAnsi="Times New Roman" w:cs="Times New Roman"/>
          <w:b/>
          <w:bCs/>
          <w:szCs w:val="24"/>
        </w:rPr>
      </w:pPr>
      <w:r w:rsidRPr="00224042">
        <w:rPr>
          <w:rFonts w:ascii="Times New Roman" w:hAnsi="Times New Roman" w:cs="Times New Roman"/>
          <w:b/>
          <w:bCs/>
          <w:szCs w:val="24"/>
        </w:rPr>
        <w:t>M11 – Project Management &amp; Risk Analysis</w:t>
      </w:r>
    </w:p>
    <w:p w14:paraId="5D54D8B4" w14:textId="0FBF21B7" w:rsidR="00224042" w:rsidRDefault="00224042" w:rsidP="00224042">
      <w:pPr>
        <w:spacing w:line="360" w:lineRule="auto"/>
        <w:jc w:val="center"/>
        <w:rPr>
          <w:rFonts w:ascii="Times New Roman" w:hAnsi="Times New Roman" w:cs="Times New Roman"/>
          <w:b/>
          <w:bCs/>
          <w:szCs w:val="24"/>
        </w:rPr>
      </w:pPr>
      <w:r w:rsidRPr="00224042">
        <w:rPr>
          <w:rFonts w:ascii="Times New Roman" w:hAnsi="Times New Roman" w:cs="Times New Roman"/>
          <w:b/>
          <w:bCs/>
          <w:szCs w:val="24"/>
        </w:rPr>
        <w:t>Option 2: Risk Analysis and Strategic Risk Management in Projects</w:t>
      </w:r>
    </w:p>
    <w:p w14:paraId="0E4A01CD" w14:textId="77777777" w:rsidR="00224042" w:rsidRPr="00224042" w:rsidRDefault="00224042" w:rsidP="00224042">
      <w:pPr>
        <w:spacing w:line="360" w:lineRule="auto"/>
        <w:jc w:val="center"/>
        <w:rPr>
          <w:rFonts w:ascii="Times New Roman" w:hAnsi="Times New Roman" w:cs="Times New Roman"/>
          <w:b/>
          <w:bCs/>
          <w:szCs w:val="24"/>
          <w:lang w:val="en-US"/>
        </w:rPr>
      </w:pPr>
    </w:p>
    <w:p w14:paraId="60DEA9B4" w14:textId="77777777" w:rsidR="00224042" w:rsidRPr="00224042" w:rsidRDefault="00224042" w:rsidP="00224042">
      <w:pPr>
        <w:spacing w:line="360" w:lineRule="auto"/>
        <w:rPr>
          <w:rFonts w:ascii="Times New Roman" w:hAnsi="Times New Roman" w:cs="Times New Roman"/>
          <w:szCs w:val="24"/>
          <w:lang w:val="en-US"/>
        </w:rPr>
      </w:pPr>
    </w:p>
    <w:p w14:paraId="6C4B8C06" w14:textId="77777777" w:rsidR="00224042" w:rsidRPr="00224042" w:rsidRDefault="00224042" w:rsidP="00224042">
      <w:pPr>
        <w:spacing w:line="360" w:lineRule="auto"/>
        <w:rPr>
          <w:rFonts w:ascii="Times New Roman" w:hAnsi="Times New Roman" w:cs="Times New Roman"/>
          <w:szCs w:val="24"/>
          <w:lang w:val="en-US"/>
        </w:rPr>
      </w:pPr>
    </w:p>
    <w:p w14:paraId="3DF97DCE" w14:textId="77777777" w:rsidR="00224042" w:rsidRPr="00224042" w:rsidRDefault="00224042" w:rsidP="00224042">
      <w:pPr>
        <w:spacing w:line="360" w:lineRule="auto"/>
        <w:rPr>
          <w:rFonts w:ascii="Times New Roman" w:hAnsi="Times New Roman" w:cs="Times New Roman"/>
          <w:szCs w:val="24"/>
          <w:lang w:val="en-US"/>
        </w:rPr>
      </w:pPr>
    </w:p>
    <w:p w14:paraId="129EF161" w14:textId="77777777" w:rsidR="00224042" w:rsidRPr="00224042" w:rsidRDefault="00224042" w:rsidP="00224042">
      <w:pPr>
        <w:spacing w:line="360" w:lineRule="auto"/>
        <w:rPr>
          <w:rFonts w:ascii="Times New Roman" w:hAnsi="Times New Roman" w:cs="Times New Roman"/>
          <w:szCs w:val="24"/>
          <w:lang w:val="en-US"/>
        </w:rPr>
      </w:pPr>
    </w:p>
    <w:p w14:paraId="457F19B6" w14:textId="77777777" w:rsidR="00224042" w:rsidRPr="00224042" w:rsidRDefault="00224042" w:rsidP="00224042">
      <w:pPr>
        <w:spacing w:line="360" w:lineRule="auto"/>
        <w:rPr>
          <w:rFonts w:ascii="Times New Roman" w:hAnsi="Times New Roman" w:cs="Times New Roman"/>
          <w:szCs w:val="24"/>
          <w:lang w:val="en-US"/>
        </w:rPr>
      </w:pPr>
    </w:p>
    <w:p w14:paraId="7B78E2D8" w14:textId="77777777" w:rsidR="00224042" w:rsidRPr="00224042" w:rsidRDefault="00224042" w:rsidP="00224042">
      <w:pPr>
        <w:spacing w:line="360" w:lineRule="auto"/>
        <w:rPr>
          <w:rFonts w:ascii="Times New Roman" w:hAnsi="Times New Roman" w:cs="Times New Roman"/>
          <w:szCs w:val="24"/>
          <w:lang w:val="en-US"/>
        </w:rPr>
      </w:pPr>
    </w:p>
    <w:p w14:paraId="04567BE0" w14:textId="77777777" w:rsidR="00224042" w:rsidRPr="00224042" w:rsidRDefault="00224042" w:rsidP="00224042">
      <w:pPr>
        <w:spacing w:line="360" w:lineRule="auto"/>
        <w:rPr>
          <w:rFonts w:ascii="Times New Roman" w:hAnsi="Times New Roman" w:cs="Times New Roman"/>
          <w:szCs w:val="24"/>
          <w:lang w:val="en-US"/>
        </w:rPr>
      </w:pPr>
    </w:p>
    <w:p w14:paraId="5DDB2E9A" w14:textId="77777777" w:rsidR="00224042" w:rsidRPr="00224042" w:rsidRDefault="00224042" w:rsidP="00224042">
      <w:pPr>
        <w:spacing w:line="360" w:lineRule="auto"/>
        <w:rPr>
          <w:rFonts w:ascii="Times New Roman" w:hAnsi="Times New Roman" w:cs="Times New Roman"/>
          <w:szCs w:val="24"/>
          <w:lang w:val="en-US"/>
        </w:rPr>
      </w:pPr>
    </w:p>
    <w:p w14:paraId="1FE64E08" w14:textId="77777777" w:rsidR="00224042" w:rsidRPr="00224042" w:rsidRDefault="00224042" w:rsidP="00224042">
      <w:pPr>
        <w:spacing w:line="360" w:lineRule="auto"/>
        <w:rPr>
          <w:rFonts w:ascii="Times New Roman" w:hAnsi="Times New Roman" w:cs="Times New Roman"/>
          <w:szCs w:val="24"/>
          <w:lang w:val="en-US"/>
        </w:rPr>
      </w:pPr>
    </w:p>
    <w:p w14:paraId="46281C97" w14:textId="77777777" w:rsidR="00224042" w:rsidRPr="00224042" w:rsidRDefault="00224042" w:rsidP="00224042">
      <w:pPr>
        <w:spacing w:line="360" w:lineRule="auto"/>
        <w:rPr>
          <w:rFonts w:ascii="Times New Roman" w:hAnsi="Times New Roman" w:cs="Times New Roman"/>
          <w:szCs w:val="24"/>
          <w:lang w:val="en-US"/>
        </w:rPr>
      </w:pPr>
    </w:p>
    <w:p w14:paraId="521163AC" w14:textId="77777777" w:rsidR="00224042" w:rsidRPr="00224042" w:rsidRDefault="00224042" w:rsidP="00224042">
      <w:pPr>
        <w:spacing w:line="360" w:lineRule="auto"/>
        <w:rPr>
          <w:rFonts w:ascii="Times New Roman" w:hAnsi="Times New Roman" w:cs="Times New Roman"/>
          <w:szCs w:val="24"/>
          <w:lang w:val="en-US"/>
        </w:rPr>
      </w:pPr>
    </w:p>
    <w:p w14:paraId="556B8AA9" w14:textId="77777777" w:rsidR="00224042" w:rsidRPr="00224042" w:rsidRDefault="00224042" w:rsidP="00224042">
      <w:pPr>
        <w:spacing w:line="360" w:lineRule="auto"/>
        <w:rPr>
          <w:rFonts w:ascii="Times New Roman" w:hAnsi="Times New Roman" w:cs="Times New Roman"/>
          <w:szCs w:val="24"/>
          <w:lang w:val="en-US"/>
        </w:rPr>
      </w:pPr>
    </w:p>
    <w:p w14:paraId="11B990EA" w14:textId="77777777" w:rsidR="00224042" w:rsidRPr="00224042" w:rsidRDefault="00224042" w:rsidP="00224042">
      <w:pPr>
        <w:spacing w:line="360" w:lineRule="auto"/>
        <w:rPr>
          <w:rFonts w:ascii="Times New Roman" w:hAnsi="Times New Roman" w:cs="Times New Roman"/>
          <w:szCs w:val="24"/>
          <w:lang w:val="en-US"/>
        </w:rPr>
      </w:pPr>
    </w:p>
    <w:p w14:paraId="6E7974DC" w14:textId="77777777" w:rsidR="00224042" w:rsidRPr="00224042" w:rsidRDefault="00224042" w:rsidP="00224042">
      <w:pPr>
        <w:spacing w:line="360" w:lineRule="auto"/>
        <w:rPr>
          <w:rFonts w:ascii="Times New Roman" w:hAnsi="Times New Roman" w:cs="Times New Roman"/>
          <w:szCs w:val="24"/>
          <w:lang w:val="en-US"/>
        </w:rPr>
      </w:pPr>
    </w:p>
    <w:p w14:paraId="40A07471" w14:textId="77777777" w:rsidR="00224042" w:rsidRPr="00224042" w:rsidRDefault="00224042" w:rsidP="00224042">
      <w:pPr>
        <w:spacing w:line="360" w:lineRule="auto"/>
        <w:rPr>
          <w:rFonts w:ascii="Times New Roman" w:hAnsi="Times New Roman" w:cs="Times New Roman"/>
          <w:szCs w:val="24"/>
          <w:lang w:val="en-US"/>
        </w:rPr>
      </w:pPr>
    </w:p>
    <w:p w14:paraId="165482DB" w14:textId="77777777" w:rsidR="00224042" w:rsidRDefault="00224042" w:rsidP="00224042">
      <w:pPr>
        <w:spacing w:line="360" w:lineRule="auto"/>
        <w:rPr>
          <w:rFonts w:ascii="Times New Roman" w:hAnsi="Times New Roman" w:cs="Times New Roman"/>
          <w:szCs w:val="24"/>
          <w:lang w:val="en-US"/>
        </w:rPr>
      </w:pPr>
    </w:p>
    <w:p w14:paraId="2C845EA6" w14:textId="77777777" w:rsidR="00224042" w:rsidRPr="00224042" w:rsidRDefault="00224042" w:rsidP="00224042">
      <w:pPr>
        <w:spacing w:line="360" w:lineRule="auto"/>
        <w:rPr>
          <w:rFonts w:ascii="Times New Roman" w:hAnsi="Times New Roman" w:cs="Times New Roman"/>
          <w:szCs w:val="24"/>
          <w:lang w:val="en-US"/>
        </w:rPr>
      </w:pPr>
    </w:p>
    <w:p w14:paraId="7B532CA7" w14:textId="77777777" w:rsidR="00224042" w:rsidRPr="00224042" w:rsidRDefault="00224042" w:rsidP="00224042">
      <w:pPr>
        <w:spacing w:line="360" w:lineRule="auto"/>
        <w:rPr>
          <w:rFonts w:ascii="Times New Roman" w:hAnsi="Times New Roman" w:cs="Times New Roman"/>
          <w:szCs w:val="24"/>
          <w:lang w:val="en-US"/>
        </w:rPr>
      </w:pPr>
    </w:p>
    <w:p w14:paraId="60B12B37" w14:textId="432CC5EE"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 xml:space="preserve">Abstract </w:t>
      </w:r>
    </w:p>
    <w:p w14:paraId="07D3CEF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Project uncertainty can significantly influence cost, schedule, quality, stakeholder satisfaction and the achievement of organisational objectives. Strategic project risk management therefore provides a systematic mechanism for identifying uncertainty, evaluating its potential consequences and developing appropriate responses before risks undermine project performance. This report critically analyses the role of risk analysis and risk management in supporting project success and organisational decision-making. It examines the complete risk-management process, including risk identification, qualitative and quantitative assessment, prioritisation, response planning, monitoring and control. </w:t>
      </w:r>
      <w:proofErr w:type="gramStart"/>
      <w:r w:rsidRPr="00224042">
        <w:rPr>
          <w:rFonts w:ascii="Times New Roman" w:hAnsi="Times New Roman" w:cs="Times New Roman"/>
          <w:szCs w:val="24"/>
        </w:rPr>
        <w:t>Particular attention</w:t>
      </w:r>
      <w:proofErr w:type="gramEnd"/>
      <w:r w:rsidRPr="00224042">
        <w:rPr>
          <w:rFonts w:ascii="Times New Roman" w:hAnsi="Times New Roman" w:cs="Times New Roman"/>
          <w:szCs w:val="24"/>
        </w:rPr>
        <w:t xml:space="preserve"> is given to tools such as risk registers, Probability–Impact Matrices, scenario analysis, sensitivity analysis, contingency planning and quantitative techniques. The report evaluates financial, operational, technological, stakeholder and external environmental risks and considers how their interactions can affect project outcomes. Contemporary research indicates that risk management should not be treated merely as a compliance or documentation exercise; instead, it should be integrated with project governance, strategic decision-making and performance management. The report also considers practical project cases to demonstrate how inadequate or effective risk management can influence project outcomes. It concludes that successful project risk management requires continuous monitoring, clearly allocated risk ownership, evidence-based prioritisation, stakeholder engagement, contingency capacity and organisational learning. These capabilities strengthen project resilience and improve the sustainability of project outcomes.</w:t>
      </w:r>
    </w:p>
    <w:p w14:paraId="63B6FE5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Keywords:</w:t>
      </w:r>
      <w:r w:rsidRPr="00224042">
        <w:rPr>
          <w:rFonts w:ascii="Times New Roman" w:hAnsi="Times New Roman" w:cs="Times New Roman"/>
          <w:szCs w:val="24"/>
        </w:rPr>
        <w:t xml:space="preserve"> Project risk management, risk analysis, risk identification, probability-impact analysis, risk register, contingency planning, project resilience.</w:t>
      </w:r>
    </w:p>
    <w:p w14:paraId="7E47528C" w14:textId="246D20E6" w:rsidR="00224042" w:rsidRPr="00224042" w:rsidRDefault="00224042" w:rsidP="00224042">
      <w:pPr>
        <w:spacing w:line="360" w:lineRule="auto"/>
        <w:rPr>
          <w:rFonts w:ascii="Times New Roman" w:hAnsi="Times New Roman" w:cs="Times New Roman"/>
          <w:szCs w:val="24"/>
        </w:rPr>
      </w:pPr>
    </w:p>
    <w:p w14:paraId="16144A48" w14:textId="77777777" w:rsidR="00224042" w:rsidRPr="00224042" w:rsidRDefault="00224042" w:rsidP="00224042">
      <w:pPr>
        <w:spacing w:line="360" w:lineRule="auto"/>
        <w:rPr>
          <w:rFonts w:ascii="Times New Roman" w:hAnsi="Times New Roman" w:cs="Times New Roman"/>
          <w:szCs w:val="24"/>
        </w:rPr>
      </w:pPr>
    </w:p>
    <w:p w14:paraId="784F7E8D" w14:textId="77777777" w:rsidR="00224042" w:rsidRPr="00224042" w:rsidRDefault="00224042" w:rsidP="00224042">
      <w:pPr>
        <w:spacing w:line="360" w:lineRule="auto"/>
        <w:rPr>
          <w:rFonts w:ascii="Times New Roman" w:hAnsi="Times New Roman" w:cs="Times New Roman"/>
          <w:szCs w:val="24"/>
        </w:rPr>
      </w:pPr>
    </w:p>
    <w:p w14:paraId="2F6BD743" w14:textId="77777777" w:rsidR="00224042" w:rsidRPr="00224042" w:rsidRDefault="00224042" w:rsidP="00224042">
      <w:pPr>
        <w:spacing w:line="360" w:lineRule="auto"/>
        <w:rPr>
          <w:rFonts w:ascii="Times New Roman" w:hAnsi="Times New Roman" w:cs="Times New Roman"/>
          <w:szCs w:val="24"/>
        </w:rPr>
      </w:pPr>
    </w:p>
    <w:p w14:paraId="3F0B4C28" w14:textId="77777777" w:rsidR="00224042" w:rsidRDefault="00224042" w:rsidP="00224042">
      <w:pPr>
        <w:spacing w:line="360" w:lineRule="auto"/>
        <w:rPr>
          <w:rFonts w:ascii="Times New Roman" w:hAnsi="Times New Roman" w:cs="Times New Roman"/>
          <w:szCs w:val="24"/>
        </w:rPr>
      </w:pPr>
    </w:p>
    <w:p w14:paraId="73053DE1" w14:textId="77777777" w:rsidR="00224042" w:rsidRPr="00224042" w:rsidRDefault="00224042" w:rsidP="00224042">
      <w:pPr>
        <w:spacing w:line="360" w:lineRule="auto"/>
        <w:rPr>
          <w:rFonts w:ascii="Times New Roman" w:hAnsi="Times New Roman" w:cs="Times New Roman"/>
          <w:szCs w:val="24"/>
        </w:rPr>
      </w:pPr>
    </w:p>
    <w:p w14:paraId="1136BEFF" w14:textId="0993E7BB"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 xml:space="preserve">1.0 Introduction </w:t>
      </w:r>
    </w:p>
    <w:p w14:paraId="7C49F31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Projects are undertaken to create change, innovation and organisational value, but their temporary and frequently complex nature exposes them to considerable uncertainty. Project risks can originate from financial conditions, technical problems, operational failures, resource limitations, stakeholder conflict, regulatory change, supply-chain disruption and wider environmental developments. Consequently, managing uncertainty is a fundamental responsibility of project managers and an important component of organisational decision-making.</w:t>
      </w:r>
    </w:p>
    <w:p w14:paraId="3C00550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 risk can broadly be understood as an uncertain event or condition capable of influencing project objectives. Although risk management is frequently associated with threats, uncertainty may also create opportunities. Effective project risk management therefore involves systematically identifying uncertain events, assessing their probability and consequences, prioritising significant exposures and selecting suitable responses.</w:t>
      </w:r>
    </w:p>
    <w:p w14:paraId="73CB086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management is strategically important because project decisions involve trade-offs among cost, schedule, scope, quality and organisational benefits. Poor risk assessment can produce unrealistic budgets, inappropriate schedules and inadequate contingency arrangements. Conversely, excessive risk avoidance may discourage innovation and increase unnecessary expenditure. Effective risk management therefore requires proportionate and evidence-based decision-making rather than attempting to eliminate every uncertainty.</w:t>
      </w:r>
    </w:p>
    <w:p w14:paraId="4F0EDC0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Research also suggests that risk-management effectiveness depends on organisational context and managerial behaviour. Raz, </w:t>
      </w:r>
      <w:proofErr w:type="spellStart"/>
      <w:r w:rsidRPr="00224042">
        <w:rPr>
          <w:rFonts w:ascii="Times New Roman" w:hAnsi="Times New Roman" w:cs="Times New Roman"/>
          <w:szCs w:val="24"/>
        </w:rPr>
        <w:t>Shenhar</w:t>
      </w:r>
      <w:proofErr w:type="spellEnd"/>
      <w:r w:rsidRPr="00224042">
        <w:rPr>
          <w:rFonts w:ascii="Times New Roman" w:hAnsi="Times New Roman" w:cs="Times New Roman"/>
          <w:szCs w:val="24"/>
        </w:rPr>
        <w:t xml:space="preserve"> and Dvir (2002), for example, found relationships between risk-management practices and project success, particularly in technologically uncertain projects. Risk management should consequently be embedded throughout the project life cycle rather than performed only during initial planning.</w:t>
      </w:r>
    </w:p>
    <w:p w14:paraId="081B7C1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report critically evaluates the role of project risk management in organisational decision-making. It examines risk identification, assessment, prioritisation, response planning and monitoring; evaluates major risk-management tools; analyses typical financial, operational, technological, stakeholder and environmental risks; and considers how stronger risk mitigation can improve project resilience and sustainable performance.</w:t>
      </w:r>
    </w:p>
    <w:p w14:paraId="21736042" w14:textId="7B4BDCD7" w:rsidR="00224042" w:rsidRPr="00224042" w:rsidRDefault="00224042" w:rsidP="00224042">
      <w:pPr>
        <w:spacing w:line="360" w:lineRule="auto"/>
        <w:rPr>
          <w:rFonts w:ascii="Times New Roman" w:hAnsi="Times New Roman" w:cs="Times New Roman"/>
          <w:szCs w:val="24"/>
        </w:rPr>
      </w:pPr>
    </w:p>
    <w:p w14:paraId="624093C6" w14:textId="286421B0"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 xml:space="preserve">2.0 Literature Review </w:t>
      </w:r>
    </w:p>
    <w:p w14:paraId="6271FDE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2.1 Project Risk Management and Strategic Decision-Making</w:t>
      </w:r>
    </w:p>
    <w:p w14:paraId="4A27559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 risk management provides a structured approach for understanding and responding to uncertainty. Its purpose is not simply to generate a list of possible problems but to support better decisions concerning resources, schedules, budgets, contracts, technologies and stakeholder relationships.</w:t>
      </w:r>
    </w:p>
    <w:p w14:paraId="620C9D8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Ward and Chapman (2003) argue that conventional risk management may focus too narrowly on identifiable threats and propose a broader </w:t>
      </w:r>
      <w:r w:rsidRPr="00224042">
        <w:rPr>
          <w:rFonts w:ascii="Times New Roman" w:hAnsi="Times New Roman" w:cs="Times New Roman"/>
          <w:b/>
          <w:bCs/>
          <w:szCs w:val="24"/>
        </w:rPr>
        <w:t>uncertainty-management perspective</w:t>
      </w:r>
      <w:r w:rsidRPr="00224042">
        <w:rPr>
          <w:rFonts w:ascii="Times New Roman" w:hAnsi="Times New Roman" w:cs="Times New Roman"/>
          <w:szCs w:val="24"/>
        </w:rPr>
        <w:t>. This distinction is important because projects often experience unexpected developments that cannot be accurately represented as predetermined risk events. Effective risk management therefore requires managers to understand assumptions, ambiguity and uncertainty as well as individual risks.</w:t>
      </w:r>
    </w:p>
    <w:p w14:paraId="190381E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Strategically, risk information can influence whether projects should proceed, how much contingency should be allocated, which suppliers should be selected and what governance arrangements are required. Risk management therefore connects project-level decisions with organisational risk appetite and strategic priorities.</w:t>
      </w:r>
    </w:p>
    <w:p w14:paraId="369A860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Raz et al. (2002) found that formal risk-management practices were associated with project success, particularly where technological uncertainty was high. This suggests that the value of risk management may increase with project complexity and uncertainty rather than being equally important in every context.</w:t>
      </w:r>
    </w:p>
    <w:p w14:paraId="6114ACF5" w14:textId="22E6620A" w:rsidR="00224042" w:rsidRDefault="00224042" w:rsidP="00224042">
      <w:pPr>
        <w:spacing w:line="360" w:lineRule="auto"/>
        <w:rPr>
          <w:rFonts w:ascii="Times New Roman" w:hAnsi="Times New Roman" w:cs="Times New Roman"/>
          <w:szCs w:val="24"/>
        </w:rPr>
      </w:pPr>
    </w:p>
    <w:p w14:paraId="182649FF" w14:textId="77777777" w:rsidR="00224042" w:rsidRDefault="00224042" w:rsidP="00224042">
      <w:pPr>
        <w:spacing w:line="360" w:lineRule="auto"/>
        <w:rPr>
          <w:rFonts w:ascii="Times New Roman" w:hAnsi="Times New Roman" w:cs="Times New Roman"/>
          <w:szCs w:val="24"/>
        </w:rPr>
      </w:pPr>
    </w:p>
    <w:p w14:paraId="3D8B0E56" w14:textId="77777777" w:rsidR="00224042" w:rsidRDefault="00224042" w:rsidP="00224042">
      <w:pPr>
        <w:spacing w:line="360" w:lineRule="auto"/>
        <w:rPr>
          <w:rFonts w:ascii="Times New Roman" w:hAnsi="Times New Roman" w:cs="Times New Roman"/>
          <w:szCs w:val="24"/>
        </w:rPr>
      </w:pPr>
    </w:p>
    <w:p w14:paraId="30E2167C" w14:textId="77777777" w:rsidR="00224042" w:rsidRDefault="00224042" w:rsidP="00224042">
      <w:pPr>
        <w:spacing w:line="360" w:lineRule="auto"/>
        <w:rPr>
          <w:rFonts w:ascii="Times New Roman" w:hAnsi="Times New Roman" w:cs="Times New Roman"/>
          <w:szCs w:val="24"/>
        </w:rPr>
      </w:pPr>
    </w:p>
    <w:p w14:paraId="561F2D18" w14:textId="77777777" w:rsidR="00224042" w:rsidRDefault="00224042" w:rsidP="00224042">
      <w:pPr>
        <w:spacing w:line="360" w:lineRule="auto"/>
        <w:rPr>
          <w:rFonts w:ascii="Times New Roman" w:hAnsi="Times New Roman" w:cs="Times New Roman"/>
          <w:szCs w:val="24"/>
        </w:rPr>
      </w:pPr>
    </w:p>
    <w:p w14:paraId="1595CBD1" w14:textId="77777777" w:rsidR="00224042" w:rsidRPr="00224042" w:rsidRDefault="00224042" w:rsidP="00224042">
      <w:pPr>
        <w:spacing w:line="360" w:lineRule="auto"/>
        <w:rPr>
          <w:rFonts w:ascii="Times New Roman" w:hAnsi="Times New Roman" w:cs="Times New Roman"/>
          <w:szCs w:val="24"/>
        </w:rPr>
      </w:pPr>
    </w:p>
    <w:p w14:paraId="713C1ADA"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2.2 Risk Identification</w:t>
      </w:r>
    </w:p>
    <w:p w14:paraId="29DF13F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identification is the foundation of the risk-management process because unidentified risks cannot be systematically assessed or controlled. Identification seeks to determine uncertain events, their causes and their potential consequences.</w:t>
      </w:r>
    </w:p>
    <w:p w14:paraId="6E0D741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Common techniques include:</w:t>
      </w:r>
    </w:p>
    <w:p w14:paraId="152BB19C"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brainstorming;</w:t>
      </w:r>
    </w:p>
    <w:p w14:paraId="48496EEF"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expert interviews;</w:t>
      </w:r>
    </w:p>
    <w:p w14:paraId="4431A8AE"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lessons-learned databases;</w:t>
      </w:r>
    </w:p>
    <w:p w14:paraId="4020FD98"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checklists;</w:t>
      </w:r>
    </w:p>
    <w:p w14:paraId="4CAD76A7"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document analysis;</w:t>
      </w:r>
    </w:p>
    <w:p w14:paraId="35ADB49E"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SWOT analysis;</w:t>
      </w:r>
    </w:p>
    <w:p w14:paraId="63F6E3F8"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assumption analysis;</w:t>
      </w:r>
    </w:p>
    <w:p w14:paraId="11948161"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stakeholder workshops; and</w:t>
      </w:r>
    </w:p>
    <w:p w14:paraId="09342961" w14:textId="77777777" w:rsidR="00224042" w:rsidRPr="00224042" w:rsidRDefault="00224042" w:rsidP="00224042">
      <w:pPr>
        <w:numPr>
          <w:ilvl w:val="0"/>
          <w:numId w:val="1"/>
        </w:numPr>
        <w:spacing w:line="360" w:lineRule="auto"/>
        <w:rPr>
          <w:rFonts w:ascii="Times New Roman" w:hAnsi="Times New Roman" w:cs="Times New Roman"/>
          <w:szCs w:val="24"/>
        </w:rPr>
      </w:pPr>
      <w:r w:rsidRPr="00224042">
        <w:rPr>
          <w:rFonts w:ascii="Times New Roman" w:hAnsi="Times New Roman" w:cs="Times New Roman"/>
          <w:szCs w:val="24"/>
        </w:rPr>
        <w:t>cause-and-effect analysis.</w:t>
      </w:r>
    </w:p>
    <w:p w14:paraId="3124182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major limitation of checklist-based identification is dependence on historical experience. Previous-project information can identify recurring risks but may fail to recognise novel threats created by emerging technologies, regulatory changes or unusual stakeholder environments.</w:t>
      </w:r>
    </w:p>
    <w:p w14:paraId="50BE4BB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identification should therefore combine historical evidence with forward-looking analysis.</w:t>
      </w:r>
    </w:p>
    <w:p w14:paraId="2F6B2E8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Projects also need to consider different categories of risk:</w:t>
      </w:r>
    </w:p>
    <w:tbl>
      <w:tblPr>
        <w:tblStyle w:val="TableGrid"/>
        <w:tblW w:w="0" w:type="auto"/>
        <w:tblLook w:val="04A0" w:firstRow="1" w:lastRow="0" w:firstColumn="1" w:lastColumn="0" w:noHBand="0" w:noVBand="1"/>
      </w:tblPr>
      <w:tblGrid>
        <w:gridCol w:w="1690"/>
        <w:gridCol w:w="5172"/>
      </w:tblGrid>
      <w:tr w:rsidR="00224042" w:rsidRPr="00224042" w14:paraId="12D21B67" w14:textId="77777777" w:rsidTr="00224042">
        <w:tc>
          <w:tcPr>
            <w:tcW w:w="0" w:type="auto"/>
            <w:hideMark/>
          </w:tcPr>
          <w:p w14:paraId="3DE5C239"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Risk Category</w:t>
            </w:r>
          </w:p>
        </w:tc>
        <w:tc>
          <w:tcPr>
            <w:tcW w:w="0" w:type="auto"/>
            <w:hideMark/>
          </w:tcPr>
          <w:p w14:paraId="3258C6D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Typical Examples</w:t>
            </w:r>
          </w:p>
        </w:tc>
      </w:tr>
      <w:tr w:rsidR="00224042" w:rsidRPr="00224042" w14:paraId="05627A65" w14:textId="77777777" w:rsidTr="00224042">
        <w:tc>
          <w:tcPr>
            <w:tcW w:w="0" w:type="auto"/>
            <w:hideMark/>
          </w:tcPr>
          <w:p w14:paraId="2171EF59"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Financial</w:t>
            </w:r>
          </w:p>
        </w:tc>
        <w:tc>
          <w:tcPr>
            <w:tcW w:w="0" w:type="auto"/>
            <w:hideMark/>
          </w:tcPr>
          <w:p w14:paraId="2AF7F44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Inflation, exchange rates, funding shortages</w:t>
            </w:r>
          </w:p>
        </w:tc>
      </w:tr>
      <w:tr w:rsidR="00224042" w:rsidRPr="00224042" w14:paraId="728E2F30" w14:textId="77777777" w:rsidTr="00224042">
        <w:tc>
          <w:tcPr>
            <w:tcW w:w="0" w:type="auto"/>
            <w:hideMark/>
          </w:tcPr>
          <w:p w14:paraId="2DFE362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Operational</w:t>
            </w:r>
          </w:p>
        </w:tc>
        <w:tc>
          <w:tcPr>
            <w:tcW w:w="0" w:type="auto"/>
            <w:hideMark/>
          </w:tcPr>
          <w:p w14:paraId="0C71531D"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Resource shortages, process failure</w:t>
            </w:r>
          </w:p>
        </w:tc>
      </w:tr>
      <w:tr w:rsidR="00224042" w:rsidRPr="00224042" w14:paraId="32167831" w14:textId="77777777" w:rsidTr="00224042">
        <w:tc>
          <w:tcPr>
            <w:tcW w:w="0" w:type="auto"/>
            <w:hideMark/>
          </w:tcPr>
          <w:p w14:paraId="53B5325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Technological</w:t>
            </w:r>
          </w:p>
        </w:tc>
        <w:tc>
          <w:tcPr>
            <w:tcW w:w="0" w:type="auto"/>
            <w:hideMark/>
          </w:tcPr>
          <w:p w14:paraId="6959B8E1"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Integration failure, cybersecurity, obsolescence</w:t>
            </w:r>
          </w:p>
        </w:tc>
      </w:tr>
      <w:tr w:rsidR="00224042" w:rsidRPr="00224042" w14:paraId="4B360308" w14:textId="77777777" w:rsidTr="00224042">
        <w:tc>
          <w:tcPr>
            <w:tcW w:w="0" w:type="auto"/>
            <w:hideMark/>
          </w:tcPr>
          <w:p w14:paraId="230DAB39"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lastRenderedPageBreak/>
              <w:t>Stakeholder</w:t>
            </w:r>
          </w:p>
        </w:tc>
        <w:tc>
          <w:tcPr>
            <w:tcW w:w="0" w:type="auto"/>
            <w:hideMark/>
          </w:tcPr>
          <w:p w14:paraId="5E6E5EC1"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Resistance, conflicting expectations</w:t>
            </w:r>
          </w:p>
        </w:tc>
      </w:tr>
      <w:tr w:rsidR="00224042" w:rsidRPr="00224042" w14:paraId="507DF5E4" w14:textId="77777777" w:rsidTr="00224042">
        <w:tc>
          <w:tcPr>
            <w:tcW w:w="0" w:type="auto"/>
            <w:hideMark/>
          </w:tcPr>
          <w:p w14:paraId="721F197A"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Supply chain</w:t>
            </w:r>
          </w:p>
        </w:tc>
        <w:tc>
          <w:tcPr>
            <w:tcW w:w="0" w:type="auto"/>
            <w:hideMark/>
          </w:tcPr>
          <w:p w14:paraId="2E2159C7"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Supplier failure, material shortages</w:t>
            </w:r>
          </w:p>
        </w:tc>
      </w:tr>
      <w:tr w:rsidR="00224042" w:rsidRPr="00224042" w14:paraId="71D4D2D9" w14:textId="77777777" w:rsidTr="00224042">
        <w:tc>
          <w:tcPr>
            <w:tcW w:w="0" w:type="auto"/>
            <w:hideMark/>
          </w:tcPr>
          <w:p w14:paraId="0B4F1A6D"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Regulatory</w:t>
            </w:r>
          </w:p>
        </w:tc>
        <w:tc>
          <w:tcPr>
            <w:tcW w:w="0" w:type="auto"/>
            <w:hideMark/>
          </w:tcPr>
          <w:p w14:paraId="74B57EF7"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Legal or policy change</w:t>
            </w:r>
          </w:p>
        </w:tc>
      </w:tr>
      <w:tr w:rsidR="00224042" w:rsidRPr="00224042" w14:paraId="561DE10C" w14:textId="77777777" w:rsidTr="00224042">
        <w:tc>
          <w:tcPr>
            <w:tcW w:w="0" w:type="auto"/>
            <w:hideMark/>
          </w:tcPr>
          <w:p w14:paraId="0CA9B84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Environmental</w:t>
            </w:r>
          </w:p>
        </w:tc>
        <w:tc>
          <w:tcPr>
            <w:tcW w:w="0" w:type="auto"/>
            <w:hideMark/>
          </w:tcPr>
          <w:p w14:paraId="660E8554"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Weather, natural hazards, climate-related disruption</w:t>
            </w:r>
          </w:p>
        </w:tc>
      </w:tr>
      <w:tr w:rsidR="00224042" w:rsidRPr="00224042" w14:paraId="58EAA025" w14:textId="77777777" w:rsidTr="00224042">
        <w:tc>
          <w:tcPr>
            <w:tcW w:w="0" w:type="auto"/>
            <w:hideMark/>
          </w:tcPr>
          <w:p w14:paraId="534F7B0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Strategic</w:t>
            </w:r>
          </w:p>
        </w:tc>
        <w:tc>
          <w:tcPr>
            <w:tcW w:w="0" w:type="auto"/>
            <w:hideMark/>
          </w:tcPr>
          <w:p w14:paraId="2B2F841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Misalignment with organisational objectives</w:t>
            </w:r>
          </w:p>
        </w:tc>
      </w:tr>
    </w:tbl>
    <w:p w14:paraId="3C0EA41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Categorisation reduces the likelihood that teams focus exclusively on familiar technical risks while overlooking commercial or stakeholder uncertainties.</w:t>
      </w:r>
    </w:p>
    <w:p w14:paraId="18B957AE" w14:textId="2716CA5C" w:rsidR="00224042" w:rsidRPr="00224042" w:rsidRDefault="00224042" w:rsidP="00224042">
      <w:pPr>
        <w:spacing w:line="360" w:lineRule="auto"/>
        <w:rPr>
          <w:rFonts w:ascii="Times New Roman" w:hAnsi="Times New Roman" w:cs="Times New Roman"/>
          <w:szCs w:val="24"/>
        </w:rPr>
      </w:pPr>
    </w:p>
    <w:p w14:paraId="19655B78"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2.3 Risk Assessment and Probability–Impact Analysis</w:t>
      </w:r>
    </w:p>
    <w:p w14:paraId="6072D95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Once identified, risks require assessment to determine their significance. Qualitative assessment commonly evaluates two dimensions: </w:t>
      </w:r>
      <w:r w:rsidRPr="00224042">
        <w:rPr>
          <w:rFonts w:ascii="Times New Roman" w:hAnsi="Times New Roman" w:cs="Times New Roman"/>
          <w:b/>
          <w:bCs/>
          <w:szCs w:val="24"/>
        </w:rPr>
        <w:t>probability</w:t>
      </w:r>
      <w:r w:rsidRPr="00224042">
        <w:rPr>
          <w:rFonts w:ascii="Times New Roman" w:hAnsi="Times New Roman" w:cs="Times New Roman"/>
          <w:szCs w:val="24"/>
        </w:rPr>
        <w:t xml:space="preserve"> and </w:t>
      </w:r>
      <w:r w:rsidRPr="00224042">
        <w:rPr>
          <w:rFonts w:ascii="Times New Roman" w:hAnsi="Times New Roman" w:cs="Times New Roman"/>
          <w:b/>
          <w:bCs/>
          <w:szCs w:val="24"/>
        </w:rPr>
        <w:t>impact</w:t>
      </w:r>
      <w:r w:rsidRPr="00224042">
        <w:rPr>
          <w:rFonts w:ascii="Times New Roman" w:hAnsi="Times New Roman" w:cs="Times New Roman"/>
          <w:szCs w:val="24"/>
        </w:rPr>
        <w:t>.</w:t>
      </w:r>
    </w:p>
    <w:p w14:paraId="3108DB2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simple risk score can be calculated as:</w:t>
      </w:r>
    </w:p>
    <w:p w14:paraId="3BCBA33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Risk Score = Probability × Impact</w:t>
      </w:r>
    </w:p>
    <w:p w14:paraId="0E410BC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Probability–Impact Matrix can subsequently classify risks according to priority.</w:t>
      </w:r>
    </w:p>
    <w:tbl>
      <w:tblPr>
        <w:tblStyle w:val="TableGrid"/>
        <w:tblW w:w="0" w:type="auto"/>
        <w:tblLook w:val="04A0" w:firstRow="1" w:lastRow="0" w:firstColumn="1" w:lastColumn="0" w:noHBand="0" w:noVBand="1"/>
      </w:tblPr>
      <w:tblGrid>
        <w:gridCol w:w="2292"/>
        <w:gridCol w:w="1390"/>
        <w:gridCol w:w="850"/>
        <w:gridCol w:w="1263"/>
        <w:gridCol w:w="903"/>
        <w:gridCol w:w="1443"/>
      </w:tblGrid>
      <w:tr w:rsidR="00224042" w:rsidRPr="00224042" w14:paraId="59129331" w14:textId="77777777" w:rsidTr="00224042">
        <w:tc>
          <w:tcPr>
            <w:tcW w:w="0" w:type="auto"/>
            <w:hideMark/>
          </w:tcPr>
          <w:p w14:paraId="706CF3B4"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Probability / Impact</w:t>
            </w:r>
          </w:p>
        </w:tc>
        <w:tc>
          <w:tcPr>
            <w:tcW w:w="0" w:type="auto"/>
            <w:hideMark/>
          </w:tcPr>
          <w:p w14:paraId="1ECE459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1 Very Low</w:t>
            </w:r>
          </w:p>
        </w:tc>
        <w:tc>
          <w:tcPr>
            <w:tcW w:w="0" w:type="auto"/>
            <w:hideMark/>
          </w:tcPr>
          <w:p w14:paraId="6A517060"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2 Low</w:t>
            </w:r>
          </w:p>
        </w:tc>
        <w:tc>
          <w:tcPr>
            <w:tcW w:w="0" w:type="auto"/>
            <w:hideMark/>
          </w:tcPr>
          <w:p w14:paraId="5150F2A2"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3 Medium</w:t>
            </w:r>
          </w:p>
        </w:tc>
        <w:tc>
          <w:tcPr>
            <w:tcW w:w="0" w:type="auto"/>
            <w:hideMark/>
          </w:tcPr>
          <w:p w14:paraId="29790FF0"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4 High</w:t>
            </w:r>
          </w:p>
        </w:tc>
        <w:tc>
          <w:tcPr>
            <w:tcW w:w="0" w:type="auto"/>
            <w:hideMark/>
          </w:tcPr>
          <w:p w14:paraId="246530EC"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5 Very High</w:t>
            </w:r>
          </w:p>
        </w:tc>
      </w:tr>
      <w:tr w:rsidR="00224042" w:rsidRPr="00224042" w14:paraId="7E068E60" w14:textId="77777777" w:rsidTr="00224042">
        <w:tc>
          <w:tcPr>
            <w:tcW w:w="0" w:type="auto"/>
            <w:hideMark/>
          </w:tcPr>
          <w:p w14:paraId="38A5A740"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b/>
                <w:bCs/>
                <w:szCs w:val="24"/>
              </w:rPr>
              <w:t>5 Almost Certain</w:t>
            </w:r>
          </w:p>
        </w:tc>
        <w:tc>
          <w:tcPr>
            <w:tcW w:w="0" w:type="auto"/>
            <w:hideMark/>
          </w:tcPr>
          <w:p w14:paraId="460E240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hideMark/>
          </w:tcPr>
          <w:p w14:paraId="2789225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10</w:t>
            </w:r>
          </w:p>
        </w:tc>
        <w:tc>
          <w:tcPr>
            <w:tcW w:w="0" w:type="auto"/>
            <w:hideMark/>
          </w:tcPr>
          <w:p w14:paraId="52F66E5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15</w:t>
            </w:r>
          </w:p>
        </w:tc>
        <w:tc>
          <w:tcPr>
            <w:tcW w:w="0" w:type="auto"/>
            <w:hideMark/>
          </w:tcPr>
          <w:p w14:paraId="52F3F58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20</w:t>
            </w:r>
          </w:p>
        </w:tc>
        <w:tc>
          <w:tcPr>
            <w:tcW w:w="0" w:type="auto"/>
            <w:hideMark/>
          </w:tcPr>
          <w:p w14:paraId="741FAB9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25</w:t>
            </w:r>
          </w:p>
        </w:tc>
      </w:tr>
      <w:tr w:rsidR="00224042" w:rsidRPr="00224042" w14:paraId="170FFA87" w14:textId="77777777" w:rsidTr="00224042">
        <w:tc>
          <w:tcPr>
            <w:tcW w:w="0" w:type="auto"/>
            <w:hideMark/>
          </w:tcPr>
          <w:p w14:paraId="5C9106DD"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b/>
                <w:bCs/>
                <w:szCs w:val="24"/>
              </w:rPr>
              <w:t>4 Likely</w:t>
            </w:r>
          </w:p>
        </w:tc>
        <w:tc>
          <w:tcPr>
            <w:tcW w:w="0" w:type="auto"/>
            <w:hideMark/>
          </w:tcPr>
          <w:p w14:paraId="42C12E37"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hideMark/>
          </w:tcPr>
          <w:p w14:paraId="0816DD5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8</w:t>
            </w:r>
          </w:p>
        </w:tc>
        <w:tc>
          <w:tcPr>
            <w:tcW w:w="0" w:type="auto"/>
            <w:hideMark/>
          </w:tcPr>
          <w:p w14:paraId="7035C830"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12</w:t>
            </w:r>
          </w:p>
        </w:tc>
        <w:tc>
          <w:tcPr>
            <w:tcW w:w="0" w:type="auto"/>
            <w:hideMark/>
          </w:tcPr>
          <w:p w14:paraId="5A4DD01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16</w:t>
            </w:r>
          </w:p>
        </w:tc>
        <w:tc>
          <w:tcPr>
            <w:tcW w:w="0" w:type="auto"/>
            <w:hideMark/>
          </w:tcPr>
          <w:p w14:paraId="76362AAC"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20</w:t>
            </w:r>
          </w:p>
        </w:tc>
      </w:tr>
      <w:tr w:rsidR="00224042" w:rsidRPr="00224042" w14:paraId="4488E98E" w14:textId="77777777" w:rsidTr="00224042">
        <w:tc>
          <w:tcPr>
            <w:tcW w:w="0" w:type="auto"/>
            <w:hideMark/>
          </w:tcPr>
          <w:p w14:paraId="5B0AD23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b/>
                <w:bCs/>
                <w:szCs w:val="24"/>
              </w:rPr>
              <w:t>3 Possible</w:t>
            </w:r>
          </w:p>
        </w:tc>
        <w:tc>
          <w:tcPr>
            <w:tcW w:w="0" w:type="auto"/>
            <w:hideMark/>
          </w:tcPr>
          <w:p w14:paraId="492EE17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hideMark/>
          </w:tcPr>
          <w:p w14:paraId="268C847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hideMark/>
          </w:tcPr>
          <w:p w14:paraId="77C3D60C"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9</w:t>
            </w:r>
          </w:p>
        </w:tc>
        <w:tc>
          <w:tcPr>
            <w:tcW w:w="0" w:type="auto"/>
            <w:hideMark/>
          </w:tcPr>
          <w:p w14:paraId="2EF7895D"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12</w:t>
            </w:r>
          </w:p>
        </w:tc>
        <w:tc>
          <w:tcPr>
            <w:tcW w:w="0" w:type="auto"/>
            <w:hideMark/>
          </w:tcPr>
          <w:p w14:paraId="695D8A20"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15</w:t>
            </w:r>
          </w:p>
        </w:tc>
      </w:tr>
      <w:tr w:rsidR="00224042" w:rsidRPr="00224042" w14:paraId="62129B2E" w14:textId="77777777" w:rsidTr="00224042">
        <w:tc>
          <w:tcPr>
            <w:tcW w:w="0" w:type="auto"/>
            <w:hideMark/>
          </w:tcPr>
          <w:p w14:paraId="5374D70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b/>
                <w:bCs/>
                <w:szCs w:val="24"/>
              </w:rPr>
              <w:t>2 Unlikely</w:t>
            </w:r>
          </w:p>
        </w:tc>
        <w:tc>
          <w:tcPr>
            <w:tcW w:w="0" w:type="auto"/>
            <w:hideMark/>
          </w:tcPr>
          <w:p w14:paraId="446B388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hideMark/>
          </w:tcPr>
          <w:p w14:paraId="6065A52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hideMark/>
          </w:tcPr>
          <w:p w14:paraId="367ED0B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hideMark/>
          </w:tcPr>
          <w:p w14:paraId="3A1AEC9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8</w:t>
            </w:r>
          </w:p>
        </w:tc>
        <w:tc>
          <w:tcPr>
            <w:tcW w:w="0" w:type="auto"/>
            <w:hideMark/>
          </w:tcPr>
          <w:p w14:paraId="35F3B92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10</w:t>
            </w:r>
          </w:p>
        </w:tc>
      </w:tr>
      <w:tr w:rsidR="00224042" w:rsidRPr="00224042" w14:paraId="5A6FFFC2" w14:textId="77777777" w:rsidTr="00224042">
        <w:tc>
          <w:tcPr>
            <w:tcW w:w="0" w:type="auto"/>
            <w:hideMark/>
          </w:tcPr>
          <w:p w14:paraId="7ED80C4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b/>
                <w:bCs/>
                <w:szCs w:val="24"/>
              </w:rPr>
              <w:t>1 Rare</w:t>
            </w:r>
          </w:p>
        </w:tc>
        <w:tc>
          <w:tcPr>
            <w:tcW w:w="0" w:type="auto"/>
            <w:hideMark/>
          </w:tcPr>
          <w:p w14:paraId="415BCE1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w:t>
            </w:r>
          </w:p>
        </w:tc>
        <w:tc>
          <w:tcPr>
            <w:tcW w:w="0" w:type="auto"/>
            <w:hideMark/>
          </w:tcPr>
          <w:p w14:paraId="79FE418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hideMark/>
          </w:tcPr>
          <w:p w14:paraId="2A2433C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hideMark/>
          </w:tcPr>
          <w:p w14:paraId="49E3366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hideMark/>
          </w:tcPr>
          <w:p w14:paraId="2CABEB5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5</w:t>
            </w:r>
          </w:p>
        </w:tc>
      </w:tr>
    </w:tbl>
    <w:p w14:paraId="15B3943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Scores in the upper range generally require greater managerial attention. However, the matrix should not be interpreted mechanically. Two risks receiving identical numerical scores may have substantially different strategic implications.</w:t>
      </w:r>
    </w:p>
    <w:p w14:paraId="72EEC35D" w14:textId="6D2FDCC5"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Cox (2008) critically examines risk matrices and identifies limitations in their ability to accurately rank risks under certain conditions. This reinforces the importance of combining numerical scoring with managerial judgement and contextual analysis.</w:t>
      </w:r>
    </w:p>
    <w:p w14:paraId="4CC9AD5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2.4 Quantitative Risk Analysis</w:t>
      </w:r>
    </w:p>
    <w:p w14:paraId="700C95E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Where projects involve substantial financial exposure or uncertainty, quantitative analysis can supplement qualitative assessment.</w:t>
      </w:r>
    </w:p>
    <w:p w14:paraId="2DDEFBC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Techniques include:</w:t>
      </w:r>
    </w:p>
    <w:p w14:paraId="5E6E0B1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Expected Monetary Value (EMV):</w:t>
      </w:r>
    </w:p>
    <w:p w14:paraId="3EAC264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EMV = Probability of Risk × Financial Impact</w:t>
      </w:r>
    </w:p>
    <w:p w14:paraId="6D446E9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For example, if a risk has a 30% probability of creating a £100,000 loss:</w:t>
      </w:r>
    </w:p>
    <w:p w14:paraId="7553950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EMV = 0.30 × £100,000 = £30,000</w:t>
      </w:r>
    </w:p>
    <w:p w14:paraId="22894F9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information can contribute to contingency planning.</w:t>
      </w:r>
    </w:p>
    <w:p w14:paraId="08C00FA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Sensitivity analysis</w:t>
      </w:r>
      <w:r w:rsidRPr="00224042">
        <w:rPr>
          <w:rFonts w:ascii="Times New Roman" w:hAnsi="Times New Roman" w:cs="Times New Roman"/>
          <w:szCs w:val="24"/>
        </w:rPr>
        <w:t xml:space="preserve"> examines how changes in individual variables influence project outcomes. It can identify whether cost, duration, demand or another assumption has the greatest effect on performance.</w:t>
      </w:r>
    </w:p>
    <w:p w14:paraId="4B26514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Monte Carlo simulation</w:t>
      </w:r>
      <w:r w:rsidRPr="00224042">
        <w:rPr>
          <w:rFonts w:ascii="Times New Roman" w:hAnsi="Times New Roman" w:cs="Times New Roman"/>
          <w:szCs w:val="24"/>
        </w:rPr>
        <w:t xml:space="preserve"> goes further by repeatedly modelling combinations of uncertain variables to generate a distribution of possible outcomes. This can provide a more realistic representation than a single deterministic project completion date or budget.</w:t>
      </w:r>
    </w:p>
    <w:p w14:paraId="3A63139F" w14:textId="5AC5D836" w:rsid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However, quantitative analysis depends on the quality of input estimates. Sophisticated modelling cannot compensate for unrealistic probability assumptions.</w:t>
      </w:r>
    </w:p>
    <w:p w14:paraId="18E34EF3" w14:textId="77777777" w:rsidR="00224042" w:rsidRDefault="00224042" w:rsidP="00224042">
      <w:pPr>
        <w:spacing w:line="360" w:lineRule="auto"/>
        <w:rPr>
          <w:rFonts w:ascii="Times New Roman" w:hAnsi="Times New Roman" w:cs="Times New Roman"/>
          <w:szCs w:val="24"/>
        </w:rPr>
      </w:pPr>
    </w:p>
    <w:p w14:paraId="54579988" w14:textId="77777777" w:rsidR="00224042" w:rsidRDefault="00224042" w:rsidP="00224042">
      <w:pPr>
        <w:spacing w:line="360" w:lineRule="auto"/>
        <w:rPr>
          <w:rFonts w:ascii="Times New Roman" w:hAnsi="Times New Roman" w:cs="Times New Roman"/>
          <w:szCs w:val="24"/>
        </w:rPr>
      </w:pPr>
    </w:p>
    <w:p w14:paraId="74588802" w14:textId="77777777" w:rsidR="00224042" w:rsidRDefault="00224042" w:rsidP="00224042">
      <w:pPr>
        <w:spacing w:line="360" w:lineRule="auto"/>
        <w:rPr>
          <w:rFonts w:ascii="Times New Roman" w:hAnsi="Times New Roman" w:cs="Times New Roman"/>
          <w:szCs w:val="24"/>
        </w:rPr>
      </w:pPr>
    </w:p>
    <w:p w14:paraId="142F97B2" w14:textId="77777777" w:rsidR="00224042" w:rsidRDefault="00224042" w:rsidP="00224042">
      <w:pPr>
        <w:spacing w:line="360" w:lineRule="auto"/>
        <w:rPr>
          <w:rFonts w:ascii="Times New Roman" w:hAnsi="Times New Roman" w:cs="Times New Roman"/>
          <w:szCs w:val="24"/>
        </w:rPr>
      </w:pPr>
    </w:p>
    <w:p w14:paraId="744AD354" w14:textId="77777777" w:rsidR="00224042" w:rsidRPr="00224042" w:rsidRDefault="00224042" w:rsidP="00224042">
      <w:pPr>
        <w:spacing w:line="360" w:lineRule="auto"/>
        <w:rPr>
          <w:rFonts w:ascii="Times New Roman" w:hAnsi="Times New Roman" w:cs="Times New Roman"/>
          <w:szCs w:val="24"/>
        </w:rPr>
      </w:pPr>
    </w:p>
    <w:p w14:paraId="05F48BEA"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2.5 Risk Prioritisation and the Risk Register</w:t>
      </w:r>
    </w:p>
    <w:p w14:paraId="0ED20C48" w14:textId="759A219E"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risk register provides a central mechanism for documenting and monitoring project risks.</w:t>
      </w:r>
    </w:p>
    <w:p w14:paraId="7D90F07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comprehensive register normally records:</w:t>
      </w:r>
    </w:p>
    <w:tbl>
      <w:tblPr>
        <w:tblStyle w:val="TableGrid"/>
        <w:tblW w:w="0" w:type="auto"/>
        <w:tblLook w:val="04A0" w:firstRow="1" w:lastRow="0" w:firstColumn="1" w:lastColumn="0" w:noHBand="0" w:noVBand="1"/>
      </w:tblPr>
      <w:tblGrid>
        <w:gridCol w:w="1783"/>
        <w:gridCol w:w="2716"/>
      </w:tblGrid>
      <w:tr w:rsidR="00224042" w:rsidRPr="00224042" w14:paraId="4A404E6D" w14:textId="77777777" w:rsidTr="00224042">
        <w:tc>
          <w:tcPr>
            <w:tcW w:w="0" w:type="auto"/>
            <w:hideMark/>
          </w:tcPr>
          <w:p w14:paraId="3C661B16"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Field</w:t>
            </w:r>
          </w:p>
        </w:tc>
        <w:tc>
          <w:tcPr>
            <w:tcW w:w="0" w:type="auto"/>
            <w:hideMark/>
          </w:tcPr>
          <w:p w14:paraId="3429FF9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Purpose</w:t>
            </w:r>
          </w:p>
        </w:tc>
      </w:tr>
      <w:tr w:rsidR="00224042" w:rsidRPr="00224042" w14:paraId="4FB008BA" w14:textId="77777777" w:rsidTr="00224042">
        <w:tc>
          <w:tcPr>
            <w:tcW w:w="0" w:type="auto"/>
            <w:hideMark/>
          </w:tcPr>
          <w:p w14:paraId="200D995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Risk ID</w:t>
            </w:r>
          </w:p>
        </w:tc>
        <w:tc>
          <w:tcPr>
            <w:tcW w:w="0" w:type="auto"/>
            <w:hideMark/>
          </w:tcPr>
          <w:p w14:paraId="44C188F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Unique identification</w:t>
            </w:r>
          </w:p>
        </w:tc>
      </w:tr>
      <w:tr w:rsidR="00224042" w:rsidRPr="00224042" w14:paraId="544042CE" w14:textId="77777777" w:rsidTr="00224042">
        <w:tc>
          <w:tcPr>
            <w:tcW w:w="0" w:type="auto"/>
            <w:hideMark/>
          </w:tcPr>
          <w:p w14:paraId="2F4BACBA"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Risk description</w:t>
            </w:r>
          </w:p>
        </w:tc>
        <w:tc>
          <w:tcPr>
            <w:tcW w:w="0" w:type="auto"/>
            <w:hideMark/>
          </w:tcPr>
          <w:p w14:paraId="052E174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Defines uncertainty</w:t>
            </w:r>
          </w:p>
        </w:tc>
      </w:tr>
      <w:tr w:rsidR="00224042" w:rsidRPr="00224042" w14:paraId="4398F616" w14:textId="77777777" w:rsidTr="00224042">
        <w:tc>
          <w:tcPr>
            <w:tcW w:w="0" w:type="auto"/>
            <w:hideMark/>
          </w:tcPr>
          <w:p w14:paraId="404FB94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Cause</w:t>
            </w:r>
          </w:p>
        </w:tc>
        <w:tc>
          <w:tcPr>
            <w:tcW w:w="0" w:type="auto"/>
            <w:hideMark/>
          </w:tcPr>
          <w:p w14:paraId="4D835D2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Explains origin</w:t>
            </w:r>
          </w:p>
        </w:tc>
      </w:tr>
      <w:tr w:rsidR="00224042" w:rsidRPr="00224042" w14:paraId="30186AEF" w14:textId="77777777" w:rsidTr="00224042">
        <w:tc>
          <w:tcPr>
            <w:tcW w:w="0" w:type="auto"/>
            <w:hideMark/>
          </w:tcPr>
          <w:p w14:paraId="5E2572D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Probability</w:t>
            </w:r>
          </w:p>
        </w:tc>
        <w:tc>
          <w:tcPr>
            <w:tcW w:w="0" w:type="auto"/>
            <w:hideMark/>
          </w:tcPr>
          <w:p w14:paraId="5DB2D16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Likelihood assessment</w:t>
            </w:r>
          </w:p>
        </w:tc>
      </w:tr>
      <w:tr w:rsidR="00224042" w:rsidRPr="00224042" w14:paraId="10001970" w14:textId="77777777" w:rsidTr="00224042">
        <w:tc>
          <w:tcPr>
            <w:tcW w:w="0" w:type="auto"/>
            <w:hideMark/>
          </w:tcPr>
          <w:p w14:paraId="33CB18BC"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Impact</w:t>
            </w:r>
          </w:p>
        </w:tc>
        <w:tc>
          <w:tcPr>
            <w:tcW w:w="0" w:type="auto"/>
            <w:hideMark/>
          </w:tcPr>
          <w:p w14:paraId="1180A9D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Consequence assessment</w:t>
            </w:r>
          </w:p>
        </w:tc>
      </w:tr>
      <w:tr w:rsidR="00224042" w:rsidRPr="00224042" w14:paraId="508BA159" w14:textId="77777777" w:rsidTr="00224042">
        <w:tc>
          <w:tcPr>
            <w:tcW w:w="0" w:type="auto"/>
            <w:hideMark/>
          </w:tcPr>
          <w:p w14:paraId="6EDC94F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Risk score</w:t>
            </w:r>
          </w:p>
        </w:tc>
        <w:tc>
          <w:tcPr>
            <w:tcW w:w="0" w:type="auto"/>
            <w:hideMark/>
          </w:tcPr>
          <w:p w14:paraId="1F4C635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Supports prioritisation</w:t>
            </w:r>
          </w:p>
        </w:tc>
      </w:tr>
      <w:tr w:rsidR="00224042" w:rsidRPr="00224042" w14:paraId="3E60D552" w14:textId="77777777" w:rsidTr="00224042">
        <w:tc>
          <w:tcPr>
            <w:tcW w:w="0" w:type="auto"/>
            <w:hideMark/>
          </w:tcPr>
          <w:p w14:paraId="17B9BBA3"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Owner</w:t>
            </w:r>
          </w:p>
        </w:tc>
        <w:tc>
          <w:tcPr>
            <w:tcW w:w="0" w:type="auto"/>
            <w:hideMark/>
          </w:tcPr>
          <w:p w14:paraId="4B6009B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Establishes accountability</w:t>
            </w:r>
          </w:p>
        </w:tc>
      </w:tr>
      <w:tr w:rsidR="00224042" w:rsidRPr="00224042" w14:paraId="246E07AF" w14:textId="77777777" w:rsidTr="00224042">
        <w:tc>
          <w:tcPr>
            <w:tcW w:w="0" w:type="auto"/>
            <w:hideMark/>
          </w:tcPr>
          <w:p w14:paraId="23E4749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Response</w:t>
            </w:r>
          </w:p>
        </w:tc>
        <w:tc>
          <w:tcPr>
            <w:tcW w:w="0" w:type="auto"/>
            <w:hideMark/>
          </w:tcPr>
          <w:p w14:paraId="0E59C1D7"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Planned treatment</w:t>
            </w:r>
          </w:p>
        </w:tc>
      </w:tr>
      <w:tr w:rsidR="00224042" w:rsidRPr="00224042" w14:paraId="6A430C13" w14:textId="77777777" w:rsidTr="00224042">
        <w:tc>
          <w:tcPr>
            <w:tcW w:w="0" w:type="auto"/>
            <w:hideMark/>
          </w:tcPr>
          <w:p w14:paraId="2C298F5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Trigger</w:t>
            </w:r>
          </w:p>
        </w:tc>
        <w:tc>
          <w:tcPr>
            <w:tcW w:w="0" w:type="auto"/>
            <w:hideMark/>
          </w:tcPr>
          <w:p w14:paraId="516D542C"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Early warning indicator</w:t>
            </w:r>
          </w:p>
        </w:tc>
      </w:tr>
      <w:tr w:rsidR="00224042" w:rsidRPr="00224042" w14:paraId="0DFAECF2" w14:textId="77777777" w:rsidTr="00224042">
        <w:tc>
          <w:tcPr>
            <w:tcW w:w="0" w:type="auto"/>
            <w:hideMark/>
          </w:tcPr>
          <w:p w14:paraId="29332AE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Status</w:t>
            </w:r>
          </w:p>
        </w:tc>
        <w:tc>
          <w:tcPr>
            <w:tcW w:w="0" w:type="auto"/>
            <w:hideMark/>
          </w:tcPr>
          <w:p w14:paraId="2B02301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Tracks current condition</w:t>
            </w:r>
          </w:p>
        </w:tc>
      </w:tr>
    </w:tbl>
    <w:p w14:paraId="6E60C18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 allocation of a </w:t>
      </w:r>
      <w:r w:rsidRPr="00224042">
        <w:rPr>
          <w:rFonts w:ascii="Times New Roman" w:hAnsi="Times New Roman" w:cs="Times New Roman"/>
          <w:b/>
          <w:bCs/>
          <w:szCs w:val="24"/>
        </w:rPr>
        <w:t>risk owner</w:t>
      </w:r>
      <w:r w:rsidRPr="00224042">
        <w:rPr>
          <w:rFonts w:ascii="Times New Roman" w:hAnsi="Times New Roman" w:cs="Times New Roman"/>
          <w:szCs w:val="24"/>
        </w:rPr>
        <w:t xml:space="preserve"> is particularly important. Risks documented without clear responsibility may remain unaddressed even when they have been correctly identified.</w:t>
      </w:r>
    </w:p>
    <w:p w14:paraId="10EE1C9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registers should also remain dynamic. A register created during project initiation but rarely updated becomes an administrative document rather than a management tool.</w:t>
      </w:r>
    </w:p>
    <w:p w14:paraId="19CA67CD" w14:textId="783D7C8F" w:rsidR="00224042" w:rsidRDefault="00224042" w:rsidP="00224042">
      <w:pPr>
        <w:spacing w:line="360" w:lineRule="auto"/>
        <w:rPr>
          <w:rFonts w:ascii="Times New Roman" w:hAnsi="Times New Roman" w:cs="Times New Roman"/>
          <w:szCs w:val="24"/>
        </w:rPr>
      </w:pPr>
    </w:p>
    <w:p w14:paraId="285D6981" w14:textId="77777777" w:rsidR="00224042" w:rsidRDefault="00224042" w:rsidP="00224042">
      <w:pPr>
        <w:spacing w:line="360" w:lineRule="auto"/>
        <w:rPr>
          <w:rFonts w:ascii="Times New Roman" w:hAnsi="Times New Roman" w:cs="Times New Roman"/>
          <w:szCs w:val="24"/>
        </w:rPr>
      </w:pPr>
    </w:p>
    <w:p w14:paraId="39A8E7A9" w14:textId="77777777" w:rsidR="00224042" w:rsidRDefault="00224042" w:rsidP="00224042">
      <w:pPr>
        <w:spacing w:line="360" w:lineRule="auto"/>
        <w:rPr>
          <w:rFonts w:ascii="Times New Roman" w:hAnsi="Times New Roman" w:cs="Times New Roman"/>
          <w:szCs w:val="24"/>
        </w:rPr>
      </w:pPr>
    </w:p>
    <w:p w14:paraId="73602C40" w14:textId="77777777" w:rsidR="00224042" w:rsidRDefault="00224042" w:rsidP="00224042">
      <w:pPr>
        <w:spacing w:line="360" w:lineRule="auto"/>
        <w:rPr>
          <w:rFonts w:ascii="Times New Roman" w:hAnsi="Times New Roman" w:cs="Times New Roman"/>
          <w:szCs w:val="24"/>
        </w:rPr>
      </w:pPr>
    </w:p>
    <w:p w14:paraId="6D1AC903" w14:textId="77777777" w:rsidR="00224042" w:rsidRPr="00224042" w:rsidRDefault="00224042" w:rsidP="00224042">
      <w:pPr>
        <w:spacing w:line="360" w:lineRule="auto"/>
        <w:rPr>
          <w:rFonts w:ascii="Times New Roman" w:hAnsi="Times New Roman" w:cs="Times New Roman"/>
          <w:szCs w:val="24"/>
        </w:rPr>
      </w:pPr>
    </w:p>
    <w:p w14:paraId="04FCF2C0"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2.6 Risk Response Planning and Contingency Management</w:t>
      </w:r>
    </w:p>
    <w:p w14:paraId="76F969F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response planning determines how management should deal with prioritised uncertainties. Four widely applied responses to threats are:</w:t>
      </w:r>
    </w:p>
    <w:p w14:paraId="59632E1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Avoid</w:t>
      </w:r>
      <w:r w:rsidRPr="00224042">
        <w:rPr>
          <w:rFonts w:ascii="Times New Roman" w:hAnsi="Times New Roman" w:cs="Times New Roman"/>
          <w:szCs w:val="24"/>
        </w:rPr>
        <w:t xml:space="preserve"> – eliminate the source of the threat.</w:t>
      </w:r>
    </w:p>
    <w:p w14:paraId="4CEC819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Mitigate</w:t>
      </w:r>
      <w:r w:rsidRPr="00224042">
        <w:rPr>
          <w:rFonts w:ascii="Times New Roman" w:hAnsi="Times New Roman" w:cs="Times New Roman"/>
          <w:szCs w:val="24"/>
        </w:rPr>
        <w:t xml:space="preserve"> – reduce probability or impact.</w:t>
      </w:r>
    </w:p>
    <w:p w14:paraId="2833ADF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Transfer</w:t>
      </w:r>
      <w:r w:rsidRPr="00224042">
        <w:rPr>
          <w:rFonts w:ascii="Times New Roman" w:hAnsi="Times New Roman" w:cs="Times New Roman"/>
          <w:szCs w:val="24"/>
        </w:rPr>
        <w:t xml:space="preserve"> – allocate financial or operational consequences to another party.</w:t>
      </w:r>
    </w:p>
    <w:p w14:paraId="61A65E4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Accept</w:t>
      </w:r>
      <w:r w:rsidRPr="00224042">
        <w:rPr>
          <w:rFonts w:ascii="Times New Roman" w:hAnsi="Times New Roman" w:cs="Times New Roman"/>
          <w:szCs w:val="24"/>
        </w:rPr>
        <w:t xml:space="preserve"> – acknowledge the risk where intervention is uneconomic or impractical.</w:t>
      </w:r>
    </w:p>
    <w:p w14:paraId="467AEF4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Response selection should consider the cost of intervention relative to expected exposure. Spending £100,000 to mitigate a risk with an expected financial impact of £10,000 would normally represent poor resource allocation unless substantial non-financial consequences also exist.</w:t>
      </w:r>
    </w:p>
    <w:p w14:paraId="753A66C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Contingency planning is important for risks that cannot be </w:t>
      </w:r>
      <w:proofErr w:type="gramStart"/>
      <w:r w:rsidRPr="00224042">
        <w:rPr>
          <w:rFonts w:ascii="Times New Roman" w:hAnsi="Times New Roman" w:cs="Times New Roman"/>
          <w:szCs w:val="24"/>
        </w:rPr>
        <w:t>completely eliminated</w:t>
      </w:r>
      <w:proofErr w:type="gramEnd"/>
      <w:r w:rsidRPr="00224042">
        <w:rPr>
          <w:rFonts w:ascii="Times New Roman" w:hAnsi="Times New Roman" w:cs="Times New Roman"/>
          <w:szCs w:val="24"/>
        </w:rPr>
        <w:t>. Contingency reserves, alternative suppliers, backup technologies and emergency schedules allow organisations to respond more quickly if risks materialise.</w:t>
      </w:r>
    </w:p>
    <w:p w14:paraId="5C87023E" w14:textId="28A25FAF" w:rsidR="00224042" w:rsidRPr="00224042" w:rsidRDefault="00224042" w:rsidP="00224042">
      <w:pPr>
        <w:spacing w:line="360" w:lineRule="auto"/>
        <w:rPr>
          <w:rFonts w:ascii="Times New Roman" w:hAnsi="Times New Roman" w:cs="Times New Roman"/>
          <w:szCs w:val="24"/>
        </w:rPr>
      </w:pPr>
    </w:p>
    <w:p w14:paraId="426DE5D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2.7 Scenario Analysis and External Environmental Risk</w:t>
      </w:r>
    </w:p>
    <w:p w14:paraId="0D17DA8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Scenario analysis examines alternative future conditions rather than attempting to predict one precise outcome. For example, a project could develop </w:t>
      </w:r>
      <w:r w:rsidRPr="00224042">
        <w:rPr>
          <w:rFonts w:ascii="Times New Roman" w:hAnsi="Times New Roman" w:cs="Times New Roman"/>
          <w:b/>
          <w:bCs/>
          <w:szCs w:val="24"/>
        </w:rPr>
        <w:t>optimistic, expected and adverse scenarios</w:t>
      </w:r>
      <w:r w:rsidRPr="00224042">
        <w:rPr>
          <w:rFonts w:ascii="Times New Roman" w:hAnsi="Times New Roman" w:cs="Times New Roman"/>
          <w:szCs w:val="24"/>
        </w:rPr>
        <w:t xml:space="preserve"> for inflation, supply availability or customer demand.</w:t>
      </w:r>
    </w:p>
    <w:p w14:paraId="672729F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Scenario planning is particularly relevant to external risks because these are frequently beyond the project team's direct control.</w:t>
      </w:r>
    </w:p>
    <w:p w14:paraId="64818FB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External environmental risks may arise from:</w:t>
      </w:r>
    </w:p>
    <w:p w14:paraId="59726486"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economic volatility;</w:t>
      </w:r>
    </w:p>
    <w:p w14:paraId="14873FC0"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regulatory changes;</w:t>
      </w:r>
    </w:p>
    <w:p w14:paraId="23A55EC6"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political developments;</w:t>
      </w:r>
    </w:p>
    <w:p w14:paraId="1A31AA59"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lastRenderedPageBreak/>
        <w:t>extreme weather;</w:t>
      </w:r>
    </w:p>
    <w:p w14:paraId="7E60D8B1"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technological disruption;</w:t>
      </w:r>
    </w:p>
    <w:p w14:paraId="6465FFA0"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pandemics;</w:t>
      </w:r>
    </w:p>
    <w:p w14:paraId="380C8ABF"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geopolitical instability; and</w:t>
      </w:r>
    </w:p>
    <w:p w14:paraId="54339142" w14:textId="77777777" w:rsidR="00224042" w:rsidRPr="00224042" w:rsidRDefault="00224042" w:rsidP="00224042">
      <w:pPr>
        <w:numPr>
          <w:ilvl w:val="0"/>
          <w:numId w:val="2"/>
        </w:numPr>
        <w:spacing w:line="360" w:lineRule="auto"/>
        <w:rPr>
          <w:rFonts w:ascii="Times New Roman" w:hAnsi="Times New Roman" w:cs="Times New Roman"/>
          <w:szCs w:val="24"/>
        </w:rPr>
      </w:pPr>
      <w:r w:rsidRPr="00224042">
        <w:rPr>
          <w:rFonts w:ascii="Times New Roman" w:hAnsi="Times New Roman" w:cs="Times New Roman"/>
          <w:szCs w:val="24"/>
        </w:rPr>
        <w:t>supply-chain shocks.</w:t>
      </w:r>
    </w:p>
    <w:p w14:paraId="595882F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demonstrates the relationship between project risk management and broader organisational environmental analysis. Large projects should therefore continuously monitor external developments rather than rely solely on internally focused risk registers.</w:t>
      </w:r>
    </w:p>
    <w:p w14:paraId="33A43BF5" w14:textId="54D27369" w:rsidR="00224042" w:rsidRPr="00224042" w:rsidRDefault="00224042" w:rsidP="00224042">
      <w:pPr>
        <w:spacing w:line="360" w:lineRule="auto"/>
        <w:rPr>
          <w:rFonts w:ascii="Times New Roman" w:hAnsi="Times New Roman" w:cs="Times New Roman"/>
          <w:szCs w:val="24"/>
        </w:rPr>
      </w:pPr>
    </w:p>
    <w:p w14:paraId="3E9CE8C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2.8 Stakeholder and Behavioural Dimensions of Risk</w:t>
      </w:r>
    </w:p>
    <w:p w14:paraId="249A7AF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 risk is not purely technical or financial. Stakeholders can create significant uncertainty when objectives, expectations or levels of influence differ.</w:t>
      </w:r>
    </w:p>
    <w:p w14:paraId="556C7F2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Aaltonen (2011) demonstrates the importance of stakeholder dynamics in international projects, where stakeholder environments can change over the project life cycle. Risk management should therefore examine both formal stakeholder positions and potential changes in stakeholder behaviour.</w:t>
      </w:r>
    </w:p>
    <w:p w14:paraId="3E567C5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Behavioural factors can also distort risk assessment. Managers may underestimate risks because of optimism bias, organisational pressure or excessive confidence in previous experience. Conversely, highly risk-averse environments may exaggerate relatively minor threats.</w:t>
      </w:r>
    </w:p>
    <w:p w14:paraId="76988926" w14:textId="0102F8B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Effective risk management therefore requires open communication and a culture in which team members can raise concerns without inappropriate pressure to minimise negative information.</w:t>
      </w:r>
    </w:p>
    <w:p w14:paraId="4F4854C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2.9 Risk Monitoring, Resilience and Sustainable Project Performance</w:t>
      </w:r>
    </w:p>
    <w:p w14:paraId="24E8C5D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management is continuous because both probability and impact can change during project execution. Monitoring should therefore track existing risks, identify emerging risks and evaluate whether planned responses remain effective.</w:t>
      </w:r>
    </w:p>
    <w:p w14:paraId="10F9718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Early-warning indicators can improve this process. Examples include increasing supplier lead times, rising defect rates, declining stakeholder participation or rapid expenditure growth.</w:t>
      </w:r>
    </w:p>
    <w:p w14:paraId="4C857EB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 broader objective is </w:t>
      </w:r>
      <w:r w:rsidRPr="00224042">
        <w:rPr>
          <w:rFonts w:ascii="Times New Roman" w:hAnsi="Times New Roman" w:cs="Times New Roman"/>
          <w:b/>
          <w:bCs/>
          <w:szCs w:val="24"/>
        </w:rPr>
        <w:t>project resilience</w:t>
      </w:r>
      <w:r w:rsidRPr="00224042">
        <w:rPr>
          <w:rFonts w:ascii="Times New Roman" w:hAnsi="Times New Roman" w:cs="Times New Roman"/>
          <w:szCs w:val="24"/>
        </w:rPr>
        <w:t>: the capacity to absorb disruption, adapt and continue delivering critical outcomes. Resilience requires contingency resources, alternative arrangements, flexible decision-making and organisational learning.</w:t>
      </w:r>
    </w:p>
    <w:p w14:paraId="385B2C8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Sustainability adds another dimension. Risk decisions should consider not only immediate delivery outcomes but also environmental, social and long-term organisational consequences. Martens and Carvalho (2017) demonstrate the increasing importance of sustainability factors within project-management contexts.</w:t>
      </w:r>
    </w:p>
    <w:p w14:paraId="1CC87FD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Overall, the literature demonstrates that strategic project risk management should progress beyond a static risk register. Effective practice integrates </w:t>
      </w:r>
      <w:r w:rsidRPr="00224042">
        <w:rPr>
          <w:rFonts w:ascii="Times New Roman" w:hAnsi="Times New Roman" w:cs="Times New Roman"/>
          <w:b/>
          <w:bCs/>
          <w:szCs w:val="24"/>
        </w:rPr>
        <w:t>identification, assessment, prioritisation, response, monitoring, stakeholder management, contingency planning and organisational learning</w:t>
      </w:r>
      <w:r w:rsidRPr="00224042">
        <w:rPr>
          <w:rFonts w:ascii="Times New Roman" w:hAnsi="Times New Roman" w:cs="Times New Roman"/>
          <w:szCs w:val="24"/>
        </w:rPr>
        <w:t>. The strongest risk-management systems support managerial decisions throughout the project life cycle and strengthen both immediate project performance and long-term organisational resilience.</w:t>
      </w:r>
    </w:p>
    <w:p w14:paraId="4CF4AB6C" w14:textId="39A49E21" w:rsidR="009C6C84" w:rsidRDefault="00224042" w:rsidP="00224042">
      <w:pPr>
        <w:spacing w:line="360" w:lineRule="auto"/>
        <w:rPr>
          <w:rFonts w:ascii="Times New Roman" w:hAnsi="Times New Roman" w:cs="Times New Roman"/>
          <w:szCs w:val="24"/>
          <w:lang w:val="en-US"/>
        </w:rPr>
      </w:pPr>
      <w:r w:rsidRPr="00224042">
        <w:rPr>
          <w:rFonts w:ascii="Times New Roman" w:hAnsi="Times New Roman" w:cs="Times New Roman"/>
          <w:szCs w:val="24"/>
          <w:lang w:val="en-US"/>
        </w:rPr>
        <w:tab/>
      </w:r>
    </w:p>
    <w:p w14:paraId="71C5C3EF" w14:textId="77777777" w:rsidR="00224042" w:rsidRDefault="00224042" w:rsidP="00224042">
      <w:pPr>
        <w:spacing w:line="360" w:lineRule="auto"/>
        <w:rPr>
          <w:rFonts w:ascii="Times New Roman" w:hAnsi="Times New Roman" w:cs="Times New Roman"/>
          <w:szCs w:val="24"/>
          <w:lang w:val="en-US"/>
        </w:rPr>
      </w:pPr>
    </w:p>
    <w:p w14:paraId="0A2FE732" w14:textId="77777777" w:rsidR="00224042" w:rsidRDefault="00224042" w:rsidP="00224042">
      <w:pPr>
        <w:spacing w:line="360" w:lineRule="auto"/>
        <w:rPr>
          <w:rFonts w:ascii="Times New Roman" w:hAnsi="Times New Roman" w:cs="Times New Roman"/>
          <w:szCs w:val="24"/>
          <w:lang w:val="en-US"/>
        </w:rPr>
      </w:pPr>
    </w:p>
    <w:p w14:paraId="29191808" w14:textId="77777777" w:rsidR="00224042" w:rsidRDefault="00224042" w:rsidP="00224042">
      <w:pPr>
        <w:spacing w:line="360" w:lineRule="auto"/>
        <w:rPr>
          <w:rFonts w:ascii="Times New Roman" w:hAnsi="Times New Roman" w:cs="Times New Roman"/>
          <w:szCs w:val="24"/>
          <w:lang w:val="en-US"/>
        </w:rPr>
      </w:pPr>
    </w:p>
    <w:p w14:paraId="38B6E237" w14:textId="77777777" w:rsidR="00224042" w:rsidRDefault="00224042" w:rsidP="00224042">
      <w:pPr>
        <w:spacing w:line="360" w:lineRule="auto"/>
        <w:rPr>
          <w:rFonts w:ascii="Times New Roman" w:hAnsi="Times New Roman" w:cs="Times New Roman"/>
          <w:szCs w:val="24"/>
          <w:lang w:val="en-US"/>
        </w:rPr>
      </w:pPr>
    </w:p>
    <w:p w14:paraId="102A9645" w14:textId="77777777" w:rsidR="00224042" w:rsidRDefault="00224042" w:rsidP="00224042">
      <w:pPr>
        <w:spacing w:line="360" w:lineRule="auto"/>
        <w:rPr>
          <w:rFonts w:ascii="Times New Roman" w:hAnsi="Times New Roman" w:cs="Times New Roman"/>
          <w:szCs w:val="24"/>
          <w:lang w:val="en-US"/>
        </w:rPr>
      </w:pPr>
    </w:p>
    <w:p w14:paraId="51E4B02C" w14:textId="77777777" w:rsidR="00224042" w:rsidRDefault="00224042" w:rsidP="00224042">
      <w:pPr>
        <w:spacing w:line="360" w:lineRule="auto"/>
        <w:rPr>
          <w:rFonts w:ascii="Times New Roman" w:hAnsi="Times New Roman" w:cs="Times New Roman"/>
          <w:szCs w:val="24"/>
          <w:lang w:val="en-US"/>
        </w:rPr>
      </w:pPr>
    </w:p>
    <w:p w14:paraId="47F93C62" w14:textId="77777777" w:rsidR="00224042" w:rsidRDefault="00224042" w:rsidP="00224042">
      <w:pPr>
        <w:spacing w:line="360" w:lineRule="auto"/>
        <w:rPr>
          <w:rFonts w:ascii="Times New Roman" w:hAnsi="Times New Roman" w:cs="Times New Roman"/>
          <w:szCs w:val="24"/>
          <w:lang w:val="en-US"/>
        </w:rPr>
      </w:pPr>
    </w:p>
    <w:p w14:paraId="6A04AFD9" w14:textId="77777777" w:rsidR="00224042" w:rsidRDefault="00224042" w:rsidP="00224042">
      <w:pPr>
        <w:spacing w:line="360" w:lineRule="auto"/>
        <w:rPr>
          <w:rFonts w:ascii="Times New Roman" w:hAnsi="Times New Roman" w:cs="Times New Roman"/>
          <w:szCs w:val="24"/>
          <w:lang w:val="en-US"/>
        </w:rPr>
      </w:pPr>
    </w:p>
    <w:p w14:paraId="421DE50D" w14:textId="77777777" w:rsidR="00224042" w:rsidRDefault="00224042" w:rsidP="00224042">
      <w:pPr>
        <w:spacing w:line="360" w:lineRule="auto"/>
        <w:rPr>
          <w:rFonts w:ascii="Times New Roman" w:hAnsi="Times New Roman" w:cs="Times New Roman"/>
          <w:szCs w:val="24"/>
          <w:lang w:val="en-US"/>
        </w:rPr>
      </w:pPr>
    </w:p>
    <w:p w14:paraId="753532EF" w14:textId="77777777" w:rsidR="00224042" w:rsidRDefault="00224042" w:rsidP="00224042">
      <w:pPr>
        <w:spacing w:line="360" w:lineRule="auto"/>
        <w:rPr>
          <w:rFonts w:ascii="Times New Roman" w:hAnsi="Times New Roman" w:cs="Times New Roman"/>
          <w:szCs w:val="24"/>
          <w:lang w:val="en-US"/>
        </w:rPr>
      </w:pPr>
    </w:p>
    <w:p w14:paraId="54A3971E" w14:textId="0D9C06E0" w:rsid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3.0 Strategic Analysis / Methodology</w:t>
      </w:r>
    </w:p>
    <w:p w14:paraId="009D2ED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3.1 Research Design</w:t>
      </w:r>
    </w:p>
    <w:p w14:paraId="291B3E8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report adopts a qualitative secondary-research design to critically analyse the role of risk analysis and strategic risk management in achieving project success. A secondary approach is appropriate because the research seeks to integrate existing academic evidence, project-management theories, risk-management frameworks and documented project cases rather than generate primary survey or interview data.</w:t>
      </w:r>
    </w:p>
    <w:p w14:paraId="153BB3D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 research adopts an analytical rather than purely descriptive perspective. Risk-management techniques are assessed according to their ability to improve project decision-making, protect project objectives and increase organisational resilience. </w:t>
      </w:r>
      <w:proofErr w:type="gramStart"/>
      <w:r w:rsidRPr="00224042">
        <w:rPr>
          <w:rFonts w:ascii="Times New Roman" w:hAnsi="Times New Roman" w:cs="Times New Roman"/>
          <w:szCs w:val="24"/>
        </w:rPr>
        <w:t>Particular consideration</w:t>
      </w:r>
      <w:proofErr w:type="gramEnd"/>
      <w:r w:rsidRPr="00224042">
        <w:rPr>
          <w:rFonts w:ascii="Times New Roman" w:hAnsi="Times New Roman" w:cs="Times New Roman"/>
          <w:szCs w:val="24"/>
        </w:rPr>
        <w:t xml:space="preserve"> is given to the fact that risk-management requirements vary according to project size, complexity, uncertainty and stakeholder environment.</w:t>
      </w:r>
    </w:p>
    <w:p w14:paraId="2E70084E"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3.2 Literature Search and Selection</w:t>
      </w:r>
    </w:p>
    <w:p w14:paraId="1AFB607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Relevant academic literature was identified using scholarly databases and platforms including Google Scholar, ScienceDirect, Emerald Insight, Taylor &amp; Francis, Wiley Online Library and SpringerLink. Search terms included combinations of “project risk management,” “project risk analysis,” “risk identification,” “probability impact matrix,” “risk register,” “project uncertainty,” “project resilience,” “risk response,” “project success,” “stakeholder risk” and “contingency planning.”</w:t>
      </w:r>
    </w:p>
    <w:p w14:paraId="38B0289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Peer-reviewed journal articles were prioritised. Foundational studies were retained where they provide influential concepts, while more recent research was incorporated to address contemporary issues including project resilience, sustainability and increasingly complex external environments.</w:t>
      </w:r>
    </w:p>
    <w:p w14:paraId="59129810"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3.3 Analytical Framework</w:t>
      </w:r>
    </w:p>
    <w:p w14:paraId="3960869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analysis follows a six-stage strategic risk-management framework:</w:t>
      </w:r>
    </w:p>
    <w:p w14:paraId="4717199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Identification → Risk Assessment → Risk Prioritisation → Response Planning → Implementation → Monitoring and Review</w:t>
      </w:r>
    </w:p>
    <w:p w14:paraId="5C3E1A3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Risk identification establishes the sources and potential consequences of uncertainty. Assessment considers probability and impact, while prioritisation determines where limited management resources should be concentrated. Response planning identifies suitable treatment strategies, including avoidance, mitigation, transfer or acceptance. Monitoring subsequently determines whether exposure has changed and whether responses remain effective.</w:t>
      </w:r>
    </w:p>
    <w:p w14:paraId="55816236"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The analysis evaluates risks across five major categories:</w:t>
      </w:r>
    </w:p>
    <w:tbl>
      <w:tblPr>
        <w:tblStyle w:val="TableGrid"/>
        <w:tblW w:w="0" w:type="auto"/>
        <w:tblLook w:val="04A0" w:firstRow="1" w:lastRow="0" w:firstColumn="1" w:lastColumn="0" w:noHBand="0" w:noVBand="1"/>
      </w:tblPr>
      <w:tblGrid>
        <w:gridCol w:w="1837"/>
        <w:gridCol w:w="5486"/>
      </w:tblGrid>
      <w:tr w:rsidR="00224042" w:rsidRPr="00224042" w14:paraId="125AC64B" w14:textId="77777777" w:rsidTr="00224042">
        <w:tc>
          <w:tcPr>
            <w:tcW w:w="0" w:type="auto"/>
            <w:hideMark/>
          </w:tcPr>
          <w:p w14:paraId="5FA19977"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Risk Dimension</w:t>
            </w:r>
          </w:p>
        </w:tc>
        <w:tc>
          <w:tcPr>
            <w:tcW w:w="0" w:type="auto"/>
            <w:hideMark/>
          </w:tcPr>
          <w:p w14:paraId="558960F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Focus of Analysis</w:t>
            </w:r>
          </w:p>
        </w:tc>
      </w:tr>
      <w:tr w:rsidR="00224042" w:rsidRPr="00224042" w14:paraId="698CDBD3" w14:textId="77777777" w:rsidTr="00224042">
        <w:tc>
          <w:tcPr>
            <w:tcW w:w="0" w:type="auto"/>
            <w:hideMark/>
          </w:tcPr>
          <w:p w14:paraId="3F75F2C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Financial</w:t>
            </w:r>
          </w:p>
        </w:tc>
        <w:tc>
          <w:tcPr>
            <w:tcW w:w="0" w:type="auto"/>
            <w:hideMark/>
          </w:tcPr>
          <w:p w14:paraId="2AF08E39"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Budget, funding, inflation and currency</w:t>
            </w:r>
          </w:p>
        </w:tc>
      </w:tr>
      <w:tr w:rsidR="00224042" w:rsidRPr="00224042" w14:paraId="52D70D33" w14:textId="77777777" w:rsidTr="00224042">
        <w:tc>
          <w:tcPr>
            <w:tcW w:w="0" w:type="auto"/>
            <w:hideMark/>
          </w:tcPr>
          <w:p w14:paraId="5BDA138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Operational</w:t>
            </w:r>
          </w:p>
        </w:tc>
        <w:tc>
          <w:tcPr>
            <w:tcW w:w="0" w:type="auto"/>
            <w:hideMark/>
          </w:tcPr>
          <w:p w14:paraId="582D099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Resources, suppliers and processes</w:t>
            </w:r>
          </w:p>
        </w:tc>
      </w:tr>
      <w:tr w:rsidR="00224042" w:rsidRPr="00224042" w14:paraId="21A98098" w14:textId="77777777" w:rsidTr="00224042">
        <w:tc>
          <w:tcPr>
            <w:tcW w:w="0" w:type="auto"/>
            <w:hideMark/>
          </w:tcPr>
          <w:p w14:paraId="1F2241B5"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Technological</w:t>
            </w:r>
          </w:p>
        </w:tc>
        <w:tc>
          <w:tcPr>
            <w:tcW w:w="0" w:type="auto"/>
            <w:hideMark/>
          </w:tcPr>
          <w:p w14:paraId="003F90FA"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Systems, integration and technical failure</w:t>
            </w:r>
          </w:p>
        </w:tc>
      </w:tr>
      <w:tr w:rsidR="00224042" w:rsidRPr="00224042" w14:paraId="59DE375C" w14:textId="77777777" w:rsidTr="00224042">
        <w:tc>
          <w:tcPr>
            <w:tcW w:w="0" w:type="auto"/>
            <w:hideMark/>
          </w:tcPr>
          <w:p w14:paraId="7EB6FC6A"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Stakeholder</w:t>
            </w:r>
          </w:p>
        </w:tc>
        <w:tc>
          <w:tcPr>
            <w:tcW w:w="0" w:type="auto"/>
            <w:hideMark/>
          </w:tcPr>
          <w:p w14:paraId="4CFE7BB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Expectations, resistance and conflicts</w:t>
            </w:r>
          </w:p>
        </w:tc>
      </w:tr>
      <w:tr w:rsidR="00224042" w:rsidRPr="00224042" w14:paraId="20F69DB2" w14:textId="77777777" w:rsidTr="00224042">
        <w:tc>
          <w:tcPr>
            <w:tcW w:w="0" w:type="auto"/>
            <w:hideMark/>
          </w:tcPr>
          <w:p w14:paraId="3CFEB09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External</w:t>
            </w:r>
          </w:p>
        </w:tc>
        <w:tc>
          <w:tcPr>
            <w:tcW w:w="0" w:type="auto"/>
            <w:hideMark/>
          </w:tcPr>
          <w:p w14:paraId="11CA8254"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Regulation, economy and environmental disruption</w:t>
            </w:r>
          </w:p>
        </w:tc>
      </w:tr>
    </w:tbl>
    <w:p w14:paraId="300C6C9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categorisation enables a broader analysis than focusing exclusively on technical project risks.</w:t>
      </w:r>
    </w:p>
    <w:p w14:paraId="67AE95C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3.4 Evaluation of Risk-Management Tools</w:t>
      </w:r>
    </w:p>
    <w:p w14:paraId="2FB5B51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Several tools are critically evaluated. The risk register is assessed as a mechanism for recording risks, ownership and responses. The Probability–Impact Matrix is examined as a prioritisation mechanism, while recognising the limitations identified by Cox (2008).</w:t>
      </w:r>
    </w:p>
    <w:p w14:paraId="68F1D2A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Quantitative approaches including Expected Monetary Value, sensitivity analysis and Monte Carlo simulation are considered where numerical assessment is appropriate. Scenario analysis is evaluated for projects exposed to uncertain external conditions, while contingency planning is assessed according to its contribution to project resilience.</w:t>
      </w:r>
    </w:p>
    <w:p w14:paraId="202A5411" w14:textId="77777777" w:rsid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Tools are therefore not treated as interchangeable. Their suitability depends on the nature and significance of uncertainty.</w:t>
      </w:r>
    </w:p>
    <w:p w14:paraId="51F50748" w14:textId="77777777" w:rsidR="00224042" w:rsidRDefault="00224042" w:rsidP="00224042">
      <w:pPr>
        <w:spacing w:line="360" w:lineRule="auto"/>
        <w:rPr>
          <w:rFonts w:ascii="Times New Roman" w:hAnsi="Times New Roman" w:cs="Times New Roman"/>
          <w:szCs w:val="24"/>
        </w:rPr>
      </w:pPr>
    </w:p>
    <w:p w14:paraId="7106B616" w14:textId="77777777" w:rsidR="00224042" w:rsidRPr="00224042" w:rsidRDefault="00224042" w:rsidP="00224042">
      <w:pPr>
        <w:spacing w:line="360" w:lineRule="auto"/>
        <w:rPr>
          <w:rFonts w:ascii="Times New Roman" w:hAnsi="Times New Roman" w:cs="Times New Roman"/>
          <w:szCs w:val="24"/>
        </w:rPr>
      </w:pPr>
    </w:p>
    <w:p w14:paraId="12E7C108"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3.5 Project Case Analysis</w:t>
      </w:r>
    </w:p>
    <w:p w14:paraId="5FE513D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report also uses documented project examples to examine the practical consequences of successful and unsuccessful risk management. Cases are evaluated according to whether risks were identified early, accurately assessed, assigned to responsible owners, appropriately mitigated and continuously monitored.</w:t>
      </w:r>
    </w:p>
    <w:p w14:paraId="7237FBD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purpose of the case analysis is not simply to classify projects as successes or failures but to identify mechanisms through which risk-management decisions influenced performance.</w:t>
      </w:r>
    </w:p>
    <w:p w14:paraId="68C48EC3"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3.6 Methodological Limitations</w:t>
      </w:r>
    </w:p>
    <w:p w14:paraId="57A5C93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Several limitations should be acknowledged. Secondary research depends on the accuracy and availability of existing evidence. Project failures can have multiple interacting causes, making it difficult to isolate risk management as the sole determinant. Risk assessments are also context-specific; findings from construction or technology projects may not apply identically to all sectors.</w:t>
      </w:r>
    </w:p>
    <w:p w14:paraId="0E2474C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Nevertheless, triangulating theoretical research, empirical studies and documented project experiences </w:t>
      </w:r>
      <w:proofErr w:type="gramStart"/>
      <w:r w:rsidRPr="00224042">
        <w:rPr>
          <w:rFonts w:ascii="Times New Roman" w:hAnsi="Times New Roman" w:cs="Times New Roman"/>
          <w:szCs w:val="24"/>
        </w:rPr>
        <w:t>provides</w:t>
      </w:r>
      <w:proofErr w:type="gramEnd"/>
      <w:r w:rsidRPr="00224042">
        <w:rPr>
          <w:rFonts w:ascii="Times New Roman" w:hAnsi="Times New Roman" w:cs="Times New Roman"/>
          <w:szCs w:val="24"/>
        </w:rPr>
        <w:t xml:space="preserve"> an appropriate foundation for evaluating how strategic risk management contributes to project performance, resilience and organisational decision-making.</w:t>
      </w:r>
    </w:p>
    <w:p w14:paraId="279FF80A" w14:textId="7D634E3C" w:rsidR="00224042" w:rsidRDefault="00224042" w:rsidP="00224042">
      <w:pPr>
        <w:spacing w:line="360" w:lineRule="auto"/>
        <w:rPr>
          <w:rFonts w:ascii="Times New Roman" w:hAnsi="Times New Roman" w:cs="Times New Roman"/>
          <w:b/>
          <w:bCs/>
          <w:szCs w:val="24"/>
        </w:rPr>
      </w:pPr>
    </w:p>
    <w:p w14:paraId="4F9E36D0" w14:textId="77777777" w:rsidR="00224042" w:rsidRDefault="00224042" w:rsidP="00224042">
      <w:pPr>
        <w:spacing w:line="360" w:lineRule="auto"/>
        <w:rPr>
          <w:rFonts w:ascii="Times New Roman" w:hAnsi="Times New Roman" w:cs="Times New Roman"/>
          <w:b/>
          <w:bCs/>
          <w:szCs w:val="24"/>
        </w:rPr>
      </w:pPr>
    </w:p>
    <w:p w14:paraId="1F082B6B" w14:textId="77777777" w:rsidR="00224042" w:rsidRDefault="00224042" w:rsidP="00224042">
      <w:pPr>
        <w:spacing w:line="360" w:lineRule="auto"/>
        <w:rPr>
          <w:rFonts w:ascii="Times New Roman" w:hAnsi="Times New Roman" w:cs="Times New Roman"/>
          <w:b/>
          <w:bCs/>
          <w:szCs w:val="24"/>
        </w:rPr>
      </w:pPr>
    </w:p>
    <w:p w14:paraId="3541987C" w14:textId="77777777" w:rsidR="00224042" w:rsidRDefault="00224042" w:rsidP="00224042">
      <w:pPr>
        <w:spacing w:line="360" w:lineRule="auto"/>
        <w:rPr>
          <w:rFonts w:ascii="Times New Roman" w:hAnsi="Times New Roman" w:cs="Times New Roman"/>
          <w:b/>
          <w:bCs/>
          <w:szCs w:val="24"/>
        </w:rPr>
      </w:pPr>
    </w:p>
    <w:p w14:paraId="438F7C31" w14:textId="77777777" w:rsidR="00224042" w:rsidRDefault="00224042" w:rsidP="00224042">
      <w:pPr>
        <w:spacing w:line="360" w:lineRule="auto"/>
        <w:rPr>
          <w:rFonts w:ascii="Times New Roman" w:hAnsi="Times New Roman" w:cs="Times New Roman"/>
          <w:b/>
          <w:bCs/>
          <w:szCs w:val="24"/>
        </w:rPr>
      </w:pPr>
    </w:p>
    <w:p w14:paraId="6EC79051" w14:textId="77777777" w:rsidR="00224042" w:rsidRDefault="00224042" w:rsidP="00224042">
      <w:pPr>
        <w:spacing w:line="360" w:lineRule="auto"/>
        <w:rPr>
          <w:rFonts w:ascii="Times New Roman" w:hAnsi="Times New Roman" w:cs="Times New Roman"/>
          <w:b/>
          <w:bCs/>
          <w:szCs w:val="24"/>
        </w:rPr>
      </w:pPr>
    </w:p>
    <w:p w14:paraId="580DBDE8" w14:textId="77777777" w:rsidR="00224042" w:rsidRDefault="00224042" w:rsidP="00224042">
      <w:pPr>
        <w:spacing w:line="360" w:lineRule="auto"/>
        <w:rPr>
          <w:rFonts w:ascii="Times New Roman" w:hAnsi="Times New Roman" w:cs="Times New Roman"/>
          <w:b/>
          <w:bCs/>
          <w:szCs w:val="24"/>
        </w:rPr>
      </w:pPr>
    </w:p>
    <w:p w14:paraId="589CD0FE" w14:textId="77777777" w:rsidR="00224042" w:rsidRDefault="00224042" w:rsidP="00224042">
      <w:pPr>
        <w:spacing w:line="360" w:lineRule="auto"/>
        <w:rPr>
          <w:rFonts w:ascii="Times New Roman" w:hAnsi="Times New Roman" w:cs="Times New Roman"/>
          <w:b/>
          <w:bCs/>
          <w:szCs w:val="24"/>
        </w:rPr>
      </w:pPr>
    </w:p>
    <w:p w14:paraId="6CCF4C5F" w14:textId="77777777" w:rsidR="00224042" w:rsidRDefault="00224042" w:rsidP="00224042">
      <w:pPr>
        <w:spacing w:line="360" w:lineRule="auto"/>
        <w:rPr>
          <w:rFonts w:ascii="Times New Roman" w:hAnsi="Times New Roman" w:cs="Times New Roman"/>
          <w:b/>
          <w:bCs/>
          <w:szCs w:val="24"/>
        </w:rPr>
      </w:pPr>
    </w:p>
    <w:p w14:paraId="65CC205D" w14:textId="77777777" w:rsidR="00224042" w:rsidRPr="00224042" w:rsidRDefault="00224042" w:rsidP="00224042">
      <w:pPr>
        <w:spacing w:line="360" w:lineRule="auto"/>
        <w:rPr>
          <w:rFonts w:ascii="Times New Roman" w:hAnsi="Times New Roman" w:cs="Times New Roman"/>
          <w:b/>
          <w:bCs/>
          <w:szCs w:val="24"/>
        </w:rPr>
      </w:pPr>
    </w:p>
    <w:p w14:paraId="3EFB6F00" w14:textId="65BD6049"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 xml:space="preserve">4.0 Findings and Analysis </w:t>
      </w:r>
    </w:p>
    <w:p w14:paraId="4EDE24E5"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4.1 Risk Management Improves Strategic Decision-Making</w:t>
      </w:r>
    </w:p>
    <w:p w14:paraId="3B3A537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first major finding is that project risk management generates greatest value when it influences decisions rather than operating merely as a documentation process. A risk register containing numerous risks has limited strategic value unless the information affects resource allocation, project design, contracts, schedules or contingency decisions.</w:t>
      </w:r>
    </w:p>
    <w:p w14:paraId="47A1A44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Ward and Chapman (2003) argue for moving beyond a narrow threat-focused interpretation towards broader uncertainty management. This is particularly important because project managers rarely possess complete information about future conditions.</w:t>
      </w:r>
    </w:p>
    <w:p w14:paraId="1F27DE4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information should therefore be incorporated into major project decisions. For example, uncertainty surrounding a critical supplier may justify dual sourcing, while technological uncertainty may justify prototypes before full implementation. Risk management consequently enables decision-makers to compare potential benefits with downside exposure.</w:t>
      </w:r>
    </w:p>
    <w:p w14:paraId="57883E1C"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4.2 Comprehensive Risk Identification Reduces Blind Spots</w:t>
      </w:r>
    </w:p>
    <w:p w14:paraId="20C3A7F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analysis finds that systematic identification is fundamental because unidentified risks cannot subsequently be assessed or mitigated. However, relying on one identification method creates blind spots.</w:t>
      </w:r>
    </w:p>
    <w:p w14:paraId="0D0F88D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Historical checklists are useful for recurring risks but may overlook emerging threats. Brainstorming incorporates team knowledge but can be affected by groupthink. Expert judgement provides specialist insight but remains subjective.</w:t>
      </w:r>
    </w:p>
    <w:p w14:paraId="28029A3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Consequently, multiple techniques should be combined:</w:t>
      </w:r>
    </w:p>
    <w:p w14:paraId="06E2391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Historical Evidence + Expert Judgement + Stakeholder Input + Environmental Analysis + Assumption Testing</w:t>
      </w:r>
    </w:p>
    <w:p w14:paraId="2FB4374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Categorising risks into financial, operational, technological, stakeholder and external dimensions further </w:t>
      </w:r>
      <w:proofErr w:type="gramStart"/>
      <w:r w:rsidRPr="00224042">
        <w:rPr>
          <w:rFonts w:ascii="Times New Roman" w:hAnsi="Times New Roman" w:cs="Times New Roman"/>
          <w:szCs w:val="24"/>
        </w:rPr>
        <w:t>improves</w:t>
      </w:r>
      <w:proofErr w:type="gramEnd"/>
      <w:r w:rsidRPr="00224042">
        <w:rPr>
          <w:rFonts w:ascii="Times New Roman" w:hAnsi="Times New Roman" w:cs="Times New Roman"/>
          <w:szCs w:val="24"/>
        </w:rPr>
        <w:t xml:space="preserve"> coverage.</w:t>
      </w:r>
    </w:p>
    <w:p w14:paraId="71EFB501" w14:textId="130A76E5"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 xml:space="preserve">For instance, a digital-transformation project may appear primarily technological but may </w:t>
      </w:r>
      <w:proofErr w:type="gramStart"/>
      <w:r w:rsidRPr="00224042">
        <w:rPr>
          <w:rFonts w:ascii="Times New Roman" w:hAnsi="Times New Roman" w:cs="Times New Roman"/>
          <w:szCs w:val="24"/>
        </w:rPr>
        <w:t>actually face</w:t>
      </w:r>
      <w:proofErr w:type="gramEnd"/>
      <w:r w:rsidRPr="00224042">
        <w:rPr>
          <w:rFonts w:ascii="Times New Roman" w:hAnsi="Times New Roman" w:cs="Times New Roman"/>
          <w:szCs w:val="24"/>
        </w:rPr>
        <w:t xml:space="preserve"> greater risk from employee resistance, regulatory requirements or insufficient organisational capability.</w:t>
      </w:r>
    </w:p>
    <w:p w14:paraId="63DDA7C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4.3 Probability–Impact Analysis Supports Prioritisation but Has Limitations</w:t>
      </w:r>
    </w:p>
    <w:p w14:paraId="497AFF1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Probability–Impact Matrices provide a practical mechanism for prioritising large numbers of risks. Projects typically cannot allocate equal attention to every identified uncertainty. Scoring therefore enables managers to concentrate on higher exposures.</w:t>
      </w:r>
    </w:p>
    <w:p w14:paraId="0E9A231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For example:</w:t>
      </w:r>
    </w:p>
    <w:tbl>
      <w:tblPr>
        <w:tblStyle w:val="TableGrid"/>
        <w:tblW w:w="0" w:type="auto"/>
        <w:tblLook w:val="04A0" w:firstRow="1" w:lastRow="0" w:firstColumn="1" w:lastColumn="0" w:noHBand="0" w:noVBand="1"/>
      </w:tblPr>
      <w:tblGrid>
        <w:gridCol w:w="2829"/>
        <w:gridCol w:w="1863"/>
        <w:gridCol w:w="1463"/>
        <w:gridCol w:w="763"/>
        <w:gridCol w:w="1210"/>
      </w:tblGrid>
      <w:tr w:rsidR="00224042" w:rsidRPr="00224042" w14:paraId="04253ECC" w14:textId="77777777" w:rsidTr="00224042">
        <w:tc>
          <w:tcPr>
            <w:tcW w:w="0" w:type="auto"/>
            <w:hideMark/>
          </w:tcPr>
          <w:p w14:paraId="4A406F70"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Risk</w:t>
            </w:r>
          </w:p>
        </w:tc>
        <w:tc>
          <w:tcPr>
            <w:tcW w:w="0" w:type="auto"/>
            <w:hideMark/>
          </w:tcPr>
          <w:p w14:paraId="24FFE5D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Probability (1–5)</w:t>
            </w:r>
          </w:p>
        </w:tc>
        <w:tc>
          <w:tcPr>
            <w:tcW w:w="0" w:type="auto"/>
            <w:hideMark/>
          </w:tcPr>
          <w:p w14:paraId="082248B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Impact (1–5)</w:t>
            </w:r>
          </w:p>
        </w:tc>
        <w:tc>
          <w:tcPr>
            <w:tcW w:w="0" w:type="auto"/>
            <w:hideMark/>
          </w:tcPr>
          <w:p w14:paraId="264D8BB9"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Score</w:t>
            </w:r>
          </w:p>
        </w:tc>
        <w:tc>
          <w:tcPr>
            <w:tcW w:w="0" w:type="auto"/>
            <w:hideMark/>
          </w:tcPr>
          <w:p w14:paraId="07F604DD"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Priority</w:t>
            </w:r>
          </w:p>
        </w:tc>
      </w:tr>
      <w:tr w:rsidR="00224042" w:rsidRPr="00224042" w14:paraId="47F039BD" w14:textId="77777777" w:rsidTr="00224042">
        <w:tc>
          <w:tcPr>
            <w:tcW w:w="0" w:type="auto"/>
            <w:hideMark/>
          </w:tcPr>
          <w:p w14:paraId="23E6C78B"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Critical supplier failure</w:t>
            </w:r>
          </w:p>
        </w:tc>
        <w:tc>
          <w:tcPr>
            <w:tcW w:w="0" w:type="auto"/>
            <w:hideMark/>
          </w:tcPr>
          <w:p w14:paraId="6781D22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hideMark/>
          </w:tcPr>
          <w:p w14:paraId="7A67CD8C"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hideMark/>
          </w:tcPr>
          <w:p w14:paraId="7B457A94"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20</w:t>
            </w:r>
          </w:p>
        </w:tc>
        <w:tc>
          <w:tcPr>
            <w:tcW w:w="0" w:type="auto"/>
            <w:hideMark/>
          </w:tcPr>
          <w:p w14:paraId="337C706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Very High</w:t>
            </w:r>
          </w:p>
        </w:tc>
      </w:tr>
      <w:tr w:rsidR="00224042" w:rsidRPr="00224042" w14:paraId="30FC74E6" w14:textId="77777777" w:rsidTr="00224042">
        <w:tc>
          <w:tcPr>
            <w:tcW w:w="0" w:type="auto"/>
            <w:hideMark/>
          </w:tcPr>
          <w:p w14:paraId="65E3F534"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Cybersecurity incident</w:t>
            </w:r>
          </w:p>
        </w:tc>
        <w:tc>
          <w:tcPr>
            <w:tcW w:w="0" w:type="auto"/>
            <w:hideMark/>
          </w:tcPr>
          <w:p w14:paraId="7542BB28"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hideMark/>
          </w:tcPr>
          <w:p w14:paraId="1C12E39F"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hideMark/>
          </w:tcPr>
          <w:p w14:paraId="1BB3086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15</w:t>
            </w:r>
          </w:p>
        </w:tc>
        <w:tc>
          <w:tcPr>
            <w:tcW w:w="0" w:type="auto"/>
            <w:hideMark/>
          </w:tcPr>
          <w:p w14:paraId="3E572A3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High</w:t>
            </w:r>
          </w:p>
        </w:tc>
      </w:tr>
      <w:tr w:rsidR="00224042" w:rsidRPr="00224042" w14:paraId="17AF354C" w14:textId="77777777" w:rsidTr="00224042">
        <w:tc>
          <w:tcPr>
            <w:tcW w:w="0" w:type="auto"/>
            <w:hideMark/>
          </w:tcPr>
          <w:p w14:paraId="601D765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Minor equipment delay</w:t>
            </w:r>
          </w:p>
        </w:tc>
        <w:tc>
          <w:tcPr>
            <w:tcW w:w="0" w:type="auto"/>
            <w:hideMark/>
          </w:tcPr>
          <w:p w14:paraId="6552D3A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hideMark/>
          </w:tcPr>
          <w:p w14:paraId="358FAAC1"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hideMark/>
          </w:tcPr>
          <w:p w14:paraId="63968135"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hideMark/>
          </w:tcPr>
          <w:p w14:paraId="1FE7B8F4"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Medium</w:t>
            </w:r>
          </w:p>
        </w:tc>
      </w:tr>
      <w:tr w:rsidR="00224042" w:rsidRPr="00224042" w14:paraId="55097763" w14:textId="77777777" w:rsidTr="00224042">
        <w:tc>
          <w:tcPr>
            <w:tcW w:w="0" w:type="auto"/>
            <w:hideMark/>
          </w:tcPr>
          <w:p w14:paraId="379C511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Minor documentation error</w:t>
            </w:r>
          </w:p>
        </w:tc>
        <w:tc>
          <w:tcPr>
            <w:tcW w:w="0" w:type="auto"/>
            <w:hideMark/>
          </w:tcPr>
          <w:p w14:paraId="02E0C1B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hideMark/>
          </w:tcPr>
          <w:p w14:paraId="03737C52"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hideMark/>
          </w:tcPr>
          <w:p w14:paraId="0075012E"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hideMark/>
          </w:tcPr>
          <w:p w14:paraId="23BAEC56" w14:textId="77777777" w:rsidR="00224042" w:rsidRPr="00224042" w:rsidRDefault="00224042" w:rsidP="00224042">
            <w:pPr>
              <w:spacing w:after="160" w:line="360" w:lineRule="auto"/>
              <w:rPr>
                <w:rFonts w:ascii="Times New Roman" w:hAnsi="Times New Roman" w:cs="Times New Roman"/>
                <w:szCs w:val="24"/>
              </w:rPr>
            </w:pPr>
            <w:r w:rsidRPr="00224042">
              <w:rPr>
                <w:rFonts w:ascii="Times New Roman" w:hAnsi="Times New Roman" w:cs="Times New Roman"/>
                <w:szCs w:val="24"/>
              </w:rPr>
              <w:t>Low</w:t>
            </w:r>
          </w:p>
        </w:tc>
      </w:tr>
    </w:tbl>
    <w:p w14:paraId="6735EEB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However, Cox (2008) demonstrates important limitations of risk matrices. Numerical scores can create a misleading impression of precision. A probability score of four multiplied by an impact score of five does not necessarily produce a scientifically meaningful measurement of risk.</w:t>
      </w:r>
    </w:p>
    <w:p w14:paraId="1B149BA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matrix should therefore function as a decision-support tool rather than an automatic decision rule. High-impact risks may require management attention even when their probability is relatively low.</w:t>
      </w:r>
    </w:p>
    <w:p w14:paraId="00A545F2"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4.4 Quantitative Analysis Strengthens High-Value Decisions</w:t>
      </w:r>
    </w:p>
    <w:p w14:paraId="5F78FF5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findings indicate that quantitative techniques become increasingly valuable as potential project exposure increases.</w:t>
      </w:r>
    </w:p>
    <w:p w14:paraId="3FE7E5A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Expected Monetary Value provides a simple mechanism for translating uncertainty into financial terms. If there is a 25% probability of a £200,000 cost increase, the expected monetary exposure is:</w:t>
      </w:r>
    </w:p>
    <w:p w14:paraId="3E61F61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0.25 × £200,000 = £50,000</w:t>
      </w:r>
    </w:p>
    <w:p w14:paraId="4F2A693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This can inform contingency allocation, although the actual loss will not necessarily equal £50,000.</w:t>
      </w:r>
    </w:p>
    <w:p w14:paraId="2913E1F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Sensitivity analysis can identify which assumptions have the greatest influence on outcomes. Monte Carlo simulation can model thousands of possible combinations of uncertain cost and schedule variables.</w:t>
      </w:r>
    </w:p>
    <w:p w14:paraId="7AD078E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However, quantitative sophistication should be proportional to decision requirements. Complex simulation provides little value if input probabilities are unreliable. Data quality and transparent assumptions remain essential.</w:t>
      </w:r>
    </w:p>
    <w:p w14:paraId="2ABBFEC8"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4.5 Risk Ownership Improves Accountability</w:t>
      </w:r>
    </w:p>
    <w:p w14:paraId="0929FAA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Another significant finding concerns the importance of clearly allocated risk ownership. Recording a risk without assigning responsibility creates ambiguity regarding who should monitor warning indicators and implement responses.</w:t>
      </w:r>
    </w:p>
    <w:p w14:paraId="2A82854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risk owner should have sufficient authority and information to manage the exposure.</w:t>
      </w:r>
    </w:p>
    <w:p w14:paraId="6C3FEB1A"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For example:</w:t>
      </w:r>
    </w:p>
    <w:tbl>
      <w:tblPr>
        <w:tblStyle w:val="TableGrid"/>
        <w:tblW w:w="0" w:type="auto"/>
        <w:tblLook w:val="04A0" w:firstRow="1" w:lastRow="0" w:firstColumn="1" w:lastColumn="0" w:noHBand="0" w:noVBand="1"/>
      </w:tblPr>
      <w:tblGrid>
        <w:gridCol w:w="2280"/>
        <w:gridCol w:w="2266"/>
        <w:gridCol w:w="2513"/>
        <w:gridCol w:w="2291"/>
      </w:tblGrid>
      <w:tr w:rsidR="00224042" w:rsidRPr="00224042" w14:paraId="70F67398" w14:textId="77777777" w:rsidTr="00224042">
        <w:tc>
          <w:tcPr>
            <w:tcW w:w="0" w:type="auto"/>
            <w:hideMark/>
          </w:tcPr>
          <w:p w14:paraId="6B2B3D61"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Risk</w:t>
            </w:r>
          </w:p>
        </w:tc>
        <w:tc>
          <w:tcPr>
            <w:tcW w:w="0" w:type="auto"/>
            <w:hideMark/>
          </w:tcPr>
          <w:p w14:paraId="74DE92AB"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Owner</w:t>
            </w:r>
          </w:p>
        </w:tc>
        <w:tc>
          <w:tcPr>
            <w:tcW w:w="0" w:type="auto"/>
            <w:hideMark/>
          </w:tcPr>
          <w:p w14:paraId="19ADA1A2"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Response</w:t>
            </w:r>
          </w:p>
        </w:tc>
        <w:tc>
          <w:tcPr>
            <w:tcW w:w="0" w:type="auto"/>
            <w:hideMark/>
          </w:tcPr>
          <w:p w14:paraId="351E92E7"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Trigger</w:t>
            </w:r>
          </w:p>
        </w:tc>
      </w:tr>
      <w:tr w:rsidR="00224042" w:rsidRPr="00224042" w14:paraId="7C85787D" w14:textId="77777777" w:rsidTr="00224042">
        <w:tc>
          <w:tcPr>
            <w:tcW w:w="0" w:type="auto"/>
            <w:hideMark/>
          </w:tcPr>
          <w:p w14:paraId="39BD7997"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Supplier delay</w:t>
            </w:r>
          </w:p>
        </w:tc>
        <w:tc>
          <w:tcPr>
            <w:tcW w:w="0" w:type="auto"/>
            <w:hideMark/>
          </w:tcPr>
          <w:p w14:paraId="34EE7AE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Procurement Manager</w:t>
            </w:r>
          </w:p>
        </w:tc>
        <w:tc>
          <w:tcPr>
            <w:tcW w:w="0" w:type="auto"/>
            <w:hideMark/>
          </w:tcPr>
          <w:p w14:paraId="3BEEFDF0"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Secondary supplier</w:t>
            </w:r>
          </w:p>
        </w:tc>
        <w:tc>
          <w:tcPr>
            <w:tcW w:w="0" w:type="auto"/>
            <w:hideMark/>
          </w:tcPr>
          <w:p w14:paraId="5A90B53B"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Lead time &gt;30 days</w:t>
            </w:r>
          </w:p>
        </w:tc>
      </w:tr>
      <w:tr w:rsidR="00224042" w:rsidRPr="00224042" w14:paraId="12DA34C0" w14:textId="77777777" w:rsidTr="00224042">
        <w:tc>
          <w:tcPr>
            <w:tcW w:w="0" w:type="auto"/>
            <w:hideMark/>
          </w:tcPr>
          <w:p w14:paraId="276C4E5F"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Budget escalation</w:t>
            </w:r>
          </w:p>
        </w:tc>
        <w:tc>
          <w:tcPr>
            <w:tcW w:w="0" w:type="auto"/>
            <w:hideMark/>
          </w:tcPr>
          <w:p w14:paraId="010748D7"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Project Manager</w:t>
            </w:r>
          </w:p>
        </w:tc>
        <w:tc>
          <w:tcPr>
            <w:tcW w:w="0" w:type="auto"/>
            <w:hideMark/>
          </w:tcPr>
          <w:p w14:paraId="0F8207AC"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Contingency control</w:t>
            </w:r>
          </w:p>
        </w:tc>
        <w:tc>
          <w:tcPr>
            <w:tcW w:w="0" w:type="auto"/>
            <w:hideMark/>
          </w:tcPr>
          <w:p w14:paraId="0A6D015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CPI &lt;0.90</w:t>
            </w:r>
          </w:p>
        </w:tc>
      </w:tr>
      <w:tr w:rsidR="00224042" w:rsidRPr="00224042" w14:paraId="7E98460B" w14:textId="77777777" w:rsidTr="00224042">
        <w:tc>
          <w:tcPr>
            <w:tcW w:w="0" w:type="auto"/>
            <w:hideMark/>
          </w:tcPr>
          <w:p w14:paraId="5826716B"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Cybersecurity failure</w:t>
            </w:r>
          </w:p>
        </w:tc>
        <w:tc>
          <w:tcPr>
            <w:tcW w:w="0" w:type="auto"/>
            <w:hideMark/>
          </w:tcPr>
          <w:p w14:paraId="55D9F8E3"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IT Manager</w:t>
            </w:r>
          </w:p>
        </w:tc>
        <w:tc>
          <w:tcPr>
            <w:tcW w:w="0" w:type="auto"/>
            <w:hideMark/>
          </w:tcPr>
          <w:p w14:paraId="262E0AE9"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Testing/backups</w:t>
            </w:r>
          </w:p>
        </w:tc>
        <w:tc>
          <w:tcPr>
            <w:tcW w:w="0" w:type="auto"/>
            <w:hideMark/>
          </w:tcPr>
          <w:p w14:paraId="4F655C71"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Critical vulnerability</w:t>
            </w:r>
          </w:p>
        </w:tc>
      </w:tr>
      <w:tr w:rsidR="00224042" w:rsidRPr="00224042" w14:paraId="74DA85EF" w14:textId="77777777" w:rsidTr="00224042">
        <w:tc>
          <w:tcPr>
            <w:tcW w:w="0" w:type="auto"/>
            <w:hideMark/>
          </w:tcPr>
          <w:p w14:paraId="32C422E3"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Stakeholder resistance</w:t>
            </w:r>
          </w:p>
        </w:tc>
        <w:tc>
          <w:tcPr>
            <w:tcW w:w="0" w:type="auto"/>
            <w:hideMark/>
          </w:tcPr>
          <w:p w14:paraId="297B20EE"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Change Manager</w:t>
            </w:r>
          </w:p>
        </w:tc>
        <w:tc>
          <w:tcPr>
            <w:tcW w:w="0" w:type="auto"/>
            <w:hideMark/>
          </w:tcPr>
          <w:p w14:paraId="73AB025B"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Engagement programme</w:t>
            </w:r>
          </w:p>
        </w:tc>
        <w:tc>
          <w:tcPr>
            <w:tcW w:w="0" w:type="auto"/>
            <w:hideMark/>
          </w:tcPr>
          <w:p w14:paraId="02864A3C" w14:textId="77777777" w:rsidR="00224042" w:rsidRPr="00224042" w:rsidRDefault="00224042" w:rsidP="00224042">
            <w:pPr>
              <w:spacing w:after="160" w:line="360" w:lineRule="auto"/>
              <w:rPr>
                <w:rFonts w:ascii="Times New Roman" w:hAnsi="Times New Roman" w:cs="Times New Roman"/>
                <w:b/>
                <w:bCs/>
                <w:szCs w:val="24"/>
              </w:rPr>
            </w:pPr>
            <w:r w:rsidRPr="00224042">
              <w:rPr>
                <w:rFonts w:ascii="Times New Roman" w:hAnsi="Times New Roman" w:cs="Times New Roman"/>
                <w:b/>
                <w:bCs/>
                <w:szCs w:val="24"/>
              </w:rPr>
              <w:t>Declining participation</w:t>
            </w:r>
          </w:p>
        </w:tc>
      </w:tr>
    </w:tbl>
    <w:p w14:paraId="7E510D1F" w14:textId="77777777" w:rsid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Risk ownership transforms risk management from collective awareness into accountable action.</w:t>
      </w:r>
    </w:p>
    <w:p w14:paraId="2C050D59" w14:textId="77777777" w:rsidR="00224042" w:rsidRDefault="00224042" w:rsidP="00224042">
      <w:pPr>
        <w:spacing w:line="360" w:lineRule="auto"/>
        <w:rPr>
          <w:rFonts w:ascii="Times New Roman" w:hAnsi="Times New Roman" w:cs="Times New Roman"/>
          <w:b/>
          <w:bCs/>
          <w:szCs w:val="24"/>
        </w:rPr>
      </w:pPr>
    </w:p>
    <w:p w14:paraId="501F7E82" w14:textId="77777777" w:rsidR="00224042" w:rsidRPr="00224042" w:rsidRDefault="00224042" w:rsidP="00224042">
      <w:pPr>
        <w:spacing w:line="360" w:lineRule="auto"/>
        <w:rPr>
          <w:rFonts w:ascii="Times New Roman" w:hAnsi="Times New Roman" w:cs="Times New Roman"/>
          <w:b/>
          <w:bCs/>
          <w:szCs w:val="24"/>
        </w:rPr>
      </w:pPr>
    </w:p>
    <w:p w14:paraId="06715361"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4.6 Response Strategies Must Be Proportionate</w:t>
      </w:r>
    </w:p>
    <w:p w14:paraId="4498601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analysis identifies four principal threat-response strategies: avoid, mitigate, transfer and accept.</w:t>
      </w:r>
    </w:p>
    <w:p w14:paraId="24AC3B5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Avoidance is appropriate where exposure is unacceptable and the risky activity can be changed. Mitigation reduces likelihood or impact. Transfer shifts aspects of exposure through mechanisms such as insurance or contracts, although accountability cannot always be completely transferred. Acceptance is appropriate where treatment costs exceed expected benefits.</w:t>
      </w:r>
    </w:p>
    <w:p w14:paraId="7E6E17C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strategic challenge is proportionality. Attempting to eliminate every risk can make projects excessively expensive and inflexible.</w:t>
      </w:r>
    </w:p>
    <w:p w14:paraId="60941C7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Managers should therefore compare:</w:t>
      </w:r>
    </w:p>
    <w:p w14:paraId="2D13F66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Cost of Response ↔ Expected Risk Reduction ↔ Strategic Importance</w:t>
      </w:r>
    </w:p>
    <w:p w14:paraId="71E01DE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enables resources to be concentrated on material exposures.</w:t>
      </w:r>
    </w:p>
    <w:p w14:paraId="3DE86DB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4.7 Contingency Planning Increases Project Resilience</w:t>
      </w:r>
    </w:p>
    <w:p w14:paraId="18C5683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Not every risk can be prevented. Consequently, the findings highlight contingency planning as a major source of resilience.</w:t>
      </w:r>
    </w:p>
    <w:p w14:paraId="683AAC1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Examples include reserve budgets, alternative suppliers, backup systems, schedule buffers and emergency communication arrangements. These measures allow projects to continue functioning after disruption.</w:t>
      </w:r>
    </w:p>
    <w:p w14:paraId="2DE8C01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Resilience differs from conventional prevention because it assumes some disruptions will occur. The objective becomes maintaining or rapidly restoring critical project functions.</w:t>
      </w:r>
    </w:p>
    <w:p w14:paraId="551E85CD" w14:textId="77777777" w:rsid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This is particularly important for external risks such as extreme weather, geopolitical disruption or unexpected regulatory change, where project teams may have limited control over probability.</w:t>
      </w:r>
    </w:p>
    <w:p w14:paraId="6BA53E6F" w14:textId="77777777" w:rsidR="00224042" w:rsidRDefault="00224042" w:rsidP="00224042">
      <w:pPr>
        <w:spacing w:line="360" w:lineRule="auto"/>
        <w:rPr>
          <w:rFonts w:ascii="Times New Roman" w:hAnsi="Times New Roman" w:cs="Times New Roman"/>
          <w:szCs w:val="24"/>
        </w:rPr>
      </w:pPr>
    </w:p>
    <w:p w14:paraId="1E246F6F" w14:textId="77777777" w:rsidR="00224042" w:rsidRDefault="00224042" w:rsidP="00224042">
      <w:pPr>
        <w:spacing w:line="360" w:lineRule="auto"/>
        <w:rPr>
          <w:rFonts w:ascii="Times New Roman" w:hAnsi="Times New Roman" w:cs="Times New Roman"/>
          <w:szCs w:val="24"/>
        </w:rPr>
      </w:pPr>
    </w:p>
    <w:p w14:paraId="32B75E5C" w14:textId="77777777" w:rsidR="00224042" w:rsidRPr="00224042" w:rsidRDefault="00224042" w:rsidP="00224042">
      <w:pPr>
        <w:spacing w:line="360" w:lineRule="auto"/>
        <w:rPr>
          <w:rFonts w:ascii="Times New Roman" w:hAnsi="Times New Roman" w:cs="Times New Roman"/>
          <w:szCs w:val="24"/>
        </w:rPr>
      </w:pPr>
    </w:p>
    <w:p w14:paraId="0EFFF9F1"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4.8 Stakeholder Risks Require Continuous Attention</w:t>
      </w:r>
    </w:p>
    <w:p w14:paraId="0D245EA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Stakeholder risks can change significantly throughout a project's life cycle. Aaltonen (2011) highlights the dynamic nature of stakeholder environments in international projects.</w:t>
      </w:r>
    </w:p>
    <w:p w14:paraId="475101A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stakeholder supportive during project initiation may oppose later implementation if costs, community impacts or operational consequences change. Stakeholder risk assessment should therefore be repeated rather than conducted only once.</w:t>
      </w:r>
    </w:p>
    <w:p w14:paraId="09B9C96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Communication is especially important. Delayed or inconsistent information can increase uncertainty and resistance. However, engagement should not simply seek stakeholder approval; it should identify concerns early enough to inform project decisions.</w:t>
      </w:r>
    </w:p>
    <w:p w14:paraId="37702473"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4.9 Continuous Monitoring Converts Risk Management into a Dynamic Process</w:t>
      </w:r>
    </w:p>
    <w:p w14:paraId="643313C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final major finding is that risk management must continue throughout execution. Probability, impact and relevance change as projects progress.</w:t>
      </w:r>
    </w:p>
    <w:p w14:paraId="168BE9B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Effective monitoring should therefore examine:</w:t>
      </w:r>
    </w:p>
    <w:p w14:paraId="109181C0"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new and emerging risks;</w:t>
      </w:r>
    </w:p>
    <w:p w14:paraId="392B50AF"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movement in existing risk ratings;</w:t>
      </w:r>
    </w:p>
    <w:p w14:paraId="4DC30A50"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effectiveness of mitigation actions;</w:t>
      </w:r>
    </w:p>
    <w:p w14:paraId="4E6F7681"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early-warning indicators;</w:t>
      </w:r>
    </w:p>
    <w:p w14:paraId="25220BBB"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residual risk; and</w:t>
      </w:r>
    </w:p>
    <w:p w14:paraId="2628C8BF" w14:textId="77777777" w:rsidR="00224042" w:rsidRPr="00224042" w:rsidRDefault="00224042" w:rsidP="00224042">
      <w:pPr>
        <w:numPr>
          <w:ilvl w:val="0"/>
          <w:numId w:val="3"/>
        </w:numPr>
        <w:spacing w:line="360" w:lineRule="auto"/>
        <w:rPr>
          <w:rFonts w:ascii="Times New Roman" w:hAnsi="Times New Roman" w:cs="Times New Roman"/>
          <w:szCs w:val="24"/>
        </w:rPr>
      </w:pPr>
      <w:r w:rsidRPr="00224042">
        <w:rPr>
          <w:rFonts w:ascii="Times New Roman" w:hAnsi="Times New Roman" w:cs="Times New Roman"/>
          <w:szCs w:val="24"/>
        </w:rPr>
        <w:t>closed risks.</w:t>
      </w:r>
    </w:p>
    <w:p w14:paraId="05AA09A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 useful performance measure is the trend in high-priority risks rather than simply the total number of risks. A project containing 50 well-controlled low-level risks may be healthier than one containing five uncontrolled critical risks.</w:t>
      </w:r>
    </w:p>
    <w:p w14:paraId="4AA8E55D" w14:textId="18AD5A70" w:rsid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Overall, the findings demonstrate that strategic risk management contributes to project performance through better decisions, earlier intervention, accountable ownership, appropriate contingency capacity and continuous learning rather than simply through producing risk-management </w:t>
      </w:r>
      <w:proofErr w:type="gramStart"/>
      <w:r w:rsidRPr="00224042">
        <w:rPr>
          <w:rFonts w:ascii="Times New Roman" w:hAnsi="Times New Roman" w:cs="Times New Roman"/>
          <w:szCs w:val="24"/>
        </w:rPr>
        <w:t>documentation</w:t>
      </w:r>
      <w:r>
        <w:rPr>
          <w:rFonts w:ascii="Times New Roman" w:hAnsi="Times New Roman" w:cs="Times New Roman"/>
          <w:szCs w:val="24"/>
        </w:rPr>
        <w:t xml:space="preserve"> .</w:t>
      </w:r>
      <w:proofErr w:type="gramEnd"/>
    </w:p>
    <w:p w14:paraId="685C81DC" w14:textId="642DC344"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lastRenderedPageBreak/>
        <w:t xml:space="preserve">5.0 Discussion </w:t>
      </w:r>
    </w:p>
    <w:p w14:paraId="3FEEC3D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findings demonstrate that project risk management should be understood as a strategic decision-making capability rather than an administrative process. Although formal tools such as risk registers and Probability–Impact Matrices provide structure, their value depends on whether project managers use the resulting information to modify plans, allocate resources and prepare appropriate responses. This distinction is particularly important because organisations can possess detailed risk documentation while remaining poorly prepared for disruption.</w:t>
      </w:r>
    </w:p>
    <w:p w14:paraId="45DAFC2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 analysis supports Ward and Chapman's (2003) argument that project management should address broader uncertainty rather than focusing only on predetermined threats. Traditional risk identification assumes that managers can identify possible events in advance. </w:t>
      </w:r>
      <w:proofErr w:type="gramStart"/>
      <w:r w:rsidRPr="00224042">
        <w:rPr>
          <w:rFonts w:ascii="Times New Roman" w:hAnsi="Times New Roman" w:cs="Times New Roman"/>
          <w:szCs w:val="24"/>
        </w:rPr>
        <w:t>In reality, complex</w:t>
      </w:r>
      <w:proofErr w:type="gramEnd"/>
      <w:r w:rsidRPr="00224042">
        <w:rPr>
          <w:rFonts w:ascii="Times New Roman" w:hAnsi="Times New Roman" w:cs="Times New Roman"/>
          <w:szCs w:val="24"/>
        </w:rPr>
        <w:t xml:space="preserve"> projects are affected by ambiguity, incomplete information and changing external environments. Strategic risk management therefore requires continuous environmental scanning and reassessment of assumptions.</w:t>
      </w:r>
    </w:p>
    <w:p w14:paraId="7D08F64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Probability–Impact Matrices illustrate both the usefulness and limitations of formal risk tools. They provide an accessible mechanism for comparing risks and directing management attention, particularly when projects contain many possible threats. However, Cox (2008) demonstrates that risk matrices can generate misleading rankings. This means managerial judgement remains essential. Low-probability events with catastrophic consequences, for example, may require substantial attention despite receiving moderate conventional scores.</w:t>
      </w:r>
    </w:p>
    <w:p w14:paraId="5BDC066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Quantitative analysis provides additional decision support, particularly for major projects. EMV, sensitivity analysis and Monte Carlo simulation can improve understanding of financial and schedule uncertainty. Nevertheless, quantitative models should not create false confidence. Their outputs depend upon assumptions concerning probabilities, impacts and correlations. A technically sophisticated model based on poor assumptions may produce less useful decisions than transparent expert judgement supported by reliable evidence.</w:t>
      </w:r>
    </w:p>
    <w:p w14:paraId="22EDD7A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 findings also highlight an important distinction between risk prevention and project resilience. Conventional risk management frequently concentrates on preventing adverse events. However, not every disruption can be prevented. External events such as regulatory changes, supply-chain shocks or severe environmental conditions may remain beyond direct project </w:t>
      </w:r>
      <w:r w:rsidRPr="00224042">
        <w:rPr>
          <w:rFonts w:ascii="Times New Roman" w:hAnsi="Times New Roman" w:cs="Times New Roman"/>
          <w:szCs w:val="24"/>
        </w:rPr>
        <w:lastRenderedPageBreak/>
        <w:t xml:space="preserve">control. Contingency planning therefore complements prevention by preparing projects to continue operating or recover rapidly following disruption. Strategic risk management should consequently ask both </w:t>
      </w:r>
      <w:r w:rsidRPr="00224042">
        <w:rPr>
          <w:rFonts w:ascii="Times New Roman" w:hAnsi="Times New Roman" w:cs="Times New Roman"/>
          <w:i/>
          <w:iCs/>
          <w:szCs w:val="24"/>
        </w:rPr>
        <w:t>“How can this risk be reduced?”</w:t>
      </w:r>
      <w:r w:rsidRPr="00224042">
        <w:rPr>
          <w:rFonts w:ascii="Times New Roman" w:hAnsi="Times New Roman" w:cs="Times New Roman"/>
          <w:szCs w:val="24"/>
        </w:rPr>
        <w:t xml:space="preserve"> and </w:t>
      </w:r>
      <w:r w:rsidRPr="00224042">
        <w:rPr>
          <w:rFonts w:ascii="Times New Roman" w:hAnsi="Times New Roman" w:cs="Times New Roman"/>
          <w:i/>
          <w:iCs/>
          <w:szCs w:val="24"/>
        </w:rPr>
        <w:t>“How will the project respond if it occurs?”</w:t>
      </w:r>
    </w:p>
    <w:p w14:paraId="1977441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Stakeholder management further demonstrates why project risk is not purely technical. Stakeholder resistance, conflicting objectives and poor communication can undermine technically sound projects. Because stakeholder positions can change over time, engagement needs to continue throughout the project life cycle rather than being concentrated at initiation.</w:t>
      </w:r>
    </w:p>
    <w:p w14:paraId="0F7CDE9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analysis ultimately suggests that successful risk management requires a combination of formal systems and organisational behaviour. Risk registers, matrices and models create information, but project culture determines whether concerns are communicated openly and acted upon. If teams are discouraged from reporting negative information, formal systems can underestimate actual exposure.</w:t>
      </w:r>
    </w:p>
    <w:p w14:paraId="4473CFF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Therefore, effective strategic risk management depends on the integration of governance, analytical tools, accountable ownership, stakeholder engagement, contingency planning and continuous monitoring. Organisations that embed these practices into project decision-making are better positioned not only to reduce individual threats but also to respond effectively when unexpected disruption occurs. This broader capability strengthens project resilience, protects organisational resources and increases the likelihood that projects deliver sustainable strategic value.</w:t>
      </w:r>
    </w:p>
    <w:p w14:paraId="5E44DE1F" w14:textId="57DE45FF" w:rsidR="00224042" w:rsidRDefault="00224042" w:rsidP="00224042">
      <w:pPr>
        <w:spacing w:line="360" w:lineRule="auto"/>
        <w:rPr>
          <w:rFonts w:ascii="Times New Roman" w:hAnsi="Times New Roman" w:cs="Times New Roman"/>
          <w:b/>
          <w:bCs/>
          <w:szCs w:val="24"/>
          <w:lang w:val="en-US"/>
        </w:rPr>
      </w:pPr>
    </w:p>
    <w:p w14:paraId="23EB46B3" w14:textId="77777777" w:rsidR="00224042" w:rsidRDefault="00224042" w:rsidP="00224042">
      <w:pPr>
        <w:spacing w:line="360" w:lineRule="auto"/>
        <w:rPr>
          <w:rFonts w:ascii="Times New Roman" w:hAnsi="Times New Roman" w:cs="Times New Roman"/>
          <w:b/>
          <w:bCs/>
          <w:szCs w:val="24"/>
          <w:lang w:val="en-US"/>
        </w:rPr>
      </w:pPr>
    </w:p>
    <w:p w14:paraId="7962AC87" w14:textId="77777777" w:rsidR="00224042" w:rsidRDefault="00224042" w:rsidP="00224042">
      <w:pPr>
        <w:spacing w:line="360" w:lineRule="auto"/>
        <w:rPr>
          <w:rFonts w:ascii="Times New Roman" w:hAnsi="Times New Roman" w:cs="Times New Roman"/>
          <w:b/>
          <w:bCs/>
          <w:szCs w:val="24"/>
          <w:lang w:val="en-US"/>
        </w:rPr>
      </w:pPr>
    </w:p>
    <w:p w14:paraId="60C1793C" w14:textId="77777777" w:rsidR="00224042" w:rsidRDefault="00224042" w:rsidP="00224042">
      <w:pPr>
        <w:spacing w:line="360" w:lineRule="auto"/>
        <w:rPr>
          <w:rFonts w:ascii="Times New Roman" w:hAnsi="Times New Roman" w:cs="Times New Roman"/>
          <w:b/>
          <w:bCs/>
          <w:szCs w:val="24"/>
          <w:lang w:val="en-US"/>
        </w:rPr>
      </w:pPr>
    </w:p>
    <w:p w14:paraId="4835189D" w14:textId="77777777" w:rsidR="00224042" w:rsidRDefault="00224042" w:rsidP="00224042">
      <w:pPr>
        <w:spacing w:line="360" w:lineRule="auto"/>
        <w:rPr>
          <w:rFonts w:ascii="Times New Roman" w:hAnsi="Times New Roman" w:cs="Times New Roman"/>
          <w:b/>
          <w:bCs/>
          <w:szCs w:val="24"/>
          <w:lang w:val="en-US"/>
        </w:rPr>
      </w:pPr>
    </w:p>
    <w:p w14:paraId="2D0F7864" w14:textId="77777777" w:rsidR="00224042" w:rsidRDefault="00224042" w:rsidP="00224042">
      <w:pPr>
        <w:spacing w:line="360" w:lineRule="auto"/>
        <w:rPr>
          <w:rFonts w:ascii="Times New Roman" w:hAnsi="Times New Roman" w:cs="Times New Roman"/>
          <w:b/>
          <w:bCs/>
          <w:szCs w:val="24"/>
          <w:lang w:val="en-US"/>
        </w:rPr>
      </w:pPr>
    </w:p>
    <w:p w14:paraId="3FDE5F2C" w14:textId="77777777" w:rsidR="00224042" w:rsidRDefault="00224042" w:rsidP="00224042">
      <w:pPr>
        <w:spacing w:line="360" w:lineRule="auto"/>
        <w:rPr>
          <w:rFonts w:ascii="Times New Roman" w:hAnsi="Times New Roman" w:cs="Times New Roman"/>
          <w:b/>
          <w:bCs/>
          <w:szCs w:val="24"/>
          <w:lang w:val="en-US"/>
        </w:rPr>
      </w:pPr>
    </w:p>
    <w:p w14:paraId="58738A49"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6.0 Recommendations — Approx. 400 Words</w:t>
      </w:r>
    </w:p>
    <w:p w14:paraId="638CF8D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Based on the findings and discussion, organisations should strengthen project risk management by integrating risk analysis into strategic decision-making rather than treating it as a periodic administrative exercise.</w:t>
      </w:r>
    </w:p>
    <w:p w14:paraId="3234617F"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6.1 Establish Continuous Risk Management</w:t>
      </w:r>
    </w:p>
    <w:p w14:paraId="1E8D20D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Risk assessment should operate throughout the project life cycle. Risk registers should be reviewed at major milestones and during regular project meetings to identify emerging threats, reassess probability and impact, and evaluate the effectiveness of existing controls. Early-warning indicators should be defined for high-priority risks so that intervention can occur before significant damage is created.</w:t>
      </w:r>
    </w:p>
    <w:p w14:paraId="27320B43"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6.2 Strengthen Risk Ownership and Accountability</w:t>
      </w:r>
    </w:p>
    <w:p w14:paraId="45E6C86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Every material risk should have a clearly identified owner with responsibility for monitoring triggers and implementing agreed responses. Risk ownership should be allocated to individuals with appropriate expertise and decision-making authority. Escalation thresholds should also be established so that critical exposures are promptly communicated to senior management or project governance bodies.</w:t>
      </w:r>
    </w:p>
    <w:p w14:paraId="41A3FB8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6.3 Combine Qualitative and Quantitative Risk Analysis</w:t>
      </w:r>
    </w:p>
    <w:p w14:paraId="4AF6370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Organisations should avoid relying exclusively on Probability–Impact Matrices. Qualitative assessments should be supplemented, where appropriate, by techniques such as </w:t>
      </w:r>
      <w:r w:rsidRPr="00224042">
        <w:rPr>
          <w:rFonts w:ascii="Times New Roman" w:hAnsi="Times New Roman" w:cs="Times New Roman"/>
          <w:b/>
          <w:bCs/>
          <w:szCs w:val="24"/>
        </w:rPr>
        <w:t>Expected Monetary Value, sensitivity analysis, scenario analysis and Monte Carlo simulation</w:t>
      </w:r>
      <w:r w:rsidRPr="00224042">
        <w:rPr>
          <w:rFonts w:ascii="Times New Roman" w:hAnsi="Times New Roman" w:cs="Times New Roman"/>
          <w:szCs w:val="24"/>
        </w:rPr>
        <w:t>. The sophistication of analysis should reflect the project's size, complexity and potential exposure. Quantitative outputs should nevertheless be interpreted alongside expert judgement because numerical models depend heavily on assumptions and data quality.</w:t>
      </w:r>
    </w:p>
    <w:p w14:paraId="62A9C31C"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6.4 Develop Stronger Contingency and Resilience Plans</w:t>
      </w:r>
    </w:p>
    <w:p w14:paraId="25AEF28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High-impact risks should have documented contingency arrangements. These may include alternative suppliers, reserve budgets, schedule buffers, backup technology and crisis communication procedures. Organisations should distinguish between mitigation, which reduces </w:t>
      </w:r>
      <w:r w:rsidRPr="00224042">
        <w:rPr>
          <w:rFonts w:ascii="Times New Roman" w:hAnsi="Times New Roman" w:cs="Times New Roman"/>
          <w:szCs w:val="24"/>
        </w:rPr>
        <w:lastRenderedPageBreak/>
        <w:t xml:space="preserve">exposure before an event, and contingency planning, which determines how the project will respond if disruption </w:t>
      </w:r>
      <w:proofErr w:type="gramStart"/>
      <w:r w:rsidRPr="00224042">
        <w:rPr>
          <w:rFonts w:ascii="Times New Roman" w:hAnsi="Times New Roman" w:cs="Times New Roman"/>
          <w:szCs w:val="24"/>
        </w:rPr>
        <w:t>actually occurs</w:t>
      </w:r>
      <w:proofErr w:type="gramEnd"/>
      <w:r w:rsidRPr="00224042">
        <w:rPr>
          <w:rFonts w:ascii="Times New Roman" w:hAnsi="Times New Roman" w:cs="Times New Roman"/>
          <w:szCs w:val="24"/>
        </w:rPr>
        <w:t>.</w:t>
      </w:r>
    </w:p>
    <w:p w14:paraId="439AC0FE"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6.5 Integrate Stakeholders into Risk Management</w:t>
      </w:r>
    </w:p>
    <w:p w14:paraId="22EAA09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Key stakeholders should participate in risk-identification and review activities. Their involvement can reveal operational, regulatory and implementation risks that project teams may overlook. Stakeholder mapping should also be periodically updated because influence and attitudes can change throughout the project.</w:t>
      </w:r>
    </w:p>
    <w:p w14:paraId="1E1FDCA2"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6.6 Strengthen Organisational Risk Learning</w:t>
      </w:r>
    </w:p>
    <w:p w14:paraId="475FFE8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Lessons from completed projects should be systematically recorded and incorporated into future risk planning. Rather than recording only what failed, post-project reviews should examine warning signs, response effectiveness and missed opportunities. This can transform individual project experience into organisational risk-management capability.</w:t>
      </w:r>
    </w:p>
    <w:p w14:paraId="48B46C6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Overall, organisations should develop a culture in which risk information is openly communicated and used to support decisions. Effective strategic risk management requires </w:t>
      </w:r>
      <w:r w:rsidRPr="00224042">
        <w:rPr>
          <w:rFonts w:ascii="Times New Roman" w:hAnsi="Times New Roman" w:cs="Times New Roman"/>
          <w:b/>
          <w:bCs/>
          <w:szCs w:val="24"/>
        </w:rPr>
        <w:t>continuous analysis, clear accountability, proportionate responses, resilience planning and organisational learning</w:t>
      </w:r>
      <w:r w:rsidRPr="00224042">
        <w:rPr>
          <w:rFonts w:ascii="Times New Roman" w:hAnsi="Times New Roman" w:cs="Times New Roman"/>
          <w:szCs w:val="24"/>
        </w:rPr>
        <w:t>.</w:t>
      </w:r>
    </w:p>
    <w:p w14:paraId="4CB00383" w14:textId="3B5F130C" w:rsidR="00224042" w:rsidRPr="00224042" w:rsidRDefault="00224042" w:rsidP="00224042">
      <w:pPr>
        <w:spacing w:line="360" w:lineRule="auto"/>
        <w:rPr>
          <w:rFonts w:ascii="Times New Roman" w:hAnsi="Times New Roman" w:cs="Times New Roman"/>
          <w:szCs w:val="24"/>
        </w:rPr>
      </w:pPr>
    </w:p>
    <w:p w14:paraId="17838CB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7.0 Conclusion</w:t>
      </w:r>
    </w:p>
    <w:p w14:paraId="2CBAE17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Strategic risk management is fundamental to successful project delivery because projects operate in environments characterised by uncertainty, complexity and competing stakeholder expectations. This report demonstrates that effective risk management extends beyond identifying threats and maintaining a risk register. It requires a continuous process of risk identification, assessment, prioritisation, response planning, monitoring and organisational learning.</w:t>
      </w:r>
    </w:p>
    <w:p w14:paraId="18684B8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Qualitative techniques such as Probability–Impact Matrices and risk registers provide accessible mechanisms for structuring risk information, while quantitative approaches such as Expected Monetary Value, sensitivity analysis and Monte Carlo simulation can strengthen decisions where significant financial or schedule exposure exists. However, no analytical technique eliminates </w:t>
      </w:r>
      <w:r w:rsidRPr="00224042">
        <w:rPr>
          <w:rFonts w:ascii="Times New Roman" w:hAnsi="Times New Roman" w:cs="Times New Roman"/>
          <w:szCs w:val="24"/>
        </w:rPr>
        <w:lastRenderedPageBreak/>
        <w:t>uncertainty, and the effectiveness of these tools depends on reliable information and appropriate managerial judgement.</w:t>
      </w:r>
    </w:p>
    <w:p w14:paraId="7427385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analysis further demonstrates that financial, operational, technological, stakeholder and external risks are interconnected. Consequently, risk management should be integrated with project governance, resource allocation, stakeholder engagement and strategic decision-making. Contingency planning is particularly important because some disruptions cannot be prevented.</w:t>
      </w:r>
    </w:p>
    <w:p w14:paraId="1FA92C76" w14:textId="77777777" w:rsid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Ultimately, effective project risk management strengthens </w:t>
      </w:r>
      <w:r w:rsidRPr="00224042">
        <w:rPr>
          <w:rFonts w:ascii="Times New Roman" w:hAnsi="Times New Roman" w:cs="Times New Roman"/>
          <w:b/>
          <w:bCs/>
          <w:szCs w:val="24"/>
        </w:rPr>
        <w:t>project resilience and sustainable performance</w:t>
      </w:r>
      <w:r w:rsidRPr="00224042">
        <w:rPr>
          <w:rFonts w:ascii="Times New Roman" w:hAnsi="Times New Roman" w:cs="Times New Roman"/>
          <w:szCs w:val="24"/>
        </w:rPr>
        <w:t xml:space="preserve"> by enabling organisations to anticipate uncertainty, make informed decisions, respond rapidly to disruption and learn from experience. Organisations that embed risk thinking throughout the project life cycle are therefore better positioned to protect resources, satisfy stakeholders and achieve long-term project objectives.</w:t>
      </w:r>
    </w:p>
    <w:p w14:paraId="197DDAC5" w14:textId="77777777" w:rsidR="00224042" w:rsidRDefault="00224042" w:rsidP="00224042">
      <w:pPr>
        <w:spacing w:line="360" w:lineRule="auto"/>
        <w:rPr>
          <w:rFonts w:ascii="Times New Roman" w:hAnsi="Times New Roman" w:cs="Times New Roman"/>
          <w:szCs w:val="24"/>
        </w:rPr>
      </w:pPr>
    </w:p>
    <w:p w14:paraId="51B455A2" w14:textId="77777777" w:rsidR="00224042" w:rsidRDefault="00224042" w:rsidP="00224042">
      <w:pPr>
        <w:spacing w:line="360" w:lineRule="auto"/>
        <w:rPr>
          <w:rFonts w:ascii="Times New Roman" w:hAnsi="Times New Roman" w:cs="Times New Roman"/>
          <w:szCs w:val="24"/>
        </w:rPr>
      </w:pPr>
    </w:p>
    <w:p w14:paraId="2F796C70" w14:textId="77777777" w:rsidR="00224042" w:rsidRDefault="00224042" w:rsidP="00224042">
      <w:pPr>
        <w:spacing w:line="360" w:lineRule="auto"/>
        <w:rPr>
          <w:rFonts w:ascii="Times New Roman" w:hAnsi="Times New Roman" w:cs="Times New Roman"/>
          <w:szCs w:val="24"/>
        </w:rPr>
      </w:pPr>
    </w:p>
    <w:p w14:paraId="596D3970" w14:textId="77777777" w:rsidR="00224042" w:rsidRDefault="00224042" w:rsidP="00224042">
      <w:pPr>
        <w:spacing w:line="360" w:lineRule="auto"/>
        <w:rPr>
          <w:rFonts w:ascii="Times New Roman" w:hAnsi="Times New Roman" w:cs="Times New Roman"/>
          <w:szCs w:val="24"/>
        </w:rPr>
      </w:pPr>
    </w:p>
    <w:p w14:paraId="3F14C1B2" w14:textId="77777777" w:rsidR="00224042" w:rsidRDefault="00224042" w:rsidP="00224042">
      <w:pPr>
        <w:spacing w:line="360" w:lineRule="auto"/>
        <w:rPr>
          <w:rFonts w:ascii="Times New Roman" w:hAnsi="Times New Roman" w:cs="Times New Roman"/>
          <w:szCs w:val="24"/>
        </w:rPr>
      </w:pPr>
    </w:p>
    <w:p w14:paraId="2BBE84DA" w14:textId="77777777" w:rsidR="00224042" w:rsidRDefault="00224042" w:rsidP="00224042">
      <w:pPr>
        <w:spacing w:line="360" w:lineRule="auto"/>
        <w:rPr>
          <w:rFonts w:ascii="Times New Roman" w:hAnsi="Times New Roman" w:cs="Times New Roman"/>
          <w:szCs w:val="24"/>
        </w:rPr>
      </w:pPr>
    </w:p>
    <w:p w14:paraId="3653F77B" w14:textId="77777777" w:rsidR="00224042" w:rsidRDefault="00224042" w:rsidP="00224042">
      <w:pPr>
        <w:spacing w:line="360" w:lineRule="auto"/>
        <w:rPr>
          <w:rFonts w:ascii="Times New Roman" w:hAnsi="Times New Roman" w:cs="Times New Roman"/>
          <w:szCs w:val="24"/>
        </w:rPr>
      </w:pPr>
    </w:p>
    <w:p w14:paraId="05CF9BE0" w14:textId="77777777" w:rsidR="00224042" w:rsidRDefault="00224042" w:rsidP="00224042">
      <w:pPr>
        <w:spacing w:line="360" w:lineRule="auto"/>
        <w:rPr>
          <w:rFonts w:ascii="Times New Roman" w:hAnsi="Times New Roman" w:cs="Times New Roman"/>
          <w:szCs w:val="24"/>
        </w:rPr>
      </w:pPr>
    </w:p>
    <w:p w14:paraId="55780D5D" w14:textId="77777777" w:rsidR="00224042" w:rsidRDefault="00224042" w:rsidP="00224042">
      <w:pPr>
        <w:spacing w:line="360" w:lineRule="auto"/>
        <w:rPr>
          <w:rFonts w:ascii="Times New Roman" w:hAnsi="Times New Roman" w:cs="Times New Roman"/>
          <w:szCs w:val="24"/>
        </w:rPr>
      </w:pPr>
    </w:p>
    <w:p w14:paraId="5F45F223" w14:textId="77777777" w:rsidR="00224042" w:rsidRDefault="00224042" w:rsidP="00224042">
      <w:pPr>
        <w:spacing w:line="360" w:lineRule="auto"/>
        <w:rPr>
          <w:rFonts w:ascii="Times New Roman" w:hAnsi="Times New Roman" w:cs="Times New Roman"/>
          <w:szCs w:val="24"/>
        </w:rPr>
      </w:pPr>
    </w:p>
    <w:p w14:paraId="23AB274A" w14:textId="77777777" w:rsidR="00224042" w:rsidRDefault="00224042" w:rsidP="00224042">
      <w:pPr>
        <w:spacing w:line="360" w:lineRule="auto"/>
        <w:rPr>
          <w:rFonts w:ascii="Times New Roman" w:hAnsi="Times New Roman" w:cs="Times New Roman"/>
          <w:szCs w:val="24"/>
        </w:rPr>
      </w:pPr>
    </w:p>
    <w:p w14:paraId="7393BD50" w14:textId="77777777" w:rsidR="00224042" w:rsidRDefault="00224042" w:rsidP="00224042">
      <w:pPr>
        <w:spacing w:line="360" w:lineRule="auto"/>
        <w:rPr>
          <w:rFonts w:ascii="Times New Roman" w:hAnsi="Times New Roman" w:cs="Times New Roman"/>
          <w:szCs w:val="24"/>
        </w:rPr>
      </w:pPr>
    </w:p>
    <w:p w14:paraId="79EE76BA" w14:textId="77777777" w:rsidR="00224042" w:rsidRDefault="00224042" w:rsidP="00224042">
      <w:pPr>
        <w:spacing w:line="360" w:lineRule="auto"/>
        <w:rPr>
          <w:rFonts w:ascii="Times New Roman" w:hAnsi="Times New Roman" w:cs="Times New Roman"/>
          <w:szCs w:val="24"/>
        </w:rPr>
      </w:pPr>
    </w:p>
    <w:p w14:paraId="2D02BD23" w14:textId="77777777" w:rsidR="00224042" w:rsidRPr="00224042" w:rsidRDefault="00224042" w:rsidP="00224042">
      <w:pPr>
        <w:spacing w:line="360" w:lineRule="auto"/>
        <w:rPr>
          <w:rFonts w:ascii="Times New Roman" w:hAnsi="Times New Roman" w:cs="Times New Roman"/>
          <w:szCs w:val="24"/>
        </w:rPr>
      </w:pPr>
    </w:p>
    <w:p w14:paraId="381B7007"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References</w:t>
      </w:r>
    </w:p>
    <w:p w14:paraId="0FA5891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Aaltonen, K. (2011). Project stakeholder analysis as an environmental interpretation process. </w:t>
      </w:r>
      <w:r w:rsidRPr="00224042">
        <w:rPr>
          <w:rFonts w:ascii="Times New Roman" w:hAnsi="Times New Roman" w:cs="Times New Roman"/>
          <w:i/>
          <w:iCs/>
          <w:szCs w:val="24"/>
        </w:rPr>
        <w:t>International Journal of Project Management, 29</w:t>
      </w:r>
      <w:r w:rsidRPr="00224042">
        <w:rPr>
          <w:rFonts w:ascii="Times New Roman" w:hAnsi="Times New Roman" w:cs="Times New Roman"/>
          <w:szCs w:val="24"/>
        </w:rPr>
        <w:t xml:space="preserve">(2), 165–183. </w:t>
      </w:r>
      <w:hyperlink r:id="rId6" w:history="1">
        <w:r w:rsidRPr="00224042">
          <w:rPr>
            <w:rStyle w:val="Hyperlink"/>
            <w:rFonts w:ascii="Times New Roman" w:hAnsi="Times New Roman" w:cs="Times New Roman"/>
            <w:szCs w:val="24"/>
          </w:rPr>
          <w:t>https://doi.org/10.1016/j.ijproman.2010.02.001</w:t>
        </w:r>
      </w:hyperlink>
    </w:p>
    <w:p w14:paraId="5C8A362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Aven, T. (2016). Risk assessment and risk management: Review of recent advances on their foundation. </w:t>
      </w:r>
      <w:r w:rsidRPr="00224042">
        <w:rPr>
          <w:rFonts w:ascii="Times New Roman" w:hAnsi="Times New Roman" w:cs="Times New Roman"/>
          <w:i/>
          <w:iCs/>
          <w:szCs w:val="24"/>
        </w:rPr>
        <w:t>European Journal of Operational Research, 253</w:t>
      </w:r>
      <w:r w:rsidRPr="00224042">
        <w:rPr>
          <w:rFonts w:ascii="Times New Roman" w:hAnsi="Times New Roman" w:cs="Times New Roman"/>
          <w:szCs w:val="24"/>
        </w:rPr>
        <w:t xml:space="preserve">(1), 1–13. </w:t>
      </w:r>
      <w:hyperlink r:id="rId7" w:history="1">
        <w:r w:rsidRPr="00224042">
          <w:rPr>
            <w:rStyle w:val="Hyperlink"/>
            <w:rFonts w:ascii="Times New Roman" w:hAnsi="Times New Roman" w:cs="Times New Roman"/>
            <w:szCs w:val="24"/>
          </w:rPr>
          <w:t>https://doi.org/10.1016/j.ejor.2015.12.023</w:t>
        </w:r>
      </w:hyperlink>
    </w:p>
    <w:p w14:paraId="3D4CC32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Bakker, K., Boonstra, A., &amp; Wortmann, H. (2010). Does risk management contribute to IT project success? A meta-analysis of empirical evidence. </w:t>
      </w:r>
      <w:r w:rsidRPr="00224042">
        <w:rPr>
          <w:rFonts w:ascii="Times New Roman" w:hAnsi="Times New Roman" w:cs="Times New Roman"/>
          <w:i/>
          <w:iCs/>
          <w:szCs w:val="24"/>
        </w:rPr>
        <w:t>International Journal of Project Management, 28</w:t>
      </w:r>
      <w:r w:rsidRPr="00224042">
        <w:rPr>
          <w:rFonts w:ascii="Times New Roman" w:hAnsi="Times New Roman" w:cs="Times New Roman"/>
          <w:szCs w:val="24"/>
        </w:rPr>
        <w:t xml:space="preserve">(5), 493–503. </w:t>
      </w:r>
      <w:hyperlink r:id="rId8" w:history="1">
        <w:r w:rsidRPr="00224042">
          <w:rPr>
            <w:rStyle w:val="Hyperlink"/>
            <w:rFonts w:ascii="Times New Roman" w:hAnsi="Times New Roman" w:cs="Times New Roman"/>
            <w:szCs w:val="24"/>
          </w:rPr>
          <w:t>https://doi.org/10.1016/j.ijproman.2009.07.002</w:t>
        </w:r>
      </w:hyperlink>
    </w:p>
    <w:p w14:paraId="44E847A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Bannerman, P. L. (2008). Risk and risk management in software projects: A reassessment. </w:t>
      </w:r>
      <w:r w:rsidRPr="00224042">
        <w:rPr>
          <w:rFonts w:ascii="Times New Roman" w:hAnsi="Times New Roman" w:cs="Times New Roman"/>
          <w:i/>
          <w:iCs/>
          <w:szCs w:val="24"/>
        </w:rPr>
        <w:t>Journal of Systems and Software, 81</w:t>
      </w:r>
      <w:r w:rsidRPr="00224042">
        <w:rPr>
          <w:rFonts w:ascii="Times New Roman" w:hAnsi="Times New Roman" w:cs="Times New Roman"/>
          <w:szCs w:val="24"/>
        </w:rPr>
        <w:t xml:space="preserve">(12), 2118–2133. </w:t>
      </w:r>
      <w:hyperlink r:id="rId9" w:history="1">
        <w:r w:rsidRPr="00224042">
          <w:rPr>
            <w:rStyle w:val="Hyperlink"/>
            <w:rFonts w:ascii="Times New Roman" w:hAnsi="Times New Roman" w:cs="Times New Roman"/>
            <w:szCs w:val="24"/>
          </w:rPr>
          <w:t>https://doi.org/10.1016/j.jss.2008.03.059</w:t>
        </w:r>
      </w:hyperlink>
    </w:p>
    <w:p w14:paraId="1E109A6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Carvalho, M. M., &amp; </w:t>
      </w:r>
      <w:proofErr w:type="spellStart"/>
      <w:r w:rsidRPr="00224042">
        <w:rPr>
          <w:rFonts w:ascii="Times New Roman" w:hAnsi="Times New Roman" w:cs="Times New Roman"/>
          <w:szCs w:val="24"/>
        </w:rPr>
        <w:t>Rabechini</w:t>
      </w:r>
      <w:proofErr w:type="spellEnd"/>
      <w:r w:rsidRPr="00224042">
        <w:rPr>
          <w:rFonts w:ascii="Times New Roman" w:hAnsi="Times New Roman" w:cs="Times New Roman"/>
          <w:szCs w:val="24"/>
        </w:rPr>
        <w:t xml:space="preserve"> Junior, R. (2015). Impact of risk management on project performance: The importance of soft skills. </w:t>
      </w:r>
      <w:r w:rsidRPr="00224042">
        <w:rPr>
          <w:rFonts w:ascii="Times New Roman" w:hAnsi="Times New Roman" w:cs="Times New Roman"/>
          <w:i/>
          <w:iCs/>
          <w:szCs w:val="24"/>
        </w:rPr>
        <w:t>International Journal of Production Research, 53</w:t>
      </w:r>
      <w:r w:rsidRPr="00224042">
        <w:rPr>
          <w:rFonts w:ascii="Times New Roman" w:hAnsi="Times New Roman" w:cs="Times New Roman"/>
          <w:szCs w:val="24"/>
        </w:rPr>
        <w:t xml:space="preserve">(2), 321–340. </w:t>
      </w:r>
      <w:hyperlink r:id="rId10" w:history="1">
        <w:r w:rsidRPr="00224042">
          <w:rPr>
            <w:rStyle w:val="Hyperlink"/>
            <w:rFonts w:ascii="Times New Roman" w:hAnsi="Times New Roman" w:cs="Times New Roman"/>
            <w:szCs w:val="24"/>
          </w:rPr>
          <w:t>https://doi.org/10.1080/00207543.2014.919423</w:t>
        </w:r>
      </w:hyperlink>
    </w:p>
    <w:p w14:paraId="7DFFE34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Cox, L. A. (2008). What's wrong with risk matrices? </w:t>
      </w:r>
      <w:r w:rsidRPr="00224042">
        <w:rPr>
          <w:rFonts w:ascii="Times New Roman" w:hAnsi="Times New Roman" w:cs="Times New Roman"/>
          <w:i/>
          <w:iCs/>
          <w:szCs w:val="24"/>
        </w:rPr>
        <w:t>Risk Analysis, 28</w:t>
      </w:r>
      <w:r w:rsidRPr="00224042">
        <w:rPr>
          <w:rFonts w:ascii="Times New Roman" w:hAnsi="Times New Roman" w:cs="Times New Roman"/>
          <w:szCs w:val="24"/>
        </w:rPr>
        <w:t xml:space="preserve">(2), 497–512. </w:t>
      </w:r>
      <w:hyperlink r:id="rId11" w:history="1">
        <w:r w:rsidRPr="00224042">
          <w:rPr>
            <w:rStyle w:val="Hyperlink"/>
            <w:rFonts w:ascii="Times New Roman" w:hAnsi="Times New Roman" w:cs="Times New Roman"/>
            <w:szCs w:val="24"/>
          </w:rPr>
          <w:t>https://doi.org/10.1111/j.1539-6924.2008.01030.x</w:t>
        </w:r>
      </w:hyperlink>
    </w:p>
    <w:p w14:paraId="5CBF7C7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de Bakker, K., Boonstra, A., &amp; Wortmann, H. (2012). Risk managements' communicative effects influencing IT project success. </w:t>
      </w:r>
      <w:r w:rsidRPr="00224042">
        <w:rPr>
          <w:rFonts w:ascii="Times New Roman" w:hAnsi="Times New Roman" w:cs="Times New Roman"/>
          <w:i/>
          <w:iCs/>
          <w:szCs w:val="24"/>
        </w:rPr>
        <w:t>International Journal of Project Management, 30</w:t>
      </w:r>
      <w:r w:rsidRPr="00224042">
        <w:rPr>
          <w:rFonts w:ascii="Times New Roman" w:hAnsi="Times New Roman" w:cs="Times New Roman"/>
          <w:szCs w:val="24"/>
        </w:rPr>
        <w:t xml:space="preserve">(4), 444–457. </w:t>
      </w:r>
      <w:hyperlink r:id="rId12" w:history="1">
        <w:r w:rsidRPr="00224042">
          <w:rPr>
            <w:rStyle w:val="Hyperlink"/>
            <w:rFonts w:ascii="Times New Roman" w:hAnsi="Times New Roman" w:cs="Times New Roman"/>
            <w:szCs w:val="24"/>
          </w:rPr>
          <w:t>https://doi.org/10.1016/j.ijproman.2011.09.003</w:t>
        </w:r>
      </w:hyperlink>
    </w:p>
    <w:p w14:paraId="3917320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Hillson, D. (2002). Extending the risk process to manage opportunities. </w:t>
      </w:r>
      <w:r w:rsidRPr="00224042">
        <w:rPr>
          <w:rFonts w:ascii="Times New Roman" w:hAnsi="Times New Roman" w:cs="Times New Roman"/>
          <w:i/>
          <w:iCs/>
          <w:szCs w:val="24"/>
        </w:rPr>
        <w:t>International Journal of Project Management, 20</w:t>
      </w:r>
      <w:r w:rsidRPr="00224042">
        <w:rPr>
          <w:rFonts w:ascii="Times New Roman" w:hAnsi="Times New Roman" w:cs="Times New Roman"/>
          <w:szCs w:val="24"/>
        </w:rPr>
        <w:t xml:space="preserve">(3), 235–240. </w:t>
      </w:r>
      <w:hyperlink r:id="rId13" w:history="1">
        <w:r w:rsidRPr="00224042">
          <w:rPr>
            <w:rStyle w:val="Hyperlink"/>
            <w:rFonts w:ascii="Times New Roman" w:hAnsi="Times New Roman" w:cs="Times New Roman"/>
            <w:szCs w:val="24"/>
          </w:rPr>
          <w:t>https://doi.org/10.1016/S0263-7863(01)00074-6</w:t>
        </w:r>
      </w:hyperlink>
    </w:p>
    <w:p w14:paraId="49E825D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Kutsch, E., &amp; Hall, M. (2010). Deliberate ignorance in project risk management. </w:t>
      </w:r>
      <w:r w:rsidRPr="00224042">
        <w:rPr>
          <w:rFonts w:ascii="Times New Roman" w:hAnsi="Times New Roman" w:cs="Times New Roman"/>
          <w:i/>
          <w:iCs/>
          <w:szCs w:val="24"/>
        </w:rPr>
        <w:t>International Journal of Project Management, 28</w:t>
      </w:r>
      <w:r w:rsidRPr="00224042">
        <w:rPr>
          <w:rFonts w:ascii="Times New Roman" w:hAnsi="Times New Roman" w:cs="Times New Roman"/>
          <w:szCs w:val="24"/>
        </w:rPr>
        <w:t xml:space="preserve">(3), 245–255. </w:t>
      </w:r>
      <w:hyperlink r:id="rId14" w:history="1">
        <w:r w:rsidRPr="00224042">
          <w:rPr>
            <w:rStyle w:val="Hyperlink"/>
            <w:rFonts w:ascii="Times New Roman" w:hAnsi="Times New Roman" w:cs="Times New Roman"/>
            <w:szCs w:val="24"/>
          </w:rPr>
          <w:t>https://doi.org/10.1016/j.ijproman.2009.05.003</w:t>
        </w:r>
      </w:hyperlink>
    </w:p>
    <w:p w14:paraId="6A00926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Martens, M. L., &amp; Carvalho, M. M. (2017). Key factors of sustainability in project management context: A survey exploring the project managers' perspective. </w:t>
      </w:r>
      <w:r w:rsidRPr="00224042">
        <w:rPr>
          <w:rFonts w:ascii="Times New Roman" w:hAnsi="Times New Roman" w:cs="Times New Roman"/>
          <w:i/>
          <w:iCs/>
          <w:szCs w:val="24"/>
        </w:rPr>
        <w:t>International Journal of Project Management, 35</w:t>
      </w:r>
      <w:r w:rsidRPr="00224042">
        <w:rPr>
          <w:rFonts w:ascii="Times New Roman" w:hAnsi="Times New Roman" w:cs="Times New Roman"/>
          <w:szCs w:val="24"/>
        </w:rPr>
        <w:t xml:space="preserve">(6), 1084–1102. </w:t>
      </w:r>
      <w:hyperlink r:id="rId15" w:history="1">
        <w:r w:rsidRPr="00224042">
          <w:rPr>
            <w:rStyle w:val="Hyperlink"/>
            <w:rFonts w:ascii="Times New Roman" w:hAnsi="Times New Roman" w:cs="Times New Roman"/>
            <w:szCs w:val="24"/>
          </w:rPr>
          <w:t>https://doi.org/10.1016/j.ijproman.2016.04.004</w:t>
        </w:r>
      </w:hyperlink>
    </w:p>
    <w:p w14:paraId="32FC74F2" w14:textId="77777777" w:rsidR="00224042" w:rsidRPr="00224042" w:rsidRDefault="00224042" w:rsidP="00224042">
      <w:pPr>
        <w:spacing w:line="360" w:lineRule="auto"/>
        <w:rPr>
          <w:rFonts w:ascii="Times New Roman" w:hAnsi="Times New Roman" w:cs="Times New Roman"/>
          <w:szCs w:val="24"/>
        </w:rPr>
      </w:pPr>
      <w:proofErr w:type="spellStart"/>
      <w:r w:rsidRPr="00224042">
        <w:rPr>
          <w:rFonts w:ascii="Times New Roman" w:hAnsi="Times New Roman" w:cs="Times New Roman"/>
          <w:szCs w:val="24"/>
        </w:rPr>
        <w:lastRenderedPageBreak/>
        <w:t>Perminova</w:t>
      </w:r>
      <w:proofErr w:type="spellEnd"/>
      <w:r w:rsidRPr="00224042">
        <w:rPr>
          <w:rFonts w:ascii="Times New Roman" w:hAnsi="Times New Roman" w:cs="Times New Roman"/>
          <w:szCs w:val="24"/>
        </w:rPr>
        <w:t xml:space="preserve">, O., Gustafsson, M., &amp; Wikström, K. (2008). Defining uncertainty in projects – A new perspective. </w:t>
      </w:r>
      <w:r w:rsidRPr="00224042">
        <w:rPr>
          <w:rFonts w:ascii="Times New Roman" w:hAnsi="Times New Roman" w:cs="Times New Roman"/>
          <w:i/>
          <w:iCs/>
          <w:szCs w:val="24"/>
        </w:rPr>
        <w:t>International Journal of Project Management, 26</w:t>
      </w:r>
      <w:r w:rsidRPr="00224042">
        <w:rPr>
          <w:rFonts w:ascii="Times New Roman" w:hAnsi="Times New Roman" w:cs="Times New Roman"/>
          <w:szCs w:val="24"/>
        </w:rPr>
        <w:t xml:space="preserve">(1), 73–79. </w:t>
      </w:r>
      <w:hyperlink r:id="rId16" w:history="1">
        <w:r w:rsidRPr="00224042">
          <w:rPr>
            <w:rStyle w:val="Hyperlink"/>
            <w:rFonts w:ascii="Times New Roman" w:hAnsi="Times New Roman" w:cs="Times New Roman"/>
            <w:szCs w:val="24"/>
          </w:rPr>
          <w:t>https://doi.org/10.1016/j.ijproman.2007.08.005</w:t>
        </w:r>
      </w:hyperlink>
    </w:p>
    <w:p w14:paraId="1A1F3C5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Raz, T., </w:t>
      </w:r>
      <w:proofErr w:type="spellStart"/>
      <w:r w:rsidRPr="00224042">
        <w:rPr>
          <w:rFonts w:ascii="Times New Roman" w:hAnsi="Times New Roman" w:cs="Times New Roman"/>
          <w:szCs w:val="24"/>
        </w:rPr>
        <w:t>Shenhar</w:t>
      </w:r>
      <w:proofErr w:type="spellEnd"/>
      <w:r w:rsidRPr="00224042">
        <w:rPr>
          <w:rFonts w:ascii="Times New Roman" w:hAnsi="Times New Roman" w:cs="Times New Roman"/>
          <w:szCs w:val="24"/>
        </w:rPr>
        <w:t xml:space="preserve">, A. J., &amp; Dvir, D. (2002). Risk management, project success, and technological uncertainty. </w:t>
      </w:r>
      <w:r w:rsidRPr="00224042">
        <w:rPr>
          <w:rFonts w:ascii="Times New Roman" w:hAnsi="Times New Roman" w:cs="Times New Roman"/>
          <w:i/>
          <w:iCs/>
          <w:szCs w:val="24"/>
        </w:rPr>
        <w:t>R&amp;D Management, 32</w:t>
      </w:r>
      <w:r w:rsidRPr="00224042">
        <w:rPr>
          <w:rFonts w:ascii="Times New Roman" w:hAnsi="Times New Roman" w:cs="Times New Roman"/>
          <w:szCs w:val="24"/>
        </w:rPr>
        <w:t xml:space="preserve">(2), 101–109. </w:t>
      </w:r>
      <w:hyperlink r:id="rId17" w:history="1">
        <w:r w:rsidRPr="00224042">
          <w:rPr>
            <w:rStyle w:val="Hyperlink"/>
            <w:rFonts w:ascii="Times New Roman" w:hAnsi="Times New Roman" w:cs="Times New Roman"/>
            <w:szCs w:val="24"/>
          </w:rPr>
          <w:t>https://doi.org/10.1111/1467-9310.00243</w:t>
        </w:r>
      </w:hyperlink>
    </w:p>
    <w:p w14:paraId="3B5B641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Rodrigues-da-Silva, L. H., &amp; Crispim, J. A. (2014). The project risk management process, a preliminary study. </w:t>
      </w:r>
      <w:r w:rsidRPr="00224042">
        <w:rPr>
          <w:rFonts w:ascii="Times New Roman" w:hAnsi="Times New Roman" w:cs="Times New Roman"/>
          <w:i/>
          <w:iCs/>
          <w:szCs w:val="24"/>
        </w:rPr>
        <w:t>Procedia Technology, 16</w:t>
      </w:r>
      <w:r w:rsidRPr="00224042">
        <w:rPr>
          <w:rFonts w:ascii="Times New Roman" w:hAnsi="Times New Roman" w:cs="Times New Roman"/>
          <w:szCs w:val="24"/>
        </w:rPr>
        <w:t xml:space="preserve">, 943–949. </w:t>
      </w:r>
      <w:hyperlink r:id="rId18" w:history="1">
        <w:r w:rsidRPr="00224042">
          <w:rPr>
            <w:rStyle w:val="Hyperlink"/>
            <w:rFonts w:ascii="Times New Roman" w:hAnsi="Times New Roman" w:cs="Times New Roman"/>
            <w:szCs w:val="24"/>
          </w:rPr>
          <w:t>https://doi.org/10.1016/j.protcy.2014.10.047</w:t>
        </w:r>
      </w:hyperlink>
    </w:p>
    <w:p w14:paraId="3C1BE24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Teller, J., Kock, A., &amp; </w:t>
      </w:r>
      <w:proofErr w:type="spellStart"/>
      <w:r w:rsidRPr="00224042">
        <w:rPr>
          <w:rFonts w:ascii="Times New Roman" w:hAnsi="Times New Roman" w:cs="Times New Roman"/>
          <w:szCs w:val="24"/>
        </w:rPr>
        <w:t>Gemünden</w:t>
      </w:r>
      <w:proofErr w:type="spellEnd"/>
      <w:r w:rsidRPr="00224042">
        <w:rPr>
          <w:rFonts w:ascii="Times New Roman" w:hAnsi="Times New Roman" w:cs="Times New Roman"/>
          <w:szCs w:val="24"/>
        </w:rPr>
        <w:t xml:space="preserve">, H. G. (2014). Risk management in project portfolios is more than managing project risks: A contingency perspective on risk management. </w:t>
      </w:r>
      <w:r w:rsidRPr="00224042">
        <w:rPr>
          <w:rFonts w:ascii="Times New Roman" w:hAnsi="Times New Roman" w:cs="Times New Roman"/>
          <w:i/>
          <w:iCs/>
          <w:szCs w:val="24"/>
        </w:rPr>
        <w:t>Project Management Journal, 45</w:t>
      </w:r>
      <w:r w:rsidRPr="00224042">
        <w:rPr>
          <w:rFonts w:ascii="Times New Roman" w:hAnsi="Times New Roman" w:cs="Times New Roman"/>
          <w:szCs w:val="24"/>
        </w:rPr>
        <w:t xml:space="preserve">(4), 67–80. </w:t>
      </w:r>
      <w:hyperlink r:id="rId19" w:history="1">
        <w:r w:rsidRPr="00224042">
          <w:rPr>
            <w:rStyle w:val="Hyperlink"/>
            <w:rFonts w:ascii="Times New Roman" w:hAnsi="Times New Roman" w:cs="Times New Roman"/>
            <w:szCs w:val="24"/>
          </w:rPr>
          <w:t>https://doi.org/10.1002/pmj.21431</w:t>
        </w:r>
      </w:hyperlink>
    </w:p>
    <w:p w14:paraId="14C4BDC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Ward, S., &amp; Chapman, C. (2003). Transforming project risk management into project uncertainty management. </w:t>
      </w:r>
      <w:r w:rsidRPr="00224042">
        <w:rPr>
          <w:rFonts w:ascii="Times New Roman" w:hAnsi="Times New Roman" w:cs="Times New Roman"/>
          <w:i/>
          <w:iCs/>
          <w:szCs w:val="24"/>
        </w:rPr>
        <w:t>International Journal of Project Management, 21</w:t>
      </w:r>
      <w:r w:rsidRPr="00224042">
        <w:rPr>
          <w:rFonts w:ascii="Times New Roman" w:hAnsi="Times New Roman" w:cs="Times New Roman"/>
          <w:szCs w:val="24"/>
        </w:rPr>
        <w:t xml:space="preserve">(2), 97–105. </w:t>
      </w:r>
      <w:hyperlink r:id="rId20" w:history="1">
        <w:r w:rsidRPr="00224042">
          <w:rPr>
            <w:rStyle w:val="Hyperlink"/>
            <w:rFonts w:ascii="Times New Roman" w:hAnsi="Times New Roman" w:cs="Times New Roman"/>
            <w:szCs w:val="24"/>
          </w:rPr>
          <w:t>https://doi.org/10.1016/S0263-7863(01)00080-1</w:t>
        </w:r>
      </w:hyperlink>
    </w:p>
    <w:p w14:paraId="5AB111B2" w14:textId="77777777" w:rsidR="00224042" w:rsidRPr="00224042" w:rsidRDefault="00224042" w:rsidP="00224042">
      <w:pPr>
        <w:spacing w:line="360" w:lineRule="auto"/>
        <w:rPr>
          <w:rFonts w:ascii="Times New Roman" w:hAnsi="Times New Roman" w:cs="Times New Roman"/>
          <w:szCs w:val="24"/>
        </w:rPr>
      </w:pPr>
      <w:proofErr w:type="spellStart"/>
      <w:r w:rsidRPr="00224042">
        <w:rPr>
          <w:rFonts w:ascii="Times New Roman" w:hAnsi="Times New Roman" w:cs="Times New Roman"/>
          <w:szCs w:val="24"/>
        </w:rPr>
        <w:t>Zwikael</w:t>
      </w:r>
      <w:proofErr w:type="spellEnd"/>
      <w:r w:rsidRPr="00224042">
        <w:rPr>
          <w:rFonts w:ascii="Times New Roman" w:hAnsi="Times New Roman" w:cs="Times New Roman"/>
          <w:szCs w:val="24"/>
        </w:rPr>
        <w:t xml:space="preserve">, O., &amp; Ahn, M. (2011). The effectiveness of risk management: An analysis of project risk planning across industries and countries. </w:t>
      </w:r>
      <w:r w:rsidRPr="00224042">
        <w:rPr>
          <w:rFonts w:ascii="Times New Roman" w:hAnsi="Times New Roman" w:cs="Times New Roman"/>
          <w:i/>
          <w:iCs/>
          <w:szCs w:val="24"/>
        </w:rPr>
        <w:t>Risk Analysis, 31</w:t>
      </w:r>
      <w:r w:rsidRPr="00224042">
        <w:rPr>
          <w:rFonts w:ascii="Times New Roman" w:hAnsi="Times New Roman" w:cs="Times New Roman"/>
          <w:szCs w:val="24"/>
        </w:rPr>
        <w:t xml:space="preserve">(1), 25–37. </w:t>
      </w:r>
      <w:hyperlink r:id="rId21" w:history="1">
        <w:r w:rsidRPr="00224042">
          <w:rPr>
            <w:rStyle w:val="Hyperlink"/>
            <w:rFonts w:ascii="Times New Roman" w:hAnsi="Times New Roman" w:cs="Times New Roman"/>
            <w:szCs w:val="24"/>
          </w:rPr>
          <w:t>https://doi.org/10.1111/j.1539-6924.2010.01470.x</w:t>
        </w:r>
      </w:hyperlink>
    </w:p>
    <w:p w14:paraId="07AF8977" w14:textId="77777777" w:rsidR="00224042" w:rsidRDefault="00224042" w:rsidP="00224042">
      <w:pPr>
        <w:spacing w:line="360" w:lineRule="auto"/>
        <w:rPr>
          <w:rFonts w:ascii="Times New Roman" w:hAnsi="Times New Roman" w:cs="Times New Roman"/>
          <w:szCs w:val="24"/>
          <w:lang w:val="en-US"/>
        </w:rPr>
      </w:pPr>
    </w:p>
    <w:p w14:paraId="7D311612" w14:textId="77777777" w:rsidR="00224042" w:rsidRDefault="00224042" w:rsidP="00224042">
      <w:pPr>
        <w:spacing w:line="360" w:lineRule="auto"/>
        <w:rPr>
          <w:rFonts w:ascii="Times New Roman" w:hAnsi="Times New Roman" w:cs="Times New Roman"/>
          <w:szCs w:val="24"/>
          <w:lang w:val="en-US"/>
        </w:rPr>
      </w:pPr>
    </w:p>
    <w:p w14:paraId="33B2E192" w14:textId="77777777" w:rsidR="00224042" w:rsidRDefault="00224042" w:rsidP="00224042">
      <w:pPr>
        <w:spacing w:line="360" w:lineRule="auto"/>
        <w:rPr>
          <w:rFonts w:ascii="Times New Roman" w:hAnsi="Times New Roman" w:cs="Times New Roman"/>
          <w:szCs w:val="24"/>
          <w:lang w:val="en-US"/>
        </w:rPr>
      </w:pPr>
    </w:p>
    <w:p w14:paraId="217F8C60" w14:textId="77777777" w:rsidR="00224042" w:rsidRDefault="00224042" w:rsidP="00224042">
      <w:pPr>
        <w:spacing w:line="360" w:lineRule="auto"/>
        <w:rPr>
          <w:rFonts w:ascii="Times New Roman" w:hAnsi="Times New Roman" w:cs="Times New Roman"/>
          <w:szCs w:val="24"/>
          <w:lang w:val="en-US"/>
        </w:rPr>
      </w:pPr>
    </w:p>
    <w:p w14:paraId="65C46C35" w14:textId="77777777" w:rsidR="00224042" w:rsidRDefault="00224042" w:rsidP="00224042">
      <w:pPr>
        <w:spacing w:line="360" w:lineRule="auto"/>
        <w:rPr>
          <w:rFonts w:ascii="Times New Roman" w:hAnsi="Times New Roman" w:cs="Times New Roman"/>
          <w:szCs w:val="24"/>
          <w:lang w:val="en-US"/>
        </w:rPr>
      </w:pPr>
    </w:p>
    <w:p w14:paraId="0BD3BA6C" w14:textId="77777777" w:rsidR="00224042" w:rsidRDefault="00224042" w:rsidP="00224042">
      <w:pPr>
        <w:spacing w:line="360" w:lineRule="auto"/>
        <w:rPr>
          <w:rFonts w:ascii="Times New Roman" w:hAnsi="Times New Roman" w:cs="Times New Roman"/>
          <w:szCs w:val="24"/>
          <w:lang w:val="en-US"/>
        </w:rPr>
      </w:pPr>
    </w:p>
    <w:p w14:paraId="1DC6FB88" w14:textId="77777777" w:rsidR="00224042" w:rsidRDefault="00224042" w:rsidP="00224042">
      <w:pPr>
        <w:spacing w:line="360" w:lineRule="auto"/>
        <w:rPr>
          <w:rFonts w:ascii="Times New Roman" w:hAnsi="Times New Roman" w:cs="Times New Roman"/>
          <w:szCs w:val="24"/>
          <w:lang w:val="en-US"/>
        </w:rPr>
      </w:pPr>
    </w:p>
    <w:p w14:paraId="7127538F" w14:textId="77777777" w:rsidR="00224042" w:rsidRDefault="00224042" w:rsidP="00224042">
      <w:pPr>
        <w:spacing w:line="360" w:lineRule="auto"/>
        <w:rPr>
          <w:rFonts w:ascii="Times New Roman" w:hAnsi="Times New Roman" w:cs="Times New Roman"/>
          <w:szCs w:val="24"/>
          <w:lang w:val="en-US"/>
        </w:rPr>
      </w:pPr>
    </w:p>
    <w:p w14:paraId="5CEAEF20" w14:textId="77777777" w:rsidR="00224042" w:rsidRDefault="00224042" w:rsidP="00224042">
      <w:pPr>
        <w:spacing w:line="360" w:lineRule="auto"/>
        <w:rPr>
          <w:rFonts w:ascii="Times New Roman" w:hAnsi="Times New Roman" w:cs="Times New Roman"/>
          <w:szCs w:val="24"/>
          <w:lang w:val="en-US"/>
        </w:rPr>
      </w:pPr>
    </w:p>
    <w:p w14:paraId="7A7180AE"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Appendix A: Sample Project Risk Register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1590"/>
        <w:gridCol w:w="1416"/>
        <w:gridCol w:w="1216"/>
        <w:gridCol w:w="794"/>
        <w:gridCol w:w="629"/>
        <w:gridCol w:w="1889"/>
        <w:gridCol w:w="1469"/>
      </w:tblGrid>
      <w:tr w:rsidR="00224042" w:rsidRPr="00224042" w14:paraId="5F9F99C6" w14:textId="77777777">
        <w:trPr>
          <w:tblHeader/>
          <w:tblCellSpacing w:w="15" w:type="dxa"/>
        </w:trPr>
        <w:tc>
          <w:tcPr>
            <w:tcW w:w="0" w:type="auto"/>
            <w:vAlign w:val="center"/>
            <w:hideMark/>
          </w:tcPr>
          <w:p w14:paraId="6F6295E2"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ID</w:t>
            </w:r>
          </w:p>
        </w:tc>
        <w:tc>
          <w:tcPr>
            <w:tcW w:w="0" w:type="auto"/>
            <w:vAlign w:val="center"/>
            <w:hideMark/>
          </w:tcPr>
          <w:p w14:paraId="341CF6EA"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Risk</w:t>
            </w:r>
          </w:p>
        </w:tc>
        <w:tc>
          <w:tcPr>
            <w:tcW w:w="0" w:type="auto"/>
            <w:vAlign w:val="center"/>
            <w:hideMark/>
          </w:tcPr>
          <w:p w14:paraId="56393391"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Category</w:t>
            </w:r>
          </w:p>
        </w:tc>
        <w:tc>
          <w:tcPr>
            <w:tcW w:w="0" w:type="auto"/>
            <w:vAlign w:val="center"/>
            <w:hideMark/>
          </w:tcPr>
          <w:p w14:paraId="6B7C233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Probability</w:t>
            </w:r>
          </w:p>
        </w:tc>
        <w:tc>
          <w:tcPr>
            <w:tcW w:w="0" w:type="auto"/>
            <w:vAlign w:val="center"/>
            <w:hideMark/>
          </w:tcPr>
          <w:p w14:paraId="14607B4F"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Impact</w:t>
            </w:r>
          </w:p>
        </w:tc>
        <w:tc>
          <w:tcPr>
            <w:tcW w:w="0" w:type="auto"/>
            <w:vAlign w:val="center"/>
            <w:hideMark/>
          </w:tcPr>
          <w:p w14:paraId="5467365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Score</w:t>
            </w:r>
          </w:p>
        </w:tc>
        <w:tc>
          <w:tcPr>
            <w:tcW w:w="0" w:type="auto"/>
            <w:vAlign w:val="center"/>
            <w:hideMark/>
          </w:tcPr>
          <w:p w14:paraId="169C09F0"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Response</w:t>
            </w:r>
          </w:p>
        </w:tc>
        <w:tc>
          <w:tcPr>
            <w:tcW w:w="0" w:type="auto"/>
            <w:vAlign w:val="center"/>
            <w:hideMark/>
          </w:tcPr>
          <w:p w14:paraId="7B35F25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Owner</w:t>
            </w:r>
          </w:p>
        </w:tc>
      </w:tr>
      <w:tr w:rsidR="00224042" w:rsidRPr="00224042" w14:paraId="1F234562" w14:textId="77777777">
        <w:trPr>
          <w:tblCellSpacing w:w="15" w:type="dxa"/>
        </w:trPr>
        <w:tc>
          <w:tcPr>
            <w:tcW w:w="0" w:type="auto"/>
            <w:vAlign w:val="center"/>
            <w:hideMark/>
          </w:tcPr>
          <w:p w14:paraId="08DB1F9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R1</w:t>
            </w:r>
          </w:p>
        </w:tc>
        <w:tc>
          <w:tcPr>
            <w:tcW w:w="0" w:type="auto"/>
            <w:vAlign w:val="center"/>
            <w:hideMark/>
          </w:tcPr>
          <w:p w14:paraId="5956C0F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Critical supplier delay</w:t>
            </w:r>
          </w:p>
        </w:tc>
        <w:tc>
          <w:tcPr>
            <w:tcW w:w="0" w:type="auto"/>
            <w:vAlign w:val="center"/>
            <w:hideMark/>
          </w:tcPr>
          <w:p w14:paraId="70357B8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Operational</w:t>
            </w:r>
          </w:p>
        </w:tc>
        <w:tc>
          <w:tcPr>
            <w:tcW w:w="0" w:type="auto"/>
            <w:vAlign w:val="center"/>
            <w:hideMark/>
          </w:tcPr>
          <w:p w14:paraId="4ED1B66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5E50442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vAlign w:val="center"/>
            <w:hideMark/>
          </w:tcPr>
          <w:p w14:paraId="4853236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20</w:t>
            </w:r>
          </w:p>
        </w:tc>
        <w:tc>
          <w:tcPr>
            <w:tcW w:w="0" w:type="auto"/>
            <w:vAlign w:val="center"/>
            <w:hideMark/>
          </w:tcPr>
          <w:p w14:paraId="3881BF5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Mitigate: secondary supplier</w:t>
            </w:r>
          </w:p>
        </w:tc>
        <w:tc>
          <w:tcPr>
            <w:tcW w:w="0" w:type="auto"/>
            <w:vAlign w:val="center"/>
            <w:hideMark/>
          </w:tcPr>
          <w:p w14:paraId="649765A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Procurement Manager</w:t>
            </w:r>
          </w:p>
        </w:tc>
      </w:tr>
      <w:tr w:rsidR="00224042" w:rsidRPr="00224042" w14:paraId="04A40E24" w14:textId="77777777">
        <w:trPr>
          <w:tblCellSpacing w:w="15" w:type="dxa"/>
        </w:trPr>
        <w:tc>
          <w:tcPr>
            <w:tcW w:w="0" w:type="auto"/>
            <w:vAlign w:val="center"/>
            <w:hideMark/>
          </w:tcPr>
          <w:p w14:paraId="27297D4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R2</w:t>
            </w:r>
          </w:p>
        </w:tc>
        <w:tc>
          <w:tcPr>
            <w:tcW w:w="0" w:type="auto"/>
            <w:vAlign w:val="center"/>
            <w:hideMark/>
          </w:tcPr>
          <w:p w14:paraId="7DB8850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Cost inflation</w:t>
            </w:r>
          </w:p>
        </w:tc>
        <w:tc>
          <w:tcPr>
            <w:tcW w:w="0" w:type="auto"/>
            <w:vAlign w:val="center"/>
            <w:hideMark/>
          </w:tcPr>
          <w:p w14:paraId="2AD4552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Financial</w:t>
            </w:r>
          </w:p>
        </w:tc>
        <w:tc>
          <w:tcPr>
            <w:tcW w:w="0" w:type="auto"/>
            <w:vAlign w:val="center"/>
            <w:hideMark/>
          </w:tcPr>
          <w:p w14:paraId="2ED2A8E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62A7996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52B5410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16</w:t>
            </w:r>
          </w:p>
        </w:tc>
        <w:tc>
          <w:tcPr>
            <w:tcW w:w="0" w:type="auto"/>
            <w:vAlign w:val="center"/>
            <w:hideMark/>
          </w:tcPr>
          <w:p w14:paraId="0E8BF13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Mitigate: contingency reserve</w:t>
            </w:r>
          </w:p>
        </w:tc>
        <w:tc>
          <w:tcPr>
            <w:tcW w:w="0" w:type="auto"/>
            <w:vAlign w:val="center"/>
            <w:hideMark/>
          </w:tcPr>
          <w:p w14:paraId="29B0F49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 Manager</w:t>
            </w:r>
          </w:p>
        </w:tc>
      </w:tr>
      <w:tr w:rsidR="00224042" w:rsidRPr="00224042" w14:paraId="76234243" w14:textId="77777777">
        <w:trPr>
          <w:tblCellSpacing w:w="15" w:type="dxa"/>
        </w:trPr>
        <w:tc>
          <w:tcPr>
            <w:tcW w:w="0" w:type="auto"/>
            <w:vAlign w:val="center"/>
            <w:hideMark/>
          </w:tcPr>
          <w:p w14:paraId="24BF20E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R3</w:t>
            </w:r>
          </w:p>
        </w:tc>
        <w:tc>
          <w:tcPr>
            <w:tcW w:w="0" w:type="auto"/>
            <w:vAlign w:val="center"/>
            <w:hideMark/>
          </w:tcPr>
          <w:p w14:paraId="535EA6C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Cybersecurity incident</w:t>
            </w:r>
          </w:p>
        </w:tc>
        <w:tc>
          <w:tcPr>
            <w:tcW w:w="0" w:type="auto"/>
            <w:vAlign w:val="center"/>
            <w:hideMark/>
          </w:tcPr>
          <w:p w14:paraId="7131A84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Technological</w:t>
            </w:r>
          </w:p>
        </w:tc>
        <w:tc>
          <w:tcPr>
            <w:tcW w:w="0" w:type="auto"/>
            <w:vAlign w:val="center"/>
            <w:hideMark/>
          </w:tcPr>
          <w:p w14:paraId="19110F7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vAlign w:val="center"/>
            <w:hideMark/>
          </w:tcPr>
          <w:p w14:paraId="3E8B559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vAlign w:val="center"/>
            <w:hideMark/>
          </w:tcPr>
          <w:p w14:paraId="0260853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15</w:t>
            </w:r>
          </w:p>
        </w:tc>
        <w:tc>
          <w:tcPr>
            <w:tcW w:w="0" w:type="auto"/>
            <w:vAlign w:val="center"/>
            <w:hideMark/>
          </w:tcPr>
          <w:p w14:paraId="4BE42BC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Mitigate: security testing</w:t>
            </w:r>
          </w:p>
        </w:tc>
        <w:tc>
          <w:tcPr>
            <w:tcW w:w="0" w:type="auto"/>
            <w:vAlign w:val="center"/>
            <w:hideMark/>
          </w:tcPr>
          <w:p w14:paraId="0B70817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IT Manager</w:t>
            </w:r>
          </w:p>
        </w:tc>
      </w:tr>
      <w:tr w:rsidR="00224042" w:rsidRPr="00224042" w14:paraId="5F44561B" w14:textId="77777777">
        <w:trPr>
          <w:tblCellSpacing w:w="15" w:type="dxa"/>
        </w:trPr>
        <w:tc>
          <w:tcPr>
            <w:tcW w:w="0" w:type="auto"/>
            <w:vAlign w:val="center"/>
            <w:hideMark/>
          </w:tcPr>
          <w:p w14:paraId="41B1FF9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R4</w:t>
            </w:r>
          </w:p>
        </w:tc>
        <w:tc>
          <w:tcPr>
            <w:tcW w:w="0" w:type="auto"/>
            <w:vAlign w:val="center"/>
            <w:hideMark/>
          </w:tcPr>
          <w:p w14:paraId="64A762C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Stakeholder resistance</w:t>
            </w:r>
          </w:p>
        </w:tc>
        <w:tc>
          <w:tcPr>
            <w:tcW w:w="0" w:type="auto"/>
            <w:vAlign w:val="center"/>
            <w:hideMark/>
          </w:tcPr>
          <w:p w14:paraId="0485501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Stakeholder</w:t>
            </w:r>
          </w:p>
        </w:tc>
        <w:tc>
          <w:tcPr>
            <w:tcW w:w="0" w:type="auto"/>
            <w:vAlign w:val="center"/>
            <w:hideMark/>
          </w:tcPr>
          <w:p w14:paraId="095EA6D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vAlign w:val="center"/>
            <w:hideMark/>
          </w:tcPr>
          <w:p w14:paraId="0F32BB0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283DD53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12</w:t>
            </w:r>
          </w:p>
        </w:tc>
        <w:tc>
          <w:tcPr>
            <w:tcW w:w="0" w:type="auto"/>
            <w:vAlign w:val="center"/>
            <w:hideMark/>
          </w:tcPr>
          <w:p w14:paraId="672A228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Mitigate: engagement programme</w:t>
            </w:r>
          </w:p>
        </w:tc>
        <w:tc>
          <w:tcPr>
            <w:tcW w:w="0" w:type="auto"/>
            <w:vAlign w:val="center"/>
            <w:hideMark/>
          </w:tcPr>
          <w:p w14:paraId="567B9D0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Change Manager</w:t>
            </w:r>
          </w:p>
        </w:tc>
      </w:tr>
      <w:tr w:rsidR="00224042" w:rsidRPr="00224042" w14:paraId="37427751" w14:textId="77777777">
        <w:trPr>
          <w:tblCellSpacing w:w="15" w:type="dxa"/>
        </w:trPr>
        <w:tc>
          <w:tcPr>
            <w:tcW w:w="0" w:type="auto"/>
            <w:vAlign w:val="center"/>
            <w:hideMark/>
          </w:tcPr>
          <w:p w14:paraId="5BA842F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R5</w:t>
            </w:r>
          </w:p>
        </w:tc>
        <w:tc>
          <w:tcPr>
            <w:tcW w:w="0" w:type="auto"/>
            <w:vAlign w:val="center"/>
            <w:hideMark/>
          </w:tcPr>
          <w:p w14:paraId="611DF2E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Regulatory change</w:t>
            </w:r>
          </w:p>
        </w:tc>
        <w:tc>
          <w:tcPr>
            <w:tcW w:w="0" w:type="auto"/>
            <w:vAlign w:val="center"/>
            <w:hideMark/>
          </w:tcPr>
          <w:p w14:paraId="54FCFE8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External</w:t>
            </w:r>
          </w:p>
        </w:tc>
        <w:tc>
          <w:tcPr>
            <w:tcW w:w="0" w:type="auto"/>
            <w:vAlign w:val="center"/>
            <w:hideMark/>
          </w:tcPr>
          <w:p w14:paraId="08BC929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vAlign w:val="center"/>
            <w:hideMark/>
          </w:tcPr>
          <w:p w14:paraId="4550DB7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vAlign w:val="center"/>
            <w:hideMark/>
          </w:tcPr>
          <w:p w14:paraId="4A001C9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10</w:t>
            </w:r>
          </w:p>
        </w:tc>
        <w:tc>
          <w:tcPr>
            <w:tcW w:w="0" w:type="auto"/>
            <w:vAlign w:val="center"/>
            <w:hideMark/>
          </w:tcPr>
          <w:p w14:paraId="0155240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Monitor and contingency plan</w:t>
            </w:r>
          </w:p>
        </w:tc>
        <w:tc>
          <w:tcPr>
            <w:tcW w:w="0" w:type="auto"/>
            <w:vAlign w:val="center"/>
            <w:hideMark/>
          </w:tcPr>
          <w:p w14:paraId="3A53ADE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Compliance Manager</w:t>
            </w:r>
          </w:p>
        </w:tc>
      </w:tr>
      <w:tr w:rsidR="00224042" w:rsidRPr="00224042" w14:paraId="6FAB5ED4" w14:textId="77777777">
        <w:trPr>
          <w:tblCellSpacing w:w="15" w:type="dxa"/>
        </w:trPr>
        <w:tc>
          <w:tcPr>
            <w:tcW w:w="0" w:type="auto"/>
            <w:vAlign w:val="center"/>
            <w:hideMark/>
          </w:tcPr>
          <w:p w14:paraId="0BE836E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R6</w:t>
            </w:r>
          </w:p>
        </w:tc>
        <w:tc>
          <w:tcPr>
            <w:tcW w:w="0" w:type="auto"/>
            <w:vAlign w:val="center"/>
            <w:hideMark/>
          </w:tcPr>
          <w:p w14:paraId="668F9CB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Minor resource shortage</w:t>
            </w:r>
          </w:p>
        </w:tc>
        <w:tc>
          <w:tcPr>
            <w:tcW w:w="0" w:type="auto"/>
            <w:vAlign w:val="center"/>
            <w:hideMark/>
          </w:tcPr>
          <w:p w14:paraId="2E7B7C3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Operational</w:t>
            </w:r>
          </w:p>
        </w:tc>
        <w:tc>
          <w:tcPr>
            <w:tcW w:w="0" w:type="auto"/>
            <w:vAlign w:val="center"/>
            <w:hideMark/>
          </w:tcPr>
          <w:p w14:paraId="5259D14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vAlign w:val="center"/>
            <w:hideMark/>
          </w:tcPr>
          <w:p w14:paraId="5ABE759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vAlign w:val="center"/>
            <w:hideMark/>
          </w:tcPr>
          <w:p w14:paraId="57B147A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vAlign w:val="center"/>
            <w:hideMark/>
          </w:tcPr>
          <w:p w14:paraId="4716441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Accept/monitor</w:t>
            </w:r>
          </w:p>
        </w:tc>
        <w:tc>
          <w:tcPr>
            <w:tcW w:w="0" w:type="auto"/>
            <w:vAlign w:val="center"/>
            <w:hideMark/>
          </w:tcPr>
          <w:p w14:paraId="3C3F9E5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Team Leader</w:t>
            </w:r>
          </w:p>
        </w:tc>
      </w:tr>
    </w:tbl>
    <w:p w14:paraId="1C61CD5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i/>
          <w:iCs/>
          <w:szCs w:val="24"/>
        </w:rPr>
        <w:t>The numerical values are illustrative and demonstrate how a project risk register can be structured.</w:t>
      </w:r>
    </w:p>
    <w:p w14:paraId="6F0EA89D" w14:textId="695DF613" w:rsidR="00224042" w:rsidRPr="00224042" w:rsidRDefault="00224042" w:rsidP="00224042">
      <w:pPr>
        <w:spacing w:line="360" w:lineRule="auto"/>
        <w:rPr>
          <w:rFonts w:ascii="Times New Roman" w:hAnsi="Times New Roman" w:cs="Times New Roman"/>
          <w:szCs w:val="24"/>
        </w:rPr>
      </w:pPr>
    </w:p>
    <w:p w14:paraId="20678978"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Appendix B: Probability–Impact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1"/>
        <w:gridCol w:w="1234"/>
        <w:gridCol w:w="694"/>
        <w:gridCol w:w="1107"/>
        <w:gridCol w:w="747"/>
        <w:gridCol w:w="1302"/>
      </w:tblGrid>
      <w:tr w:rsidR="00224042" w:rsidRPr="00224042" w14:paraId="3D953DA4" w14:textId="77777777">
        <w:trPr>
          <w:tblHeader/>
          <w:tblCellSpacing w:w="15" w:type="dxa"/>
        </w:trPr>
        <w:tc>
          <w:tcPr>
            <w:tcW w:w="0" w:type="auto"/>
            <w:vAlign w:val="center"/>
            <w:hideMark/>
          </w:tcPr>
          <w:p w14:paraId="3F1192F1"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Probability ↓ / Impact →</w:t>
            </w:r>
          </w:p>
        </w:tc>
        <w:tc>
          <w:tcPr>
            <w:tcW w:w="0" w:type="auto"/>
            <w:vAlign w:val="center"/>
            <w:hideMark/>
          </w:tcPr>
          <w:p w14:paraId="203EF2EE"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1 Very Low</w:t>
            </w:r>
          </w:p>
        </w:tc>
        <w:tc>
          <w:tcPr>
            <w:tcW w:w="0" w:type="auto"/>
            <w:vAlign w:val="center"/>
            <w:hideMark/>
          </w:tcPr>
          <w:p w14:paraId="29FA63F6"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2 Low</w:t>
            </w:r>
          </w:p>
        </w:tc>
        <w:tc>
          <w:tcPr>
            <w:tcW w:w="0" w:type="auto"/>
            <w:vAlign w:val="center"/>
            <w:hideMark/>
          </w:tcPr>
          <w:p w14:paraId="05D9A37F"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3 Medium</w:t>
            </w:r>
          </w:p>
        </w:tc>
        <w:tc>
          <w:tcPr>
            <w:tcW w:w="0" w:type="auto"/>
            <w:vAlign w:val="center"/>
            <w:hideMark/>
          </w:tcPr>
          <w:p w14:paraId="0961EB6C"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4 High</w:t>
            </w:r>
          </w:p>
        </w:tc>
        <w:tc>
          <w:tcPr>
            <w:tcW w:w="0" w:type="auto"/>
            <w:vAlign w:val="center"/>
            <w:hideMark/>
          </w:tcPr>
          <w:p w14:paraId="0C914F20"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5 Very High</w:t>
            </w:r>
          </w:p>
        </w:tc>
      </w:tr>
      <w:tr w:rsidR="00224042" w:rsidRPr="00224042" w14:paraId="501155B2" w14:textId="77777777">
        <w:trPr>
          <w:tblCellSpacing w:w="15" w:type="dxa"/>
        </w:trPr>
        <w:tc>
          <w:tcPr>
            <w:tcW w:w="0" w:type="auto"/>
            <w:vAlign w:val="center"/>
            <w:hideMark/>
          </w:tcPr>
          <w:p w14:paraId="216A8D3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5 Almost Certain</w:t>
            </w:r>
          </w:p>
        </w:tc>
        <w:tc>
          <w:tcPr>
            <w:tcW w:w="0" w:type="auto"/>
            <w:vAlign w:val="center"/>
            <w:hideMark/>
          </w:tcPr>
          <w:p w14:paraId="0FB7C87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vAlign w:val="center"/>
            <w:hideMark/>
          </w:tcPr>
          <w:p w14:paraId="1891C55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10</w:t>
            </w:r>
          </w:p>
        </w:tc>
        <w:tc>
          <w:tcPr>
            <w:tcW w:w="0" w:type="auto"/>
            <w:vAlign w:val="center"/>
            <w:hideMark/>
          </w:tcPr>
          <w:p w14:paraId="2B4C3AC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15</w:t>
            </w:r>
          </w:p>
        </w:tc>
        <w:tc>
          <w:tcPr>
            <w:tcW w:w="0" w:type="auto"/>
            <w:vAlign w:val="center"/>
            <w:hideMark/>
          </w:tcPr>
          <w:p w14:paraId="2676AEA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20</w:t>
            </w:r>
          </w:p>
        </w:tc>
        <w:tc>
          <w:tcPr>
            <w:tcW w:w="0" w:type="auto"/>
            <w:vAlign w:val="center"/>
            <w:hideMark/>
          </w:tcPr>
          <w:p w14:paraId="3217A49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25</w:t>
            </w:r>
          </w:p>
        </w:tc>
      </w:tr>
      <w:tr w:rsidR="00224042" w:rsidRPr="00224042" w14:paraId="6E11DD11" w14:textId="77777777">
        <w:trPr>
          <w:tblCellSpacing w:w="15" w:type="dxa"/>
        </w:trPr>
        <w:tc>
          <w:tcPr>
            <w:tcW w:w="0" w:type="auto"/>
            <w:vAlign w:val="center"/>
            <w:hideMark/>
          </w:tcPr>
          <w:p w14:paraId="441173A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4 Likely</w:t>
            </w:r>
          </w:p>
        </w:tc>
        <w:tc>
          <w:tcPr>
            <w:tcW w:w="0" w:type="auto"/>
            <w:vAlign w:val="center"/>
            <w:hideMark/>
          </w:tcPr>
          <w:p w14:paraId="6C8E3C9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27B7107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8</w:t>
            </w:r>
          </w:p>
        </w:tc>
        <w:tc>
          <w:tcPr>
            <w:tcW w:w="0" w:type="auto"/>
            <w:vAlign w:val="center"/>
            <w:hideMark/>
          </w:tcPr>
          <w:p w14:paraId="34FECA0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12</w:t>
            </w:r>
          </w:p>
        </w:tc>
        <w:tc>
          <w:tcPr>
            <w:tcW w:w="0" w:type="auto"/>
            <w:vAlign w:val="center"/>
            <w:hideMark/>
          </w:tcPr>
          <w:p w14:paraId="2D99DFA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16</w:t>
            </w:r>
          </w:p>
        </w:tc>
        <w:tc>
          <w:tcPr>
            <w:tcW w:w="0" w:type="auto"/>
            <w:vAlign w:val="center"/>
            <w:hideMark/>
          </w:tcPr>
          <w:p w14:paraId="0326442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20</w:t>
            </w:r>
          </w:p>
        </w:tc>
      </w:tr>
      <w:tr w:rsidR="00224042" w:rsidRPr="00224042" w14:paraId="4DC6BCA8" w14:textId="77777777">
        <w:trPr>
          <w:tblCellSpacing w:w="15" w:type="dxa"/>
        </w:trPr>
        <w:tc>
          <w:tcPr>
            <w:tcW w:w="0" w:type="auto"/>
            <w:vAlign w:val="center"/>
            <w:hideMark/>
          </w:tcPr>
          <w:p w14:paraId="3E5ABEE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lastRenderedPageBreak/>
              <w:t>3 Possible</w:t>
            </w:r>
          </w:p>
        </w:tc>
        <w:tc>
          <w:tcPr>
            <w:tcW w:w="0" w:type="auto"/>
            <w:vAlign w:val="center"/>
            <w:hideMark/>
          </w:tcPr>
          <w:p w14:paraId="3A5A79B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vAlign w:val="center"/>
            <w:hideMark/>
          </w:tcPr>
          <w:p w14:paraId="3BFC142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vAlign w:val="center"/>
            <w:hideMark/>
          </w:tcPr>
          <w:p w14:paraId="509D2E1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9</w:t>
            </w:r>
          </w:p>
        </w:tc>
        <w:tc>
          <w:tcPr>
            <w:tcW w:w="0" w:type="auto"/>
            <w:vAlign w:val="center"/>
            <w:hideMark/>
          </w:tcPr>
          <w:p w14:paraId="38FE557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12</w:t>
            </w:r>
          </w:p>
        </w:tc>
        <w:tc>
          <w:tcPr>
            <w:tcW w:w="0" w:type="auto"/>
            <w:vAlign w:val="center"/>
            <w:hideMark/>
          </w:tcPr>
          <w:p w14:paraId="10209A2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15</w:t>
            </w:r>
          </w:p>
        </w:tc>
      </w:tr>
      <w:tr w:rsidR="00224042" w:rsidRPr="00224042" w14:paraId="51FD7B45" w14:textId="77777777">
        <w:trPr>
          <w:tblCellSpacing w:w="15" w:type="dxa"/>
        </w:trPr>
        <w:tc>
          <w:tcPr>
            <w:tcW w:w="0" w:type="auto"/>
            <w:vAlign w:val="center"/>
            <w:hideMark/>
          </w:tcPr>
          <w:p w14:paraId="5C4067D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2 Unlikely</w:t>
            </w:r>
          </w:p>
        </w:tc>
        <w:tc>
          <w:tcPr>
            <w:tcW w:w="0" w:type="auto"/>
            <w:vAlign w:val="center"/>
            <w:hideMark/>
          </w:tcPr>
          <w:p w14:paraId="2DDCE27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vAlign w:val="center"/>
            <w:hideMark/>
          </w:tcPr>
          <w:p w14:paraId="0DE9125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4171CAB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6</w:t>
            </w:r>
          </w:p>
        </w:tc>
        <w:tc>
          <w:tcPr>
            <w:tcW w:w="0" w:type="auto"/>
            <w:vAlign w:val="center"/>
            <w:hideMark/>
          </w:tcPr>
          <w:p w14:paraId="457B3F1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8</w:t>
            </w:r>
          </w:p>
        </w:tc>
        <w:tc>
          <w:tcPr>
            <w:tcW w:w="0" w:type="auto"/>
            <w:vAlign w:val="center"/>
            <w:hideMark/>
          </w:tcPr>
          <w:p w14:paraId="242F9F4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10</w:t>
            </w:r>
          </w:p>
        </w:tc>
      </w:tr>
      <w:tr w:rsidR="00224042" w:rsidRPr="00224042" w14:paraId="7F2C0D73" w14:textId="77777777">
        <w:trPr>
          <w:tblCellSpacing w:w="15" w:type="dxa"/>
        </w:trPr>
        <w:tc>
          <w:tcPr>
            <w:tcW w:w="0" w:type="auto"/>
            <w:vAlign w:val="center"/>
            <w:hideMark/>
          </w:tcPr>
          <w:p w14:paraId="046EED2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1 Rare</w:t>
            </w:r>
          </w:p>
        </w:tc>
        <w:tc>
          <w:tcPr>
            <w:tcW w:w="0" w:type="auto"/>
            <w:vAlign w:val="center"/>
            <w:hideMark/>
          </w:tcPr>
          <w:p w14:paraId="2E8D621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w:t>
            </w:r>
          </w:p>
        </w:tc>
        <w:tc>
          <w:tcPr>
            <w:tcW w:w="0" w:type="auto"/>
            <w:vAlign w:val="center"/>
            <w:hideMark/>
          </w:tcPr>
          <w:p w14:paraId="00F7D8A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2</w:t>
            </w:r>
          </w:p>
        </w:tc>
        <w:tc>
          <w:tcPr>
            <w:tcW w:w="0" w:type="auto"/>
            <w:vAlign w:val="center"/>
            <w:hideMark/>
          </w:tcPr>
          <w:p w14:paraId="3F404F0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w:t>
            </w:r>
          </w:p>
        </w:tc>
        <w:tc>
          <w:tcPr>
            <w:tcW w:w="0" w:type="auto"/>
            <w:vAlign w:val="center"/>
            <w:hideMark/>
          </w:tcPr>
          <w:p w14:paraId="21245B6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4</w:t>
            </w:r>
          </w:p>
        </w:tc>
        <w:tc>
          <w:tcPr>
            <w:tcW w:w="0" w:type="auto"/>
            <w:vAlign w:val="center"/>
            <w:hideMark/>
          </w:tcPr>
          <w:p w14:paraId="0AD3ECB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r>
    </w:tbl>
    <w:p w14:paraId="580CFC1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b/>
          <w:bCs/>
          <w:szCs w:val="24"/>
        </w:rPr>
        <w:t>Suggested interpretation:</w:t>
      </w:r>
      <w:r w:rsidRPr="00224042">
        <w:rPr>
          <w:rFonts w:ascii="Times New Roman" w:hAnsi="Times New Roman" w:cs="Times New Roman"/>
          <w:szCs w:val="24"/>
        </w:rPr>
        <w:br/>
      </w:r>
      <w:r w:rsidRPr="00224042">
        <w:rPr>
          <w:rFonts w:ascii="Times New Roman" w:hAnsi="Times New Roman" w:cs="Times New Roman"/>
          <w:b/>
          <w:bCs/>
          <w:szCs w:val="24"/>
        </w:rPr>
        <w:t>1–4 = Low | 5–9 = Moderate | 10–14 = High | 15–25 = Very High</w:t>
      </w:r>
    </w:p>
    <w:p w14:paraId="053026B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The exact thresholds should be adjusted to reflect the organisation's risk appetite rather than treated as universal standards.</w:t>
      </w:r>
    </w:p>
    <w:p w14:paraId="234A404E" w14:textId="61FAB0D0" w:rsidR="00224042" w:rsidRPr="00224042" w:rsidRDefault="00224042" w:rsidP="00224042">
      <w:pPr>
        <w:spacing w:line="360" w:lineRule="auto"/>
        <w:rPr>
          <w:rFonts w:ascii="Times New Roman" w:hAnsi="Times New Roman" w:cs="Times New Roman"/>
          <w:szCs w:val="24"/>
        </w:rPr>
      </w:pPr>
    </w:p>
    <w:p w14:paraId="7291B38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Appendix C: Risk Response Decision Framework</w:t>
      </w:r>
    </w:p>
    <w:p w14:paraId="5AA1D91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IDENTIFIED RISK</w:t>
      </w:r>
    </w:p>
    <w:p w14:paraId="0E11983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5409B93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1414670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ASSESS PROBABILITY</w:t>
      </w:r>
    </w:p>
    <w:p w14:paraId="6DC03EE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AND IMPACT</w:t>
      </w:r>
    </w:p>
    <w:p w14:paraId="033AA80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7C4BA76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7D61ABA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PRIORITISE RISK</w:t>
      </w:r>
    </w:p>
    <w:p w14:paraId="27030E0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3B3E96E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6B2F429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               ▼               ▼</w:t>
      </w:r>
    </w:p>
    <w:p w14:paraId="0F1AFA5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Can exposure      Can exposure     Is treatment</w:t>
      </w:r>
    </w:p>
    <w:p w14:paraId="1903BBB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be eliminated?    be reduced?      cost-effective?</w:t>
      </w:r>
    </w:p>
    <w:p w14:paraId="3F44637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lastRenderedPageBreak/>
        <w:t xml:space="preserve">          │               │               │</w:t>
      </w:r>
    </w:p>
    <w:p w14:paraId="3DA7E6B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roofErr w:type="gramStart"/>
      <w:r w:rsidRPr="00224042">
        <w:rPr>
          <w:rFonts w:ascii="Times New Roman" w:hAnsi="Times New Roman" w:cs="Times New Roman"/>
          <w:szCs w:val="24"/>
        </w:rPr>
        <w:t>YES</w:t>
      </w:r>
      <w:proofErr w:type="gramEnd"/>
      <w:r w:rsidRPr="00224042">
        <w:rPr>
          <w:rFonts w:ascii="Times New Roman" w:hAnsi="Times New Roman" w:cs="Times New Roman"/>
          <w:szCs w:val="24"/>
        </w:rPr>
        <w:t xml:space="preserve">              </w:t>
      </w:r>
      <w:proofErr w:type="spellStart"/>
      <w:r w:rsidRPr="00224042">
        <w:rPr>
          <w:rFonts w:ascii="Times New Roman" w:hAnsi="Times New Roman" w:cs="Times New Roman"/>
          <w:szCs w:val="24"/>
        </w:rPr>
        <w:t>YES</w:t>
      </w:r>
      <w:proofErr w:type="spellEnd"/>
      <w:r w:rsidRPr="00224042">
        <w:rPr>
          <w:rFonts w:ascii="Times New Roman" w:hAnsi="Times New Roman" w:cs="Times New Roman"/>
          <w:szCs w:val="24"/>
        </w:rPr>
        <w:t xml:space="preserve">              NO</w:t>
      </w:r>
    </w:p>
    <w:p w14:paraId="6D4A5C8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               │               │</w:t>
      </w:r>
    </w:p>
    <w:p w14:paraId="58CBCE4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               ▼               ▼</w:t>
      </w:r>
    </w:p>
    <w:p w14:paraId="1DB4642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AVOID          MITIGATE          ACCEPT</w:t>
      </w:r>
    </w:p>
    <w:p w14:paraId="2C735CD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60BDD68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6DDB25B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Can financial/operational</w:t>
      </w:r>
    </w:p>
    <w:p w14:paraId="0B4304A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exposure be allocated?</w:t>
      </w:r>
    </w:p>
    <w:p w14:paraId="2516111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5A99C54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YES</w:t>
      </w:r>
    </w:p>
    <w:p w14:paraId="58329B5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287E7BA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175A72B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TRANSFER</w:t>
      </w:r>
    </w:p>
    <w:p w14:paraId="03F0719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3A415DE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78BD4B4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CONTINGENCY PLANNING</w:t>
      </w:r>
    </w:p>
    <w:p w14:paraId="10FDB82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708DEC5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w:t>
      </w:r>
    </w:p>
    <w:p w14:paraId="0FB1508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                 MONITOR &amp; REVIEW</w:t>
      </w:r>
    </w:p>
    <w:p w14:paraId="206A18A4" w14:textId="03D8E386" w:rsidR="00224042" w:rsidRDefault="00224042" w:rsidP="00224042">
      <w:pPr>
        <w:spacing w:line="360" w:lineRule="auto"/>
        <w:rPr>
          <w:rFonts w:ascii="Times New Roman" w:hAnsi="Times New Roman" w:cs="Times New Roman"/>
          <w:szCs w:val="24"/>
        </w:rPr>
      </w:pPr>
    </w:p>
    <w:p w14:paraId="54398276" w14:textId="77777777" w:rsidR="00224042" w:rsidRDefault="00224042" w:rsidP="00224042">
      <w:pPr>
        <w:spacing w:line="360" w:lineRule="auto"/>
        <w:rPr>
          <w:rFonts w:ascii="Times New Roman" w:hAnsi="Times New Roman" w:cs="Times New Roman"/>
          <w:szCs w:val="24"/>
        </w:rPr>
      </w:pPr>
    </w:p>
    <w:p w14:paraId="1561BF75" w14:textId="77777777" w:rsidR="00224042" w:rsidRPr="00224042" w:rsidRDefault="00224042" w:rsidP="00224042">
      <w:pPr>
        <w:spacing w:line="360" w:lineRule="auto"/>
        <w:rPr>
          <w:rFonts w:ascii="Times New Roman" w:hAnsi="Times New Roman" w:cs="Times New Roman"/>
          <w:szCs w:val="24"/>
        </w:rPr>
      </w:pPr>
    </w:p>
    <w:p w14:paraId="214012C3"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lastRenderedPageBreak/>
        <w:t>Appendix D: Risk Monitoring Dashboard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0"/>
        <w:gridCol w:w="2703"/>
        <w:gridCol w:w="2097"/>
        <w:gridCol w:w="2480"/>
      </w:tblGrid>
      <w:tr w:rsidR="00224042" w:rsidRPr="00224042" w14:paraId="6F7C195B" w14:textId="77777777">
        <w:trPr>
          <w:tblHeader/>
          <w:tblCellSpacing w:w="15" w:type="dxa"/>
        </w:trPr>
        <w:tc>
          <w:tcPr>
            <w:tcW w:w="0" w:type="auto"/>
            <w:vAlign w:val="center"/>
            <w:hideMark/>
          </w:tcPr>
          <w:p w14:paraId="321C8BBF"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Indicator</w:t>
            </w:r>
          </w:p>
        </w:tc>
        <w:tc>
          <w:tcPr>
            <w:tcW w:w="0" w:type="auto"/>
            <w:vAlign w:val="center"/>
            <w:hideMark/>
          </w:tcPr>
          <w:p w14:paraId="0C29EE1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Measure</w:t>
            </w:r>
          </w:p>
        </w:tc>
        <w:tc>
          <w:tcPr>
            <w:tcW w:w="0" w:type="auto"/>
            <w:vAlign w:val="center"/>
            <w:hideMark/>
          </w:tcPr>
          <w:p w14:paraId="3FA08C34"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Warning Trigger</w:t>
            </w:r>
          </w:p>
        </w:tc>
        <w:tc>
          <w:tcPr>
            <w:tcW w:w="0" w:type="auto"/>
            <w:vAlign w:val="center"/>
            <w:hideMark/>
          </w:tcPr>
          <w:p w14:paraId="0D2F6D2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Management Action</w:t>
            </w:r>
          </w:p>
        </w:tc>
      </w:tr>
      <w:tr w:rsidR="00224042" w:rsidRPr="00224042" w14:paraId="770DA231" w14:textId="77777777">
        <w:trPr>
          <w:tblCellSpacing w:w="15" w:type="dxa"/>
        </w:trPr>
        <w:tc>
          <w:tcPr>
            <w:tcW w:w="0" w:type="auto"/>
            <w:vAlign w:val="center"/>
            <w:hideMark/>
          </w:tcPr>
          <w:p w14:paraId="06E5B93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Critical risks</w:t>
            </w:r>
          </w:p>
        </w:tc>
        <w:tc>
          <w:tcPr>
            <w:tcW w:w="0" w:type="auto"/>
            <w:vAlign w:val="center"/>
            <w:hideMark/>
          </w:tcPr>
          <w:p w14:paraId="3600125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Number of very-high risks</w:t>
            </w:r>
          </w:p>
        </w:tc>
        <w:tc>
          <w:tcPr>
            <w:tcW w:w="0" w:type="auto"/>
            <w:vAlign w:val="center"/>
            <w:hideMark/>
          </w:tcPr>
          <w:p w14:paraId="3BCC110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Increasing trend</w:t>
            </w:r>
          </w:p>
        </w:tc>
        <w:tc>
          <w:tcPr>
            <w:tcW w:w="0" w:type="auto"/>
            <w:vAlign w:val="center"/>
            <w:hideMark/>
          </w:tcPr>
          <w:p w14:paraId="1EB73F8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Senior review</w:t>
            </w:r>
          </w:p>
        </w:tc>
      </w:tr>
      <w:tr w:rsidR="00224042" w:rsidRPr="00224042" w14:paraId="4F47C7D9" w14:textId="77777777">
        <w:trPr>
          <w:tblCellSpacing w:w="15" w:type="dxa"/>
        </w:trPr>
        <w:tc>
          <w:tcPr>
            <w:tcW w:w="0" w:type="auto"/>
            <w:vAlign w:val="center"/>
            <w:hideMark/>
          </w:tcPr>
          <w:p w14:paraId="611424D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Cost exposure</w:t>
            </w:r>
          </w:p>
        </w:tc>
        <w:tc>
          <w:tcPr>
            <w:tcW w:w="0" w:type="auto"/>
            <w:vAlign w:val="center"/>
            <w:hideMark/>
          </w:tcPr>
          <w:p w14:paraId="5CD538D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Expected financial exposure</w:t>
            </w:r>
          </w:p>
        </w:tc>
        <w:tc>
          <w:tcPr>
            <w:tcW w:w="0" w:type="auto"/>
            <w:vAlign w:val="center"/>
            <w:hideMark/>
          </w:tcPr>
          <w:p w14:paraId="7AF39FC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Above contingency</w:t>
            </w:r>
          </w:p>
        </w:tc>
        <w:tc>
          <w:tcPr>
            <w:tcW w:w="0" w:type="auto"/>
            <w:vAlign w:val="center"/>
            <w:hideMark/>
          </w:tcPr>
          <w:p w14:paraId="6F4543D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Budget reassessment</w:t>
            </w:r>
          </w:p>
        </w:tc>
      </w:tr>
      <w:tr w:rsidR="00224042" w:rsidRPr="00224042" w14:paraId="32C0A370" w14:textId="77777777">
        <w:trPr>
          <w:tblCellSpacing w:w="15" w:type="dxa"/>
        </w:trPr>
        <w:tc>
          <w:tcPr>
            <w:tcW w:w="0" w:type="auto"/>
            <w:vAlign w:val="center"/>
            <w:hideMark/>
          </w:tcPr>
          <w:p w14:paraId="0FCAB3B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Supplier risk</w:t>
            </w:r>
          </w:p>
        </w:tc>
        <w:tc>
          <w:tcPr>
            <w:tcW w:w="0" w:type="auto"/>
            <w:vAlign w:val="center"/>
            <w:hideMark/>
          </w:tcPr>
          <w:p w14:paraId="6E5D2BD3"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Lead-time variance</w:t>
            </w:r>
          </w:p>
        </w:tc>
        <w:tc>
          <w:tcPr>
            <w:tcW w:w="0" w:type="auto"/>
            <w:vAlign w:val="center"/>
            <w:hideMark/>
          </w:tcPr>
          <w:p w14:paraId="07672E4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&gt;20% increase</w:t>
            </w:r>
          </w:p>
        </w:tc>
        <w:tc>
          <w:tcPr>
            <w:tcW w:w="0" w:type="auto"/>
            <w:vAlign w:val="center"/>
            <w:hideMark/>
          </w:tcPr>
          <w:p w14:paraId="1C66E73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Activate alternative supplier</w:t>
            </w:r>
          </w:p>
        </w:tc>
      </w:tr>
      <w:tr w:rsidR="00224042" w:rsidRPr="00224042" w14:paraId="50571585" w14:textId="77777777">
        <w:trPr>
          <w:tblCellSpacing w:w="15" w:type="dxa"/>
        </w:trPr>
        <w:tc>
          <w:tcPr>
            <w:tcW w:w="0" w:type="auto"/>
            <w:vAlign w:val="center"/>
            <w:hideMark/>
          </w:tcPr>
          <w:p w14:paraId="234AC89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Schedule risk</w:t>
            </w:r>
          </w:p>
        </w:tc>
        <w:tc>
          <w:tcPr>
            <w:tcW w:w="0" w:type="auto"/>
            <w:vAlign w:val="center"/>
            <w:hideMark/>
          </w:tcPr>
          <w:p w14:paraId="06FE3EF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Critical milestone slippage</w:t>
            </w:r>
          </w:p>
        </w:tc>
        <w:tc>
          <w:tcPr>
            <w:tcW w:w="0" w:type="auto"/>
            <w:vAlign w:val="center"/>
            <w:hideMark/>
          </w:tcPr>
          <w:p w14:paraId="62C1879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&gt;10% variance</w:t>
            </w:r>
          </w:p>
        </w:tc>
        <w:tc>
          <w:tcPr>
            <w:tcW w:w="0" w:type="auto"/>
            <w:vAlign w:val="center"/>
            <w:hideMark/>
          </w:tcPr>
          <w:p w14:paraId="357B256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Recovery plan</w:t>
            </w:r>
          </w:p>
        </w:tc>
      </w:tr>
      <w:tr w:rsidR="00224042" w:rsidRPr="00224042" w14:paraId="3FD5303A" w14:textId="77777777">
        <w:trPr>
          <w:tblCellSpacing w:w="15" w:type="dxa"/>
        </w:trPr>
        <w:tc>
          <w:tcPr>
            <w:tcW w:w="0" w:type="auto"/>
            <w:vAlign w:val="center"/>
            <w:hideMark/>
          </w:tcPr>
          <w:p w14:paraId="37E16A2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Technology risk</w:t>
            </w:r>
          </w:p>
        </w:tc>
        <w:tc>
          <w:tcPr>
            <w:tcW w:w="0" w:type="auto"/>
            <w:vAlign w:val="center"/>
            <w:hideMark/>
          </w:tcPr>
          <w:p w14:paraId="5DB1538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Critical defects</w:t>
            </w:r>
          </w:p>
        </w:tc>
        <w:tc>
          <w:tcPr>
            <w:tcW w:w="0" w:type="auto"/>
            <w:vAlign w:val="center"/>
            <w:hideMark/>
          </w:tcPr>
          <w:p w14:paraId="76DE05D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Above agreed threshold</w:t>
            </w:r>
          </w:p>
        </w:tc>
        <w:tc>
          <w:tcPr>
            <w:tcW w:w="0" w:type="auto"/>
            <w:vAlign w:val="center"/>
            <w:hideMark/>
          </w:tcPr>
          <w:p w14:paraId="3E939C0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Technical intervention</w:t>
            </w:r>
          </w:p>
        </w:tc>
      </w:tr>
      <w:tr w:rsidR="00224042" w:rsidRPr="00224042" w14:paraId="212F5C0F" w14:textId="77777777">
        <w:trPr>
          <w:tblCellSpacing w:w="15" w:type="dxa"/>
        </w:trPr>
        <w:tc>
          <w:tcPr>
            <w:tcW w:w="0" w:type="auto"/>
            <w:vAlign w:val="center"/>
            <w:hideMark/>
          </w:tcPr>
          <w:p w14:paraId="70A7F4B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Stakeholder risk</w:t>
            </w:r>
          </w:p>
        </w:tc>
        <w:tc>
          <w:tcPr>
            <w:tcW w:w="0" w:type="auto"/>
            <w:vAlign w:val="center"/>
            <w:hideMark/>
          </w:tcPr>
          <w:p w14:paraId="7662F90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Participation/satisfaction</w:t>
            </w:r>
          </w:p>
        </w:tc>
        <w:tc>
          <w:tcPr>
            <w:tcW w:w="0" w:type="auto"/>
            <w:vAlign w:val="center"/>
            <w:hideMark/>
          </w:tcPr>
          <w:p w14:paraId="4DF93DF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Declining trend</w:t>
            </w:r>
          </w:p>
        </w:tc>
        <w:tc>
          <w:tcPr>
            <w:tcW w:w="0" w:type="auto"/>
            <w:vAlign w:val="center"/>
            <w:hideMark/>
          </w:tcPr>
          <w:p w14:paraId="6DCB094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Engagement review</w:t>
            </w:r>
          </w:p>
        </w:tc>
      </w:tr>
      <w:tr w:rsidR="00224042" w:rsidRPr="00224042" w14:paraId="780400CC" w14:textId="77777777">
        <w:trPr>
          <w:tblCellSpacing w:w="15" w:type="dxa"/>
        </w:trPr>
        <w:tc>
          <w:tcPr>
            <w:tcW w:w="0" w:type="auto"/>
            <w:vAlign w:val="center"/>
            <w:hideMark/>
          </w:tcPr>
          <w:p w14:paraId="30EB63B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Response effectiveness</w:t>
            </w:r>
          </w:p>
        </w:tc>
        <w:tc>
          <w:tcPr>
            <w:tcW w:w="0" w:type="auto"/>
            <w:vAlign w:val="center"/>
            <w:hideMark/>
          </w:tcPr>
          <w:p w14:paraId="515D737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Overdue mitigation actions</w:t>
            </w:r>
          </w:p>
        </w:tc>
        <w:tc>
          <w:tcPr>
            <w:tcW w:w="0" w:type="auto"/>
            <w:vAlign w:val="center"/>
            <w:hideMark/>
          </w:tcPr>
          <w:p w14:paraId="092486F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&gt;10% overdue</w:t>
            </w:r>
          </w:p>
        </w:tc>
        <w:tc>
          <w:tcPr>
            <w:tcW w:w="0" w:type="auto"/>
            <w:vAlign w:val="center"/>
            <w:hideMark/>
          </w:tcPr>
          <w:p w14:paraId="595A4B3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Escalate to risk owner</w:t>
            </w:r>
          </w:p>
        </w:tc>
      </w:tr>
    </w:tbl>
    <w:p w14:paraId="4C9F9C6D" w14:textId="7BEB102F" w:rsidR="00224042" w:rsidRPr="00224042" w:rsidRDefault="00224042" w:rsidP="00224042">
      <w:pPr>
        <w:spacing w:line="360" w:lineRule="auto"/>
        <w:rPr>
          <w:rFonts w:ascii="Times New Roman" w:hAnsi="Times New Roman" w:cs="Times New Roman"/>
          <w:szCs w:val="24"/>
        </w:rPr>
      </w:pPr>
    </w:p>
    <w:p w14:paraId="2240E76D"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Appendix E: Scenario Analysis Template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5"/>
        <w:gridCol w:w="2094"/>
        <w:gridCol w:w="1760"/>
        <w:gridCol w:w="2714"/>
      </w:tblGrid>
      <w:tr w:rsidR="00224042" w:rsidRPr="00224042" w14:paraId="0A972CBA" w14:textId="77777777">
        <w:trPr>
          <w:tblHeader/>
          <w:tblCellSpacing w:w="15" w:type="dxa"/>
        </w:trPr>
        <w:tc>
          <w:tcPr>
            <w:tcW w:w="0" w:type="auto"/>
            <w:vAlign w:val="center"/>
            <w:hideMark/>
          </w:tcPr>
          <w:p w14:paraId="2EFB14A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Variable</w:t>
            </w:r>
          </w:p>
        </w:tc>
        <w:tc>
          <w:tcPr>
            <w:tcW w:w="0" w:type="auto"/>
            <w:vAlign w:val="center"/>
            <w:hideMark/>
          </w:tcPr>
          <w:p w14:paraId="7154B651"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Optimistic Scenario</w:t>
            </w:r>
          </w:p>
        </w:tc>
        <w:tc>
          <w:tcPr>
            <w:tcW w:w="0" w:type="auto"/>
            <w:vAlign w:val="center"/>
            <w:hideMark/>
          </w:tcPr>
          <w:p w14:paraId="59E3253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Base Scenario</w:t>
            </w:r>
          </w:p>
        </w:tc>
        <w:tc>
          <w:tcPr>
            <w:tcW w:w="0" w:type="auto"/>
            <w:vAlign w:val="center"/>
            <w:hideMark/>
          </w:tcPr>
          <w:p w14:paraId="7A18202C"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Adverse Scenario</w:t>
            </w:r>
          </w:p>
        </w:tc>
      </w:tr>
      <w:tr w:rsidR="00224042" w:rsidRPr="00224042" w14:paraId="6161EB7E" w14:textId="77777777">
        <w:trPr>
          <w:tblCellSpacing w:w="15" w:type="dxa"/>
        </w:trPr>
        <w:tc>
          <w:tcPr>
            <w:tcW w:w="0" w:type="auto"/>
            <w:vAlign w:val="center"/>
            <w:hideMark/>
          </w:tcPr>
          <w:p w14:paraId="649B8F0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Material costs</w:t>
            </w:r>
          </w:p>
        </w:tc>
        <w:tc>
          <w:tcPr>
            <w:tcW w:w="0" w:type="auto"/>
            <w:vAlign w:val="center"/>
            <w:hideMark/>
          </w:tcPr>
          <w:p w14:paraId="3ECB910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−5%</w:t>
            </w:r>
          </w:p>
        </w:tc>
        <w:tc>
          <w:tcPr>
            <w:tcW w:w="0" w:type="auto"/>
            <w:vAlign w:val="center"/>
            <w:hideMark/>
          </w:tcPr>
          <w:p w14:paraId="2287B94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Planned</w:t>
            </w:r>
          </w:p>
        </w:tc>
        <w:tc>
          <w:tcPr>
            <w:tcW w:w="0" w:type="auto"/>
            <w:vAlign w:val="center"/>
            <w:hideMark/>
          </w:tcPr>
          <w:p w14:paraId="4BDC66D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+15%</w:t>
            </w:r>
          </w:p>
        </w:tc>
      </w:tr>
      <w:tr w:rsidR="00224042" w:rsidRPr="00224042" w14:paraId="45864D89" w14:textId="77777777">
        <w:trPr>
          <w:tblCellSpacing w:w="15" w:type="dxa"/>
        </w:trPr>
        <w:tc>
          <w:tcPr>
            <w:tcW w:w="0" w:type="auto"/>
            <w:vAlign w:val="center"/>
            <w:hideMark/>
          </w:tcPr>
          <w:p w14:paraId="0494331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Supplier lead time</w:t>
            </w:r>
          </w:p>
        </w:tc>
        <w:tc>
          <w:tcPr>
            <w:tcW w:w="0" w:type="auto"/>
            <w:vAlign w:val="center"/>
            <w:hideMark/>
          </w:tcPr>
          <w:p w14:paraId="4479C06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−10%</w:t>
            </w:r>
          </w:p>
        </w:tc>
        <w:tc>
          <w:tcPr>
            <w:tcW w:w="0" w:type="auto"/>
            <w:vAlign w:val="center"/>
            <w:hideMark/>
          </w:tcPr>
          <w:p w14:paraId="0DD79D6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Planned</w:t>
            </w:r>
          </w:p>
        </w:tc>
        <w:tc>
          <w:tcPr>
            <w:tcW w:w="0" w:type="auto"/>
            <w:vAlign w:val="center"/>
            <w:hideMark/>
          </w:tcPr>
          <w:p w14:paraId="23BDDAF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+30%</w:t>
            </w:r>
          </w:p>
        </w:tc>
      </w:tr>
      <w:tr w:rsidR="00224042" w:rsidRPr="00224042" w14:paraId="377DBACC" w14:textId="77777777">
        <w:trPr>
          <w:tblCellSpacing w:w="15" w:type="dxa"/>
        </w:trPr>
        <w:tc>
          <w:tcPr>
            <w:tcW w:w="0" w:type="auto"/>
            <w:vAlign w:val="center"/>
            <w:hideMark/>
          </w:tcPr>
          <w:p w14:paraId="4C595AC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Project duration</w:t>
            </w:r>
          </w:p>
        </w:tc>
        <w:tc>
          <w:tcPr>
            <w:tcW w:w="0" w:type="auto"/>
            <w:vAlign w:val="center"/>
            <w:hideMark/>
          </w:tcPr>
          <w:p w14:paraId="1AFBA41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Earlier completion</w:t>
            </w:r>
          </w:p>
        </w:tc>
        <w:tc>
          <w:tcPr>
            <w:tcW w:w="0" w:type="auto"/>
            <w:vAlign w:val="center"/>
            <w:hideMark/>
          </w:tcPr>
          <w:p w14:paraId="42D2B12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Planned</w:t>
            </w:r>
          </w:p>
        </w:tc>
        <w:tc>
          <w:tcPr>
            <w:tcW w:w="0" w:type="auto"/>
            <w:vAlign w:val="center"/>
            <w:hideMark/>
          </w:tcPr>
          <w:p w14:paraId="27E2810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Significant delay</w:t>
            </w:r>
          </w:p>
        </w:tc>
      </w:tr>
      <w:tr w:rsidR="00224042" w:rsidRPr="00224042" w14:paraId="4F3E35B0" w14:textId="77777777">
        <w:trPr>
          <w:tblCellSpacing w:w="15" w:type="dxa"/>
        </w:trPr>
        <w:tc>
          <w:tcPr>
            <w:tcW w:w="0" w:type="auto"/>
            <w:vAlign w:val="center"/>
            <w:hideMark/>
          </w:tcPr>
          <w:p w14:paraId="6D73ED3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Resource availability</w:t>
            </w:r>
          </w:p>
        </w:tc>
        <w:tc>
          <w:tcPr>
            <w:tcW w:w="0" w:type="auto"/>
            <w:vAlign w:val="center"/>
            <w:hideMark/>
          </w:tcPr>
          <w:p w14:paraId="136121C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Full availability</w:t>
            </w:r>
          </w:p>
        </w:tc>
        <w:tc>
          <w:tcPr>
            <w:tcW w:w="0" w:type="auto"/>
            <w:vAlign w:val="center"/>
            <w:hideMark/>
          </w:tcPr>
          <w:p w14:paraId="105A1A2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Minor constraints</w:t>
            </w:r>
          </w:p>
        </w:tc>
        <w:tc>
          <w:tcPr>
            <w:tcW w:w="0" w:type="auto"/>
            <w:vAlign w:val="center"/>
            <w:hideMark/>
          </w:tcPr>
          <w:p w14:paraId="6BA90BF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Critical shortages</w:t>
            </w:r>
          </w:p>
        </w:tc>
      </w:tr>
      <w:tr w:rsidR="00224042" w:rsidRPr="00224042" w14:paraId="0E76E27A" w14:textId="77777777">
        <w:trPr>
          <w:tblCellSpacing w:w="15" w:type="dxa"/>
        </w:trPr>
        <w:tc>
          <w:tcPr>
            <w:tcW w:w="0" w:type="auto"/>
            <w:vAlign w:val="center"/>
            <w:hideMark/>
          </w:tcPr>
          <w:p w14:paraId="209E8B1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Regulatory environment</w:t>
            </w:r>
          </w:p>
        </w:tc>
        <w:tc>
          <w:tcPr>
            <w:tcW w:w="0" w:type="auto"/>
            <w:vAlign w:val="center"/>
            <w:hideMark/>
          </w:tcPr>
          <w:p w14:paraId="7D4B99C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Stable</w:t>
            </w:r>
          </w:p>
        </w:tc>
        <w:tc>
          <w:tcPr>
            <w:tcW w:w="0" w:type="auto"/>
            <w:vAlign w:val="center"/>
            <w:hideMark/>
          </w:tcPr>
          <w:p w14:paraId="58570A4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Minor change</w:t>
            </w:r>
          </w:p>
        </w:tc>
        <w:tc>
          <w:tcPr>
            <w:tcW w:w="0" w:type="auto"/>
            <w:vAlign w:val="center"/>
            <w:hideMark/>
          </w:tcPr>
          <w:p w14:paraId="1E3265C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Major requirements change</w:t>
            </w:r>
          </w:p>
        </w:tc>
      </w:tr>
      <w:tr w:rsidR="00224042" w:rsidRPr="00224042" w14:paraId="66E6C7EF" w14:textId="77777777">
        <w:trPr>
          <w:tblCellSpacing w:w="15" w:type="dxa"/>
        </w:trPr>
        <w:tc>
          <w:tcPr>
            <w:tcW w:w="0" w:type="auto"/>
            <w:vAlign w:val="center"/>
            <w:hideMark/>
          </w:tcPr>
          <w:p w14:paraId="01DB26B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Overall project impact</w:t>
            </w:r>
          </w:p>
        </w:tc>
        <w:tc>
          <w:tcPr>
            <w:tcW w:w="0" w:type="auto"/>
            <w:vAlign w:val="center"/>
            <w:hideMark/>
          </w:tcPr>
          <w:p w14:paraId="4F69A78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Positive</w:t>
            </w:r>
          </w:p>
        </w:tc>
        <w:tc>
          <w:tcPr>
            <w:tcW w:w="0" w:type="auto"/>
            <w:vAlign w:val="center"/>
            <w:hideMark/>
          </w:tcPr>
          <w:p w14:paraId="234DC15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Manageable</w:t>
            </w:r>
          </w:p>
        </w:tc>
        <w:tc>
          <w:tcPr>
            <w:tcW w:w="0" w:type="auto"/>
            <w:vAlign w:val="center"/>
            <w:hideMark/>
          </w:tcPr>
          <w:p w14:paraId="78FEED6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Major cost/time pressure</w:t>
            </w:r>
          </w:p>
        </w:tc>
      </w:tr>
    </w:tbl>
    <w:p w14:paraId="3E91002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i/>
          <w:iCs/>
          <w:szCs w:val="24"/>
        </w:rPr>
        <w:lastRenderedPageBreak/>
        <w:t>These percentages are illustrative and should be replaced with project-specific assumptions when the framework is applied to a real project.</w:t>
      </w:r>
    </w:p>
    <w:p w14:paraId="5BBFBA53" w14:textId="3DAEF49D" w:rsidR="00224042" w:rsidRPr="00224042" w:rsidRDefault="00224042" w:rsidP="00224042">
      <w:pPr>
        <w:spacing w:line="360" w:lineRule="auto"/>
        <w:rPr>
          <w:rFonts w:ascii="Times New Roman" w:hAnsi="Times New Roman" w:cs="Times New Roman"/>
          <w:szCs w:val="24"/>
        </w:rPr>
      </w:pPr>
    </w:p>
    <w:p w14:paraId="655BDA0B"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Appendix F: Risk Review Checklist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47"/>
        <w:gridCol w:w="3383"/>
      </w:tblGrid>
      <w:tr w:rsidR="00224042" w:rsidRPr="00224042" w14:paraId="7970D249" w14:textId="77777777">
        <w:trPr>
          <w:tblHeader/>
          <w:tblCellSpacing w:w="15" w:type="dxa"/>
        </w:trPr>
        <w:tc>
          <w:tcPr>
            <w:tcW w:w="0" w:type="auto"/>
            <w:vAlign w:val="center"/>
            <w:hideMark/>
          </w:tcPr>
          <w:p w14:paraId="0FC8B450"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Review Question</w:t>
            </w:r>
          </w:p>
        </w:tc>
        <w:tc>
          <w:tcPr>
            <w:tcW w:w="0" w:type="auto"/>
            <w:vAlign w:val="center"/>
            <w:hideMark/>
          </w:tcPr>
          <w:p w14:paraId="21BA0C26" w14:textId="77777777" w:rsidR="00224042" w:rsidRPr="00224042" w:rsidRDefault="00224042" w:rsidP="00224042">
            <w:pPr>
              <w:spacing w:line="360" w:lineRule="auto"/>
              <w:rPr>
                <w:rFonts w:ascii="Times New Roman" w:hAnsi="Times New Roman" w:cs="Times New Roman"/>
                <w:b/>
                <w:bCs/>
                <w:szCs w:val="24"/>
              </w:rPr>
            </w:pPr>
            <w:r w:rsidRPr="00224042">
              <w:rPr>
                <w:rFonts w:ascii="Times New Roman" w:hAnsi="Times New Roman" w:cs="Times New Roman"/>
                <w:b/>
                <w:bCs/>
                <w:szCs w:val="24"/>
              </w:rPr>
              <w:t>Purpose</w:t>
            </w:r>
          </w:p>
        </w:tc>
      </w:tr>
      <w:tr w:rsidR="00224042" w:rsidRPr="00224042" w14:paraId="67673FFA" w14:textId="77777777">
        <w:trPr>
          <w:tblCellSpacing w:w="15" w:type="dxa"/>
        </w:trPr>
        <w:tc>
          <w:tcPr>
            <w:tcW w:w="0" w:type="auto"/>
            <w:vAlign w:val="center"/>
            <w:hideMark/>
          </w:tcPr>
          <w:p w14:paraId="78403B7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Have new risks emerged?</w:t>
            </w:r>
          </w:p>
        </w:tc>
        <w:tc>
          <w:tcPr>
            <w:tcW w:w="0" w:type="auto"/>
            <w:vAlign w:val="center"/>
            <w:hideMark/>
          </w:tcPr>
          <w:p w14:paraId="53365BA9"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Identify changing exposure</w:t>
            </w:r>
          </w:p>
        </w:tc>
      </w:tr>
      <w:tr w:rsidR="00224042" w:rsidRPr="00224042" w14:paraId="1C9BF2FD" w14:textId="77777777">
        <w:trPr>
          <w:tblCellSpacing w:w="15" w:type="dxa"/>
        </w:trPr>
        <w:tc>
          <w:tcPr>
            <w:tcW w:w="0" w:type="auto"/>
            <w:vAlign w:val="center"/>
            <w:hideMark/>
          </w:tcPr>
          <w:p w14:paraId="7F0E550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Have probability or impact ratings changed?</w:t>
            </w:r>
          </w:p>
        </w:tc>
        <w:tc>
          <w:tcPr>
            <w:tcW w:w="0" w:type="auto"/>
            <w:vAlign w:val="center"/>
            <w:hideMark/>
          </w:tcPr>
          <w:p w14:paraId="63DFD28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Maintain accurate prioritisation</w:t>
            </w:r>
          </w:p>
        </w:tc>
      </w:tr>
      <w:tr w:rsidR="00224042" w:rsidRPr="00224042" w14:paraId="4E5E8208" w14:textId="77777777">
        <w:trPr>
          <w:tblCellSpacing w:w="15" w:type="dxa"/>
        </w:trPr>
        <w:tc>
          <w:tcPr>
            <w:tcW w:w="0" w:type="auto"/>
            <w:vAlign w:val="center"/>
            <w:hideMark/>
          </w:tcPr>
          <w:p w14:paraId="25C59001"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Are mitigation actions progressing?</w:t>
            </w:r>
          </w:p>
        </w:tc>
        <w:tc>
          <w:tcPr>
            <w:tcW w:w="0" w:type="auto"/>
            <w:vAlign w:val="center"/>
            <w:hideMark/>
          </w:tcPr>
          <w:p w14:paraId="273243C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Test response implementation</w:t>
            </w:r>
          </w:p>
        </w:tc>
      </w:tr>
      <w:tr w:rsidR="00224042" w:rsidRPr="00224042" w14:paraId="12E10DE7" w14:textId="77777777">
        <w:trPr>
          <w:tblCellSpacing w:w="15" w:type="dxa"/>
        </w:trPr>
        <w:tc>
          <w:tcPr>
            <w:tcW w:w="0" w:type="auto"/>
            <w:vAlign w:val="center"/>
            <w:hideMark/>
          </w:tcPr>
          <w:p w14:paraId="1AAF3FDB"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Are any triggers approaching thresholds?</w:t>
            </w:r>
          </w:p>
        </w:tc>
        <w:tc>
          <w:tcPr>
            <w:tcW w:w="0" w:type="auto"/>
            <w:vAlign w:val="center"/>
            <w:hideMark/>
          </w:tcPr>
          <w:p w14:paraId="50316AF5"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Enable early intervention</w:t>
            </w:r>
          </w:p>
        </w:tc>
      </w:tr>
      <w:tr w:rsidR="00224042" w:rsidRPr="00224042" w14:paraId="59A6AC6F" w14:textId="77777777">
        <w:trPr>
          <w:tblCellSpacing w:w="15" w:type="dxa"/>
        </w:trPr>
        <w:tc>
          <w:tcPr>
            <w:tcW w:w="0" w:type="auto"/>
            <w:vAlign w:val="center"/>
            <w:hideMark/>
          </w:tcPr>
          <w:p w14:paraId="5EDF02A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Is contingency funding adequate?</w:t>
            </w:r>
          </w:p>
        </w:tc>
        <w:tc>
          <w:tcPr>
            <w:tcW w:w="0" w:type="auto"/>
            <w:vAlign w:val="center"/>
            <w:hideMark/>
          </w:tcPr>
          <w:p w14:paraId="2C7683AF"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Protect financial resilience</w:t>
            </w:r>
          </w:p>
        </w:tc>
      </w:tr>
      <w:tr w:rsidR="00224042" w:rsidRPr="00224042" w14:paraId="11FBD526" w14:textId="77777777">
        <w:trPr>
          <w:tblCellSpacing w:w="15" w:type="dxa"/>
        </w:trPr>
        <w:tc>
          <w:tcPr>
            <w:tcW w:w="0" w:type="auto"/>
            <w:vAlign w:val="center"/>
            <w:hideMark/>
          </w:tcPr>
          <w:p w14:paraId="6A3212B0"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Have stakeholder positions changed?</w:t>
            </w:r>
          </w:p>
        </w:tc>
        <w:tc>
          <w:tcPr>
            <w:tcW w:w="0" w:type="auto"/>
            <w:vAlign w:val="center"/>
            <w:hideMark/>
          </w:tcPr>
          <w:p w14:paraId="1E03C72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Identify emerging stakeholder risk</w:t>
            </w:r>
          </w:p>
        </w:tc>
      </w:tr>
      <w:tr w:rsidR="00224042" w:rsidRPr="00224042" w14:paraId="53D210C4" w14:textId="77777777">
        <w:trPr>
          <w:tblCellSpacing w:w="15" w:type="dxa"/>
        </w:trPr>
        <w:tc>
          <w:tcPr>
            <w:tcW w:w="0" w:type="auto"/>
            <w:vAlign w:val="center"/>
            <w:hideMark/>
          </w:tcPr>
          <w:p w14:paraId="052CCC34"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Are risk owners still appropriate?</w:t>
            </w:r>
          </w:p>
        </w:tc>
        <w:tc>
          <w:tcPr>
            <w:tcW w:w="0" w:type="auto"/>
            <w:vAlign w:val="center"/>
            <w:hideMark/>
          </w:tcPr>
          <w:p w14:paraId="22A29F9D"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Maintain accountability</w:t>
            </w:r>
          </w:p>
        </w:tc>
      </w:tr>
      <w:tr w:rsidR="00224042" w:rsidRPr="00224042" w14:paraId="6DEB0B44" w14:textId="77777777">
        <w:trPr>
          <w:tblCellSpacing w:w="15" w:type="dxa"/>
        </w:trPr>
        <w:tc>
          <w:tcPr>
            <w:tcW w:w="0" w:type="auto"/>
            <w:vAlign w:val="center"/>
            <w:hideMark/>
          </w:tcPr>
          <w:p w14:paraId="3CDA1B07"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Can any risks be formally closed?</w:t>
            </w:r>
          </w:p>
        </w:tc>
        <w:tc>
          <w:tcPr>
            <w:tcW w:w="0" w:type="auto"/>
            <w:vAlign w:val="center"/>
            <w:hideMark/>
          </w:tcPr>
          <w:p w14:paraId="164B9DA2"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Keep register relevant</w:t>
            </w:r>
          </w:p>
        </w:tc>
      </w:tr>
      <w:tr w:rsidR="00224042" w:rsidRPr="00224042" w14:paraId="223321D0" w14:textId="77777777">
        <w:trPr>
          <w:tblCellSpacing w:w="15" w:type="dxa"/>
        </w:trPr>
        <w:tc>
          <w:tcPr>
            <w:tcW w:w="0" w:type="auto"/>
            <w:vAlign w:val="center"/>
            <w:hideMark/>
          </w:tcPr>
          <w:p w14:paraId="6D1C317A"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Have opportunities emerged?</w:t>
            </w:r>
          </w:p>
        </w:tc>
        <w:tc>
          <w:tcPr>
            <w:tcW w:w="0" w:type="auto"/>
            <w:vAlign w:val="center"/>
            <w:hideMark/>
          </w:tcPr>
          <w:p w14:paraId="6DA3063C"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Capture positive uncertainty</w:t>
            </w:r>
          </w:p>
        </w:tc>
      </w:tr>
      <w:tr w:rsidR="00224042" w:rsidRPr="00224042" w14:paraId="6D48E5EA" w14:textId="77777777">
        <w:trPr>
          <w:tblCellSpacing w:w="15" w:type="dxa"/>
        </w:trPr>
        <w:tc>
          <w:tcPr>
            <w:tcW w:w="0" w:type="auto"/>
            <w:vAlign w:val="center"/>
            <w:hideMark/>
          </w:tcPr>
          <w:p w14:paraId="1EA4DF56"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What lessons should be retained?</w:t>
            </w:r>
          </w:p>
        </w:tc>
        <w:tc>
          <w:tcPr>
            <w:tcW w:w="0" w:type="auto"/>
            <w:vAlign w:val="center"/>
            <w:hideMark/>
          </w:tcPr>
          <w:p w14:paraId="3618B79E"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Strengthen organisational learning</w:t>
            </w:r>
          </w:p>
        </w:tc>
      </w:tr>
    </w:tbl>
    <w:p w14:paraId="20A920B8" w14:textId="77777777" w:rsidR="00224042" w:rsidRPr="00224042" w:rsidRDefault="00224042" w:rsidP="00224042">
      <w:pPr>
        <w:spacing w:line="360" w:lineRule="auto"/>
        <w:rPr>
          <w:rFonts w:ascii="Times New Roman" w:hAnsi="Times New Roman" w:cs="Times New Roman"/>
          <w:szCs w:val="24"/>
        </w:rPr>
      </w:pPr>
      <w:r w:rsidRPr="00224042">
        <w:rPr>
          <w:rFonts w:ascii="Times New Roman" w:hAnsi="Times New Roman" w:cs="Times New Roman"/>
          <w:szCs w:val="24"/>
        </w:rPr>
        <w:t xml:space="preserve">These appendices directly support the assignment requirements by demonstrating </w:t>
      </w:r>
      <w:r w:rsidRPr="00224042">
        <w:rPr>
          <w:rFonts w:ascii="Times New Roman" w:hAnsi="Times New Roman" w:cs="Times New Roman"/>
          <w:b/>
          <w:bCs/>
          <w:szCs w:val="24"/>
        </w:rPr>
        <w:t>risk registers, probability-impact assessment, prioritisation, response planning, scenario analysis, contingency thinking and continuous monitoring</w:t>
      </w:r>
      <w:r w:rsidRPr="00224042">
        <w:rPr>
          <w:rFonts w:ascii="Times New Roman" w:hAnsi="Times New Roman" w:cs="Times New Roman"/>
          <w:szCs w:val="24"/>
        </w:rPr>
        <w:t>.</w:t>
      </w:r>
    </w:p>
    <w:p w14:paraId="485B4E7A" w14:textId="77777777" w:rsidR="00224042" w:rsidRPr="00224042" w:rsidRDefault="00224042" w:rsidP="00224042">
      <w:pPr>
        <w:spacing w:line="360" w:lineRule="auto"/>
        <w:rPr>
          <w:rFonts w:ascii="Times New Roman" w:hAnsi="Times New Roman" w:cs="Times New Roman"/>
          <w:szCs w:val="24"/>
          <w:lang w:val="en-US"/>
        </w:rPr>
      </w:pPr>
    </w:p>
    <w:sectPr w:rsidR="00224042" w:rsidRPr="00224042" w:rsidSect="009C6C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C5BE0"/>
    <w:multiLevelType w:val="multilevel"/>
    <w:tmpl w:val="C3F0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042E1E"/>
    <w:multiLevelType w:val="multilevel"/>
    <w:tmpl w:val="DF58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A8032E"/>
    <w:multiLevelType w:val="multilevel"/>
    <w:tmpl w:val="5A1E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869229">
    <w:abstractNumId w:val="2"/>
  </w:num>
  <w:num w:numId="2" w16cid:durableId="1831435088">
    <w:abstractNumId w:val="0"/>
  </w:num>
  <w:num w:numId="3" w16cid:durableId="608784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C84"/>
    <w:rsid w:val="00224042"/>
    <w:rsid w:val="009C6C84"/>
    <w:rsid w:val="00E5457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B0D3"/>
  <w15:chartTrackingRefBased/>
  <w15:docId w15:val="{08491354-48FA-4A21-9FE0-8E16F056F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84"/>
  </w:style>
  <w:style w:type="paragraph" w:styleId="Heading1">
    <w:name w:val="heading 1"/>
    <w:basedOn w:val="Normal"/>
    <w:next w:val="Normal"/>
    <w:link w:val="Heading1Char"/>
    <w:uiPriority w:val="9"/>
    <w:qFormat/>
    <w:rsid w:val="009C6C8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C6C8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C6C8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C6C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C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C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C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C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C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C8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C6C8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C6C8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C6C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C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C84"/>
    <w:rPr>
      <w:rFonts w:eastAsiaTheme="majorEastAsia" w:cstheme="majorBidi"/>
      <w:color w:val="272727" w:themeColor="text1" w:themeTint="D8"/>
    </w:rPr>
  </w:style>
  <w:style w:type="paragraph" w:styleId="Title">
    <w:name w:val="Title"/>
    <w:basedOn w:val="Normal"/>
    <w:next w:val="Normal"/>
    <w:link w:val="TitleChar"/>
    <w:uiPriority w:val="10"/>
    <w:qFormat/>
    <w:rsid w:val="009C6C8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C6C8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C6C8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C6C8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C6C84"/>
    <w:pPr>
      <w:spacing w:before="160"/>
      <w:jc w:val="center"/>
    </w:pPr>
    <w:rPr>
      <w:i/>
      <w:iCs/>
      <w:color w:val="404040" w:themeColor="text1" w:themeTint="BF"/>
    </w:rPr>
  </w:style>
  <w:style w:type="character" w:customStyle="1" w:styleId="QuoteChar">
    <w:name w:val="Quote Char"/>
    <w:basedOn w:val="DefaultParagraphFont"/>
    <w:link w:val="Quote"/>
    <w:uiPriority w:val="29"/>
    <w:rsid w:val="009C6C84"/>
    <w:rPr>
      <w:i/>
      <w:iCs/>
      <w:color w:val="404040" w:themeColor="text1" w:themeTint="BF"/>
    </w:rPr>
  </w:style>
  <w:style w:type="paragraph" w:styleId="ListParagraph">
    <w:name w:val="List Paragraph"/>
    <w:basedOn w:val="Normal"/>
    <w:uiPriority w:val="34"/>
    <w:qFormat/>
    <w:rsid w:val="009C6C84"/>
    <w:pPr>
      <w:ind w:left="720"/>
      <w:contextualSpacing/>
    </w:pPr>
  </w:style>
  <w:style w:type="character" w:styleId="IntenseEmphasis">
    <w:name w:val="Intense Emphasis"/>
    <w:basedOn w:val="DefaultParagraphFont"/>
    <w:uiPriority w:val="21"/>
    <w:qFormat/>
    <w:rsid w:val="009C6C84"/>
    <w:rPr>
      <w:i/>
      <w:iCs/>
      <w:color w:val="0F4761" w:themeColor="accent1" w:themeShade="BF"/>
    </w:rPr>
  </w:style>
  <w:style w:type="paragraph" w:styleId="IntenseQuote">
    <w:name w:val="Intense Quote"/>
    <w:basedOn w:val="Normal"/>
    <w:next w:val="Normal"/>
    <w:link w:val="IntenseQuoteChar"/>
    <w:uiPriority w:val="30"/>
    <w:qFormat/>
    <w:rsid w:val="009C6C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C84"/>
    <w:rPr>
      <w:i/>
      <w:iCs/>
      <w:color w:val="0F4761" w:themeColor="accent1" w:themeShade="BF"/>
    </w:rPr>
  </w:style>
  <w:style w:type="character" w:styleId="IntenseReference">
    <w:name w:val="Intense Reference"/>
    <w:basedOn w:val="DefaultParagraphFont"/>
    <w:uiPriority w:val="32"/>
    <w:qFormat/>
    <w:rsid w:val="009C6C84"/>
    <w:rPr>
      <w:b/>
      <w:bCs/>
      <w:smallCaps/>
      <w:color w:val="0F4761" w:themeColor="accent1" w:themeShade="BF"/>
      <w:spacing w:val="5"/>
    </w:rPr>
  </w:style>
  <w:style w:type="character" w:styleId="Hyperlink">
    <w:name w:val="Hyperlink"/>
    <w:basedOn w:val="DefaultParagraphFont"/>
    <w:uiPriority w:val="99"/>
    <w:unhideWhenUsed/>
    <w:rsid w:val="009C6C84"/>
    <w:rPr>
      <w:color w:val="467886" w:themeColor="hyperlink"/>
      <w:u w:val="single"/>
    </w:rPr>
  </w:style>
  <w:style w:type="table" w:styleId="TableGrid">
    <w:name w:val="Table Grid"/>
    <w:basedOn w:val="TableNormal"/>
    <w:uiPriority w:val="39"/>
    <w:rsid w:val="009C6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24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proman.2009.07.002" TargetMode="External"/><Relationship Id="rId13" Type="http://schemas.openxmlformats.org/officeDocument/2006/relationships/hyperlink" Target="https://doi.org/10.1016/S0263-7863(01)00074-6" TargetMode="External"/><Relationship Id="rId18" Type="http://schemas.openxmlformats.org/officeDocument/2006/relationships/hyperlink" Target="https://doi.org/10.1016/j.protcy.2014.10.047" TargetMode="External"/><Relationship Id="rId3" Type="http://schemas.openxmlformats.org/officeDocument/2006/relationships/settings" Target="settings.xml"/><Relationship Id="rId21" Type="http://schemas.openxmlformats.org/officeDocument/2006/relationships/hyperlink" Target="https://doi.org/10.1111/j.1539-6924.2010.01470.x" TargetMode="External"/><Relationship Id="rId7" Type="http://schemas.openxmlformats.org/officeDocument/2006/relationships/hyperlink" Target="https://doi.org/10.1016/j.ejor.2015.12.023" TargetMode="External"/><Relationship Id="rId12" Type="http://schemas.openxmlformats.org/officeDocument/2006/relationships/hyperlink" Target="https://doi.org/10.1016/j.ijproman.2011.09.003" TargetMode="External"/><Relationship Id="rId17" Type="http://schemas.openxmlformats.org/officeDocument/2006/relationships/hyperlink" Target="https://doi.org/10.1111/1467-9310.00243" TargetMode="External"/><Relationship Id="rId2" Type="http://schemas.openxmlformats.org/officeDocument/2006/relationships/styles" Target="styles.xml"/><Relationship Id="rId16" Type="http://schemas.openxmlformats.org/officeDocument/2006/relationships/hyperlink" Target="https://doi.org/10.1016/j.ijproman.2007.08.005" TargetMode="External"/><Relationship Id="rId20" Type="http://schemas.openxmlformats.org/officeDocument/2006/relationships/hyperlink" Target="https://doi.org/10.1016/S0263-7863(01)00080-1" TargetMode="External"/><Relationship Id="rId1" Type="http://schemas.openxmlformats.org/officeDocument/2006/relationships/numbering" Target="numbering.xml"/><Relationship Id="rId6" Type="http://schemas.openxmlformats.org/officeDocument/2006/relationships/hyperlink" Target="https://doi.org/10.1016/j.ijproman.2010.02.001" TargetMode="External"/><Relationship Id="rId11" Type="http://schemas.openxmlformats.org/officeDocument/2006/relationships/hyperlink" Target="https://doi.org/10.1111/j.1539-6924.2008.01030.x" TargetMode="External"/><Relationship Id="rId5" Type="http://schemas.openxmlformats.org/officeDocument/2006/relationships/image" Target="media/image1.png"/><Relationship Id="rId15" Type="http://schemas.openxmlformats.org/officeDocument/2006/relationships/hyperlink" Target="https://doi.org/10.1016/j.ijproman.2016.04.004" TargetMode="External"/><Relationship Id="rId23" Type="http://schemas.openxmlformats.org/officeDocument/2006/relationships/theme" Target="theme/theme1.xml"/><Relationship Id="rId10" Type="http://schemas.openxmlformats.org/officeDocument/2006/relationships/hyperlink" Target="https://doi.org/10.1080/00207543.2014.919423" TargetMode="External"/><Relationship Id="rId19" Type="http://schemas.openxmlformats.org/officeDocument/2006/relationships/hyperlink" Target="https://doi.org/10.1002/pmj.21431" TargetMode="External"/><Relationship Id="rId4" Type="http://schemas.openxmlformats.org/officeDocument/2006/relationships/webSettings" Target="webSettings.xml"/><Relationship Id="rId9" Type="http://schemas.openxmlformats.org/officeDocument/2006/relationships/hyperlink" Target="https://doi.org/10.1016/j.jss.2008.03.059" TargetMode="External"/><Relationship Id="rId14" Type="http://schemas.openxmlformats.org/officeDocument/2006/relationships/hyperlink" Target="https://doi.org/10.1016/j.ijproman.2009.05.00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31</Pages>
  <Words>6798</Words>
  <Characters>38751</Characters>
  <Application>Microsoft Office Word</Application>
  <DocSecurity>0</DocSecurity>
  <Lines>322</Lines>
  <Paragraphs>90</Paragraphs>
  <ScaleCrop>false</ScaleCrop>
  <Company/>
  <LinksUpToDate>false</LinksUpToDate>
  <CharactersWithSpaces>45459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2026-09-28T03:57:00Z</dcterms:created>
  <dcterms:modified xsi:type="dcterms:W3CDTF">2026-09-28T04:07:00Z</dcterms:modified>
</cp:coreProperties>
</file>