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2286000" cy="615462"/>
            <wp:docPr id="1" name="Picture 1"/>
            <wp:cNvGraphicFramePr>
              <a:graphicFrameLocks noChangeAspect="1"/>
            </wp:cNvGraphicFramePr>
            <a:graphic>
              <a:graphicData uri="http://schemas.openxmlformats.org/drawingml/2006/picture">
                <pic:pic>
                  <pic:nvPicPr>
                    <pic:cNvPr id="0" name="BB624751-5365-46ED-BC08-4C9E027E060C.jpeg"/>
                    <pic:cNvPicPr/>
                  </pic:nvPicPr>
                  <pic:blipFill>
                    <a:blip r:embed="rId9"/>
                    <a:stretch>
                      <a:fillRect/>
                    </a:stretch>
                  </pic:blipFill>
                  <pic:spPr>
                    <a:xfrm>
                      <a:off x="0" y="0"/>
                      <a:ext cx="2286000" cy="615462"/>
                    </a:xfrm>
                    <a:prstGeom prst="rect"/>
                  </pic:spPr>
                </pic:pic>
              </a:graphicData>
            </a:graphic>
          </wp:inline>
        </w:drawing>
      </w:r>
    </w:p>
    <w:p>
      <w:r>
        <w:rPr>
          <w:b/>
        </w:rPr>
        <w:t>Name:</w:t>
      </w:r>
    </w:p>
    <w:p>
      <w:r>
        <w:t>Vikas Chandla</w:t>
      </w:r>
    </w:p>
    <w:p>
      <w:r>
        <w:rPr>
          <w:b/>
        </w:rPr>
        <w:t>Matrikulation Number:</w:t>
      </w:r>
    </w:p>
    <w:p>
      <w:r>
        <w:t>DE240058</w:t>
      </w:r>
    </w:p>
    <w:p>
      <w:r>
        <w:rPr>
          <w:b/>
        </w:rPr>
        <w:t>Course:</w:t>
      </w:r>
    </w:p>
    <w:p>
      <w:r>
        <w:t>Availability Management in Tourism</w:t>
      </w:r>
    </w:p>
    <w:p>
      <w:r>
        <w:rPr>
          <w:b/>
        </w:rPr>
        <w:t>Assignment 1</w:t>
      </w:r>
    </w:p>
    <w:p>
      <w:r>
        <w:rPr>
          <w:b/>
        </w:rPr>
        <w:t>Date:</w:t>
      </w:r>
    </w:p>
    <w:p>
      <w:r>
        <w:t>04.07.2025</w:t>
      </w:r>
    </w:p>
    <w:p>
      <w:r>
        <w:rPr>
          <w:b/>
        </w:rPr>
        <w:t>1. The Grand Tour and Its Impact on Tourism Development</w:t>
      </w:r>
    </w:p>
    <w:p>
      <w:r>
        <w:t>The Grand Tour emerged in the 17th century as a customary journey for young aristocratic men, primarily from Britain, seeking cultural and intellectual enrichment through travel across continental Europe. Destinations such as France, Italy, and Greece were valued for their historical significance, classical art, and architecture. The Grand Tour served as both a social milestone and an educational tool, emphasizing refinement and the acquisition of cultural knowledge.</w:t>
        <w:br/>
        <w:br/>
        <w:t>Its broader significance lies in how it shaped early tourism infrastructure and cultural attitudes toward travel. Although initially limited to the elite, the practice popularized the idea of travel as a formative, desirable experience. This cultural shift laid the groundwork for modern leisure tourism, especially as transportation improved and the middle class expanded in later centuries. The legacy of the Grand Tour can be seen in contemporary cultural tourism, where travel is often linked with self-improvement and cultural engagement.</w:t>
      </w:r>
    </w:p>
    <w:p>
      <w:r>
        <w:rPr>
          <w:b/>
        </w:rPr>
        <w:t>2. The Industrial Revolution’s Role in the Development of Tourism</w:t>
      </w:r>
    </w:p>
    <w:p>
      <w:r>
        <w:t>The Industrial Revolution was a pivotal factor in transforming tourism from an elite activity into a mass phenomenon. Innovations in transportation, particularly the development of the railway and steamship, significantly reduced travel time and costs. This increased mobility enabled broader segments of the population to access destinations that were previously inaccessible or unaffordable.</w:t>
        <w:br/>
        <w:br/>
        <w:t>Moreover, industrialization contributed to the rise of a wage-earning middle class with disposable income and defined leisure time. This, in turn, created demand for recreational travel. The emergence of organized tour operators, such as Thomas Cook, further facilitated access by offering affordable and structured travel packages. The concept of paid holidays and the growing appeal of seaside resorts also reflected changing attitudes toward leisure. Overall, the Industrial Revolution created the economic, technological, and social conditions necessary for the expansion of the tourism industry.</w:t>
      </w:r>
    </w:p>
    <w:p>
      <w:r>
        <w:rPr>
          <w:b/>
        </w:rPr>
        <w:t>3. The Relationship Between Accommodation Quality and Tourist Satisfaction</w:t>
      </w:r>
    </w:p>
    <w:p>
      <w:r>
        <w:t>Accommodation plays a central role in shaping the overall tourist experience. Key elements such as cleanliness, comfort, service quality, location, and amenities significantly influence tourist satisfaction. Poor accommodation quality can negatively impact perceptions of a destination, while high standards enhance the likelihood of repeat visitation and positive word-of-mouth.</w:t>
        <w:br/>
        <w:br/>
        <w:t>In the current digital landscape, tourist satisfaction is also shaped by the transparency and accessibility of information, including online reviews and ratings. These tools empower travelers to make informed choices, increasing the importance of maintaining consistent quality standards. Furthermore, accommodation quality often serves as a proxy for the overall reliability and professionalism of a destination’s tourism offering.</w:t>
        <w:br/>
        <w:br/>
        <w:t>Therefore, ensuring high standards in accommodation is essential for maintaining competitiveness in the tourism sector and fostering long-term customer loyalty.</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