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645E5" w14:textId="77777777" w:rsidR="00FC4193" w:rsidRPr="00FC4193" w:rsidRDefault="00FC4193" w:rsidP="00FC4193">
      <w:r w:rsidRPr="00FC4193">
        <w:rPr>
          <w:b/>
          <w:bCs/>
        </w:rPr>
        <w:t>Title Page</w:t>
      </w:r>
    </w:p>
    <w:p w14:paraId="2414729D" w14:textId="77777777" w:rsidR="00FC4193" w:rsidRDefault="00FC4193" w:rsidP="00FC4193">
      <w:r w:rsidRPr="00FC4193">
        <w:rPr>
          <w:b/>
          <w:bCs/>
        </w:rPr>
        <w:t>The Role of Contract Law in the Governance of the Modern Tourism Industry: A Framework for Consumer Protection and Commercial Certainty</w:t>
      </w:r>
    </w:p>
    <w:p w14:paraId="550B4582" w14:textId="77777777" w:rsidR="00FC4193" w:rsidRDefault="00FC4193" w:rsidP="00FC4193"/>
    <w:p w14:paraId="5EF3E5F4" w14:textId="77777777" w:rsidR="00FC4193" w:rsidRDefault="00FC4193" w:rsidP="00FC4193">
      <w:r w:rsidRPr="00FC4193">
        <w:t xml:space="preserve">Student Name: </w:t>
      </w:r>
      <w:r>
        <w:t>Jesika Sonawane</w:t>
      </w:r>
      <w:r w:rsidRPr="00FC4193">
        <w:t xml:space="preserve"> </w:t>
      </w:r>
    </w:p>
    <w:p w14:paraId="3B60B730" w14:textId="51CA168A" w:rsidR="00FC4193" w:rsidRDefault="00FC4193" w:rsidP="00FC4193">
      <w:r w:rsidRPr="00FC4193">
        <w:t xml:space="preserve">Student ID: </w:t>
      </w:r>
      <w:r w:rsidRPr="00067295">
        <w:t xml:space="preserve"> </w:t>
      </w:r>
      <w:r w:rsidRPr="00761739">
        <w:t>DE240293</w:t>
      </w:r>
      <w:r w:rsidRPr="00067295">
        <w:br/>
      </w:r>
      <w:r w:rsidRPr="00FC4193">
        <w:t xml:space="preserve">Course </w:t>
      </w:r>
      <w:proofErr w:type="gramStart"/>
      <w:r w:rsidRPr="00FC4193">
        <w:t>Name</w:t>
      </w:r>
      <w:r>
        <w:t xml:space="preserve"> :</w:t>
      </w:r>
      <w:proofErr w:type="gramEnd"/>
      <w:r>
        <w:t xml:space="preserve">  </w:t>
      </w:r>
      <w:r w:rsidR="0025761E">
        <w:t>T</w:t>
      </w:r>
      <w:r>
        <w:t xml:space="preserve">ourism </w:t>
      </w:r>
      <w:r w:rsidR="0025761E">
        <w:t>law</w:t>
      </w:r>
      <w:r w:rsidRPr="00FC4193">
        <w:br/>
        <w:t xml:space="preserve">Institution: </w:t>
      </w:r>
      <w:r w:rsidRPr="00067295">
        <w:t xml:space="preserve"> </w:t>
      </w:r>
      <w:r w:rsidRPr="00761739">
        <w:t xml:space="preserve">European institute of innovation, entrepreneurship and technology, </w:t>
      </w:r>
      <w:proofErr w:type="gramStart"/>
      <w:r w:rsidRPr="00761739">
        <w:t>Berlin(</w:t>
      </w:r>
      <w:proofErr w:type="gramEnd"/>
      <w:r w:rsidRPr="00761739">
        <w:t>Germany</w:t>
      </w:r>
      <w:r w:rsidR="007A066C">
        <w:t>)</w:t>
      </w:r>
    </w:p>
    <w:p w14:paraId="38CC7ECF" w14:textId="24693F87" w:rsidR="00FC4193" w:rsidRPr="00FC4193" w:rsidRDefault="00FC4193" w:rsidP="00FC4193">
      <w:r w:rsidRPr="00FC4193">
        <w:br/>
      </w:r>
    </w:p>
    <w:p w14:paraId="03CCC2C2" w14:textId="77777777" w:rsidR="00FC4193" w:rsidRDefault="00FC4193" w:rsidP="00FC4193">
      <w:pPr>
        <w:rPr>
          <w:b/>
          <w:bCs/>
        </w:rPr>
      </w:pPr>
    </w:p>
    <w:p w14:paraId="102D35BD" w14:textId="77777777" w:rsidR="00FC4193" w:rsidRDefault="00FC4193" w:rsidP="00FC4193">
      <w:pPr>
        <w:rPr>
          <w:b/>
          <w:bCs/>
        </w:rPr>
      </w:pPr>
    </w:p>
    <w:p w14:paraId="321D519E" w14:textId="77777777" w:rsidR="00FC4193" w:rsidRDefault="00FC4193" w:rsidP="00FC4193">
      <w:pPr>
        <w:rPr>
          <w:b/>
          <w:bCs/>
        </w:rPr>
      </w:pPr>
    </w:p>
    <w:p w14:paraId="4C2328C7" w14:textId="77777777" w:rsidR="00FC4193" w:rsidRDefault="00FC4193" w:rsidP="00FC4193">
      <w:pPr>
        <w:rPr>
          <w:b/>
          <w:bCs/>
        </w:rPr>
      </w:pPr>
    </w:p>
    <w:p w14:paraId="6322EF2F" w14:textId="77777777" w:rsidR="00FC4193" w:rsidRDefault="00FC4193" w:rsidP="00FC4193">
      <w:pPr>
        <w:rPr>
          <w:b/>
          <w:bCs/>
        </w:rPr>
      </w:pPr>
    </w:p>
    <w:p w14:paraId="5CA2DE4F" w14:textId="77777777" w:rsidR="00FC4193" w:rsidRDefault="00FC4193" w:rsidP="00FC4193">
      <w:pPr>
        <w:rPr>
          <w:b/>
          <w:bCs/>
        </w:rPr>
      </w:pPr>
    </w:p>
    <w:p w14:paraId="3B052687" w14:textId="77777777" w:rsidR="00FC4193" w:rsidRDefault="00FC4193" w:rsidP="00FC4193">
      <w:pPr>
        <w:rPr>
          <w:b/>
          <w:bCs/>
        </w:rPr>
      </w:pPr>
    </w:p>
    <w:p w14:paraId="5B49E089" w14:textId="77777777" w:rsidR="00FC4193" w:rsidRDefault="00FC4193" w:rsidP="00FC4193">
      <w:pPr>
        <w:rPr>
          <w:b/>
          <w:bCs/>
        </w:rPr>
      </w:pPr>
    </w:p>
    <w:p w14:paraId="41701654" w14:textId="77777777" w:rsidR="00FC4193" w:rsidRDefault="00FC4193" w:rsidP="00FC4193">
      <w:pPr>
        <w:rPr>
          <w:b/>
          <w:bCs/>
        </w:rPr>
      </w:pPr>
    </w:p>
    <w:p w14:paraId="4400F8B3" w14:textId="77777777" w:rsidR="00FC4193" w:rsidRDefault="00FC4193" w:rsidP="00FC4193">
      <w:pPr>
        <w:rPr>
          <w:b/>
          <w:bCs/>
        </w:rPr>
      </w:pPr>
    </w:p>
    <w:p w14:paraId="7D9EA57A" w14:textId="77777777" w:rsidR="00FC4193" w:rsidRDefault="00FC4193" w:rsidP="00FC4193">
      <w:pPr>
        <w:rPr>
          <w:b/>
          <w:bCs/>
        </w:rPr>
      </w:pPr>
    </w:p>
    <w:p w14:paraId="73F3B96D" w14:textId="77777777" w:rsidR="00FC4193" w:rsidRDefault="00FC4193" w:rsidP="00FC4193">
      <w:pPr>
        <w:rPr>
          <w:b/>
          <w:bCs/>
        </w:rPr>
      </w:pPr>
    </w:p>
    <w:p w14:paraId="50E9C637" w14:textId="77777777" w:rsidR="00FC4193" w:rsidRDefault="00FC4193" w:rsidP="00FC4193">
      <w:pPr>
        <w:rPr>
          <w:b/>
          <w:bCs/>
        </w:rPr>
      </w:pPr>
    </w:p>
    <w:p w14:paraId="6DB7A6EA" w14:textId="77777777" w:rsidR="00FC4193" w:rsidRDefault="00FC4193" w:rsidP="00FC4193">
      <w:pPr>
        <w:rPr>
          <w:b/>
          <w:bCs/>
        </w:rPr>
      </w:pPr>
    </w:p>
    <w:p w14:paraId="2F01F822" w14:textId="77777777" w:rsidR="00FC4193" w:rsidRDefault="00FC4193" w:rsidP="00FC4193">
      <w:pPr>
        <w:rPr>
          <w:b/>
          <w:bCs/>
        </w:rPr>
      </w:pPr>
    </w:p>
    <w:p w14:paraId="7BBC12EA" w14:textId="77777777" w:rsidR="00FC4193" w:rsidRDefault="00FC4193" w:rsidP="00FC4193">
      <w:pPr>
        <w:rPr>
          <w:b/>
          <w:bCs/>
        </w:rPr>
      </w:pPr>
    </w:p>
    <w:p w14:paraId="0A9B08AA" w14:textId="77777777" w:rsidR="00FC4193" w:rsidRDefault="00FC4193" w:rsidP="00FC4193">
      <w:pPr>
        <w:rPr>
          <w:b/>
          <w:bCs/>
        </w:rPr>
      </w:pPr>
    </w:p>
    <w:p w14:paraId="619443DE" w14:textId="77777777" w:rsidR="00FC4193" w:rsidRDefault="00FC4193" w:rsidP="00FC4193">
      <w:pPr>
        <w:rPr>
          <w:b/>
          <w:bCs/>
        </w:rPr>
      </w:pPr>
    </w:p>
    <w:p w14:paraId="5D181CDC" w14:textId="77777777" w:rsidR="00FC4193" w:rsidRPr="003D1C33" w:rsidRDefault="00FC4193" w:rsidP="003D1C33">
      <w:pPr>
        <w:spacing w:line="480" w:lineRule="auto"/>
        <w:rPr>
          <w:rFonts w:ascii="Times New Roman" w:hAnsi="Times New Roman" w:cs="Times New Roman"/>
          <w:b/>
          <w:bCs/>
        </w:rPr>
      </w:pPr>
    </w:p>
    <w:p w14:paraId="18298BF1" w14:textId="3F8143F0"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lastRenderedPageBreak/>
        <w:t>Table of Contents</w:t>
      </w:r>
    </w:p>
    <w:p w14:paraId="0CEA4DA2" w14:textId="3793136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rPr>
        <w:t>Abstract</w:t>
      </w:r>
    </w:p>
    <w:p w14:paraId="13B0F25B" w14:textId="205C1788" w:rsidR="00FC4193" w:rsidRPr="003D1C33" w:rsidRDefault="00FC4193" w:rsidP="003D1C33">
      <w:pPr>
        <w:numPr>
          <w:ilvl w:val="0"/>
          <w:numId w:val="1"/>
        </w:numPr>
        <w:spacing w:line="480" w:lineRule="auto"/>
        <w:rPr>
          <w:rFonts w:ascii="Times New Roman" w:hAnsi="Times New Roman" w:cs="Times New Roman"/>
        </w:rPr>
      </w:pPr>
      <w:r w:rsidRPr="003D1C33">
        <w:rPr>
          <w:rFonts w:ascii="Times New Roman" w:hAnsi="Times New Roman" w:cs="Times New Roman"/>
        </w:rPr>
        <w:t xml:space="preserve">Introduction </w:t>
      </w:r>
    </w:p>
    <w:p w14:paraId="1BB459FB" w14:textId="77777777" w:rsidR="00A03851" w:rsidRDefault="00FC4193" w:rsidP="003D1C33">
      <w:pPr>
        <w:numPr>
          <w:ilvl w:val="0"/>
          <w:numId w:val="1"/>
        </w:numPr>
        <w:spacing w:line="480" w:lineRule="auto"/>
        <w:rPr>
          <w:rFonts w:ascii="Times New Roman" w:hAnsi="Times New Roman" w:cs="Times New Roman"/>
        </w:rPr>
      </w:pPr>
      <w:r w:rsidRPr="003D1C33">
        <w:rPr>
          <w:rFonts w:ascii="Times New Roman" w:hAnsi="Times New Roman" w:cs="Times New Roman"/>
        </w:rPr>
        <w:t xml:space="preserve">Literature Review </w:t>
      </w:r>
    </w:p>
    <w:p w14:paraId="1A207FA7" w14:textId="77777777" w:rsidR="00A03851" w:rsidRDefault="00FC4193" w:rsidP="00A03851">
      <w:pPr>
        <w:spacing w:line="480" w:lineRule="auto"/>
        <w:ind w:left="720"/>
        <w:rPr>
          <w:rFonts w:ascii="Times New Roman" w:hAnsi="Times New Roman" w:cs="Times New Roman"/>
        </w:rPr>
      </w:pPr>
      <w:r w:rsidRPr="003D1C33">
        <w:rPr>
          <w:rFonts w:ascii="Times New Roman" w:hAnsi="Times New Roman" w:cs="Times New Roman"/>
        </w:rPr>
        <w:t xml:space="preserve">2.1. Theoretical Foundations of Contract Law </w:t>
      </w:r>
    </w:p>
    <w:p w14:paraId="74AF0ECB" w14:textId="77777777" w:rsidR="00A03851" w:rsidRDefault="00FC4193" w:rsidP="00A03851">
      <w:pPr>
        <w:spacing w:line="480" w:lineRule="auto"/>
        <w:ind w:left="720"/>
        <w:rPr>
          <w:rFonts w:ascii="Times New Roman" w:hAnsi="Times New Roman" w:cs="Times New Roman"/>
        </w:rPr>
      </w:pPr>
      <w:r w:rsidRPr="003D1C33">
        <w:rPr>
          <w:rFonts w:ascii="Times New Roman" w:hAnsi="Times New Roman" w:cs="Times New Roman"/>
        </w:rPr>
        <w:t xml:space="preserve">2.2. The Unique Landscape of the Tourism Industry </w:t>
      </w:r>
    </w:p>
    <w:p w14:paraId="064E50DF" w14:textId="286C0393" w:rsidR="00FC4193" w:rsidRPr="003D1C33" w:rsidRDefault="00FC4193" w:rsidP="00A03851">
      <w:pPr>
        <w:spacing w:line="480" w:lineRule="auto"/>
        <w:ind w:left="720"/>
        <w:rPr>
          <w:rFonts w:ascii="Times New Roman" w:hAnsi="Times New Roman" w:cs="Times New Roman"/>
        </w:rPr>
      </w:pPr>
      <w:r w:rsidRPr="003D1C33">
        <w:rPr>
          <w:rFonts w:ascii="Times New Roman" w:hAnsi="Times New Roman" w:cs="Times New Roman"/>
        </w:rPr>
        <w:t xml:space="preserve">2.3. Gaps in Existing Research </w:t>
      </w:r>
    </w:p>
    <w:p w14:paraId="05813D41" w14:textId="6307D66F" w:rsidR="00FC4193" w:rsidRPr="003D1C33" w:rsidRDefault="00FC4193" w:rsidP="003D1C33">
      <w:pPr>
        <w:numPr>
          <w:ilvl w:val="0"/>
          <w:numId w:val="1"/>
        </w:numPr>
        <w:spacing w:line="480" w:lineRule="auto"/>
        <w:rPr>
          <w:rFonts w:ascii="Times New Roman" w:hAnsi="Times New Roman" w:cs="Times New Roman"/>
        </w:rPr>
      </w:pPr>
      <w:r w:rsidRPr="003D1C33">
        <w:rPr>
          <w:rFonts w:ascii="Times New Roman" w:hAnsi="Times New Roman" w:cs="Times New Roman"/>
        </w:rPr>
        <w:t xml:space="preserve">Methodology </w:t>
      </w:r>
    </w:p>
    <w:p w14:paraId="4A17899B" w14:textId="31A68F1D" w:rsidR="00FC4193" w:rsidRPr="003D1C33" w:rsidRDefault="00FC4193" w:rsidP="003D1C33">
      <w:pPr>
        <w:numPr>
          <w:ilvl w:val="0"/>
          <w:numId w:val="1"/>
        </w:numPr>
        <w:spacing w:line="480" w:lineRule="auto"/>
        <w:rPr>
          <w:rFonts w:ascii="Times New Roman" w:hAnsi="Times New Roman" w:cs="Times New Roman"/>
        </w:rPr>
      </w:pPr>
      <w:r w:rsidRPr="003D1C33">
        <w:rPr>
          <w:rFonts w:ascii="Times New Roman" w:hAnsi="Times New Roman" w:cs="Times New Roman"/>
        </w:rPr>
        <w:t>Findings</w:t>
      </w:r>
      <w:r w:rsidRPr="003D1C33">
        <w:rPr>
          <w:rFonts w:ascii="Times New Roman" w:hAnsi="Times New Roman" w:cs="Times New Roman"/>
        </w:rPr>
        <w:br/>
        <w:t xml:space="preserve">4.1. Foundational Elements of a Valid Contract in Tourism </w:t>
      </w:r>
      <w:r w:rsidRPr="003D1C33">
        <w:rPr>
          <w:rFonts w:ascii="Times New Roman" w:hAnsi="Times New Roman" w:cs="Times New Roman"/>
        </w:rPr>
        <w:br/>
        <w:t xml:space="preserve">4.1.1. Offer and Acceptance in Digital Transactions </w:t>
      </w:r>
      <w:r w:rsidRPr="003D1C33">
        <w:rPr>
          <w:rFonts w:ascii="Times New Roman" w:hAnsi="Times New Roman" w:cs="Times New Roman"/>
        </w:rPr>
        <w:br/>
        <w:t xml:space="preserve">4.1.2. Consideration: The Price of the Experience </w:t>
      </w:r>
      <w:r w:rsidRPr="003D1C33">
        <w:rPr>
          <w:rFonts w:ascii="Times New Roman" w:hAnsi="Times New Roman" w:cs="Times New Roman"/>
        </w:rPr>
        <w:br/>
        <w:t xml:space="preserve">4.2. Common Contract Types in the Tourism Sector </w:t>
      </w:r>
      <w:r w:rsidRPr="003D1C33">
        <w:rPr>
          <w:rFonts w:ascii="Times New Roman" w:hAnsi="Times New Roman" w:cs="Times New Roman"/>
        </w:rPr>
        <w:br/>
        <w:t xml:space="preserve">4.2.1. Booking Agreements (Hotel, Airline, Car Rental) </w:t>
      </w:r>
      <w:r w:rsidRPr="003D1C33">
        <w:rPr>
          <w:rFonts w:ascii="Times New Roman" w:hAnsi="Times New Roman" w:cs="Times New Roman"/>
        </w:rPr>
        <w:br/>
        <w:t xml:space="preserve">4.2.2. Package Travel Contracts </w:t>
      </w:r>
      <w:r w:rsidRPr="003D1C33">
        <w:rPr>
          <w:rFonts w:ascii="Times New Roman" w:hAnsi="Times New Roman" w:cs="Times New Roman"/>
        </w:rPr>
        <w:br/>
        <w:t xml:space="preserve">4.2.3. Liability Waivers and Exclusion Clauses </w:t>
      </w:r>
      <w:r w:rsidRPr="003D1C33">
        <w:rPr>
          <w:rFonts w:ascii="Times New Roman" w:hAnsi="Times New Roman" w:cs="Times New Roman"/>
        </w:rPr>
        <w:br/>
        <w:t>4.3. Legal Rights and Obligations of Parti</w:t>
      </w:r>
      <w:r w:rsidR="00A03851">
        <w:rPr>
          <w:rFonts w:ascii="Times New Roman" w:hAnsi="Times New Roman" w:cs="Times New Roman"/>
        </w:rPr>
        <w:t>es</w:t>
      </w:r>
      <w:r w:rsidRPr="003D1C33">
        <w:rPr>
          <w:rFonts w:ascii="Times New Roman" w:hAnsi="Times New Roman" w:cs="Times New Roman"/>
        </w:rPr>
        <w:br/>
        <w:t xml:space="preserve">4.3.1. Consumer Rights: Information, Performance, and Redress </w:t>
      </w:r>
      <w:r w:rsidRPr="003D1C33">
        <w:rPr>
          <w:rFonts w:ascii="Times New Roman" w:hAnsi="Times New Roman" w:cs="Times New Roman"/>
        </w:rPr>
        <w:br/>
        <w:t xml:space="preserve">4.3.2. Provider Obligations: Duty of Care and Good Faith </w:t>
      </w:r>
      <w:r w:rsidRPr="003D1C33">
        <w:rPr>
          <w:rFonts w:ascii="Times New Roman" w:hAnsi="Times New Roman" w:cs="Times New Roman"/>
        </w:rPr>
        <w:br/>
        <w:t xml:space="preserve">4.4. Analysis of Real-World Contract Disputes and Resolutions </w:t>
      </w:r>
      <w:r w:rsidRPr="003D1C33">
        <w:rPr>
          <w:rFonts w:ascii="Times New Roman" w:hAnsi="Times New Roman" w:cs="Times New Roman"/>
        </w:rPr>
        <w:br/>
        <w:t xml:space="preserve">4.4.1. Case Study 1: Flight Cancellations and Force Majeure (COVID-19) </w:t>
      </w:r>
      <w:r w:rsidRPr="003D1C33">
        <w:rPr>
          <w:rFonts w:ascii="Times New Roman" w:hAnsi="Times New Roman" w:cs="Times New Roman"/>
        </w:rPr>
        <w:br/>
        <w:t>4.4.2. Case Study 2: Misrepresentation of Hotel Ameniti</w:t>
      </w:r>
      <w:r w:rsidR="00A03851">
        <w:rPr>
          <w:rFonts w:ascii="Times New Roman" w:hAnsi="Times New Roman" w:cs="Times New Roman"/>
        </w:rPr>
        <w:t>es</w:t>
      </w:r>
      <w:r w:rsidRPr="003D1C33">
        <w:rPr>
          <w:rFonts w:ascii="Times New Roman" w:hAnsi="Times New Roman" w:cs="Times New Roman"/>
        </w:rPr>
        <w:br/>
        <w:t xml:space="preserve">4.4.3. Case Study 3: Injury During an Adventure Tour and Liability Waivers </w:t>
      </w:r>
    </w:p>
    <w:p w14:paraId="0406D27C" w14:textId="6FFD21DA" w:rsidR="00FC4193" w:rsidRPr="003D1C33" w:rsidRDefault="00FC4193" w:rsidP="003D1C33">
      <w:pPr>
        <w:numPr>
          <w:ilvl w:val="0"/>
          <w:numId w:val="1"/>
        </w:numPr>
        <w:spacing w:line="480" w:lineRule="auto"/>
        <w:rPr>
          <w:rFonts w:ascii="Times New Roman" w:hAnsi="Times New Roman" w:cs="Times New Roman"/>
        </w:rPr>
      </w:pPr>
      <w:r w:rsidRPr="003D1C33">
        <w:rPr>
          <w:rFonts w:ascii="Times New Roman" w:hAnsi="Times New Roman" w:cs="Times New Roman"/>
        </w:rPr>
        <w:lastRenderedPageBreak/>
        <w:t xml:space="preserve">Discussion </w:t>
      </w:r>
      <w:r w:rsidRPr="003D1C33">
        <w:rPr>
          <w:rFonts w:ascii="Times New Roman" w:hAnsi="Times New Roman" w:cs="Times New Roman"/>
        </w:rPr>
        <w:br/>
        <w:t>5.1. Critical Analysis of Asymmetric Power and Standard Form Contracts</w:t>
      </w:r>
      <w:r w:rsidRPr="003D1C33">
        <w:rPr>
          <w:rFonts w:ascii="Times New Roman" w:hAnsi="Times New Roman" w:cs="Times New Roman"/>
        </w:rPr>
        <w:br/>
        <w:t>5.2. The Interplay of Contract Law with Consumer Protection Regulations</w:t>
      </w:r>
      <w:r w:rsidRPr="003D1C33">
        <w:rPr>
          <w:rFonts w:ascii="Times New Roman" w:hAnsi="Times New Roman" w:cs="Times New Roman"/>
        </w:rPr>
        <w:br/>
        <w:t xml:space="preserve">5.3. The Impact of Digital Platforms on Contract Formation and Enforcement </w:t>
      </w:r>
      <w:r w:rsidRPr="003D1C33">
        <w:rPr>
          <w:rFonts w:ascii="Times New Roman" w:hAnsi="Times New Roman" w:cs="Times New Roman"/>
        </w:rPr>
        <w:br/>
        <w:t>5.4. Global Travel and Jurisdictional Challenge</w:t>
      </w:r>
      <w:r w:rsidR="00A03851">
        <w:rPr>
          <w:rFonts w:ascii="Times New Roman" w:hAnsi="Times New Roman" w:cs="Times New Roman"/>
        </w:rPr>
        <w:t>s</w:t>
      </w:r>
    </w:p>
    <w:p w14:paraId="14C583FD" w14:textId="0466BF76" w:rsidR="00FC4193" w:rsidRPr="003D1C33" w:rsidRDefault="00FC4193" w:rsidP="003D1C33">
      <w:pPr>
        <w:numPr>
          <w:ilvl w:val="0"/>
          <w:numId w:val="1"/>
        </w:numPr>
        <w:spacing w:line="480" w:lineRule="auto"/>
        <w:rPr>
          <w:rFonts w:ascii="Times New Roman" w:hAnsi="Times New Roman" w:cs="Times New Roman"/>
        </w:rPr>
      </w:pPr>
      <w:r w:rsidRPr="003D1C33">
        <w:rPr>
          <w:rFonts w:ascii="Times New Roman" w:hAnsi="Times New Roman" w:cs="Times New Roman"/>
        </w:rPr>
        <w:t xml:space="preserve">Conclusion </w:t>
      </w:r>
      <w:r w:rsidRPr="003D1C33">
        <w:rPr>
          <w:rFonts w:ascii="Times New Roman" w:hAnsi="Times New Roman" w:cs="Times New Roman"/>
        </w:rPr>
        <w:br/>
        <w:t xml:space="preserve">6.1. Summary of Key Insights </w:t>
      </w:r>
      <w:r w:rsidRPr="003D1C33">
        <w:rPr>
          <w:rFonts w:ascii="Times New Roman" w:hAnsi="Times New Roman" w:cs="Times New Roman"/>
        </w:rPr>
        <w:br/>
        <w:t>6.2. Recommendations for Stakeholders</w:t>
      </w:r>
      <w:r w:rsidRPr="003D1C33">
        <w:rPr>
          <w:rFonts w:ascii="Times New Roman" w:hAnsi="Times New Roman" w:cs="Times New Roman"/>
        </w:rPr>
        <w:br/>
        <w:t xml:space="preserve">6.3. Areas for Future Research </w:t>
      </w:r>
      <w:r w:rsidRPr="003D1C33">
        <w:rPr>
          <w:rFonts w:ascii="Times New Roman" w:hAnsi="Times New Roman" w:cs="Times New Roman"/>
        </w:rPr>
        <w:br/>
        <w:t xml:space="preserve">References </w:t>
      </w:r>
      <w:r w:rsidRPr="003D1C33">
        <w:rPr>
          <w:rFonts w:ascii="Times New Roman" w:hAnsi="Times New Roman" w:cs="Times New Roman"/>
        </w:rPr>
        <w:br/>
        <w:t xml:space="preserve">Appendices </w:t>
      </w:r>
      <w:r w:rsidRPr="003D1C33">
        <w:rPr>
          <w:rFonts w:ascii="Times New Roman" w:hAnsi="Times New Roman" w:cs="Times New Roman"/>
        </w:rPr>
        <w:br/>
        <w:t xml:space="preserve">Appendix A: Sample Summary of Key Consumer Rights under EU Package Travel </w:t>
      </w:r>
    </w:p>
    <w:p w14:paraId="187E6616" w14:textId="77777777" w:rsidR="00FC4193" w:rsidRPr="003D1C33" w:rsidRDefault="00FC4193" w:rsidP="003D1C33">
      <w:pPr>
        <w:spacing w:line="480" w:lineRule="auto"/>
        <w:rPr>
          <w:rFonts w:ascii="Times New Roman" w:hAnsi="Times New Roman" w:cs="Times New Roman"/>
          <w:b/>
          <w:bCs/>
        </w:rPr>
      </w:pPr>
    </w:p>
    <w:p w14:paraId="108A1767" w14:textId="77777777" w:rsidR="00FC4193" w:rsidRPr="003D1C33" w:rsidRDefault="00FC4193" w:rsidP="003D1C33">
      <w:pPr>
        <w:spacing w:line="480" w:lineRule="auto"/>
        <w:rPr>
          <w:rFonts w:ascii="Times New Roman" w:hAnsi="Times New Roman" w:cs="Times New Roman"/>
          <w:b/>
          <w:bCs/>
        </w:rPr>
      </w:pPr>
    </w:p>
    <w:p w14:paraId="3DA34048" w14:textId="77777777" w:rsidR="00FC4193" w:rsidRPr="003D1C33" w:rsidRDefault="00FC4193" w:rsidP="003D1C33">
      <w:pPr>
        <w:spacing w:line="480" w:lineRule="auto"/>
        <w:rPr>
          <w:rFonts w:ascii="Times New Roman" w:hAnsi="Times New Roman" w:cs="Times New Roman"/>
          <w:b/>
          <w:bCs/>
        </w:rPr>
      </w:pPr>
    </w:p>
    <w:p w14:paraId="1F2F2D68" w14:textId="75A6F62D" w:rsidR="00FC4193" w:rsidRPr="003D1C33" w:rsidRDefault="00CC70D2" w:rsidP="003D1C33">
      <w:pPr>
        <w:spacing w:line="480" w:lineRule="auto"/>
        <w:rPr>
          <w:rFonts w:ascii="Times New Roman" w:hAnsi="Times New Roman" w:cs="Times New Roman"/>
          <w:b/>
          <w:bCs/>
        </w:rPr>
      </w:pPr>
      <w:r w:rsidRPr="003D1C33">
        <w:rPr>
          <w:rFonts w:ascii="Times New Roman" w:hAnsi="Times New Roman" w:cs="Times New Roman"/>
          <w:b/>
          <w:bCs/>
        </w:rPr>
        <w:t>Abstract</w:t>
      </w:r>
    </w:p>
    <w:p w14:paraId="05287238" w14:textId="77777777" w:rsidR="00CC70D2" w:rsidRPr="003D1C33" w:rsidRDefault="00CC70D2" w:rsidP="003D1C33">
      <w:pPr>
        <w:spacing w:line="480" w:lineRule="auto"/>
        <w:rPr>
          <w:rFonts w:ascii="Times New Roman" w:hAnsi="Times New Roman" w:cs="Times New Roman"/>
        </w:rPr>
      </w:pPr>
      <w:r w:rsidRPr="00CC70D2">
        <w:rPr>
          <w:rFonts w:ascii="Times New Roman" w:hAnsi="Times New Roman" w:cs="Times New Roman"/>
        </w:rPr>
        <w:t xml:space="preserve">The basic function of contract law in organizing and governing the international travel and tourism sector is examined in this project report. The sector, which is distinguished by complicated supply chains, advance payments, and intangible services, depends solely on contractual agreements to operate. The study investigates how the traditional contract law tenets of offer, acceptance, consideration, and purpose to establish legal relations are used in the contemporary online travel industry. It offers a thorough analysis of typical travel contracts, such as those pertaining to package tours, internet reservations, and liability releases for adventurous pursuits. The rights and responsibilities of customers and service </w:t>
      </w:r>
      <w:r w:rsidRPr="00CC70D2">
        <w:rPr>
          <w:rFonts w:ascii="Times New Roman" w:hAnsi="Times New Roman" w:cs="Times New Roman"/>
        </w:rPr>
        <w:lastRenderedPageBreak/>
        <w:t xml:space="preserve">providers are critically examined, emphasizing the regular power disparity that is addressed by specific consumer protection laws. </w:t>
      </w:r>
      <w:r w:rsidRPr="003D1C33">
        <w:rPr>
          <w:rFonts w:ascii="Times New Roman" w:hAnsi="Times New Roman" w:cs="Times New Roman"/>
        </w:rPr>
        <w:t>The study is based on actual situations, including as disagreements about airline cancellations during the COVID-19 epidemic, hotel facility misrepresentations, and the application of liability releases in accident cases. The discussion assesses the difficulties presented by cross-border jurisdictional concerns, standard form contracts, and the prevalence of internet travel companies. The study comes to the conclusion that, although traditional contract law offers the necessary framework, its incorporation with strong consumer protection laws is crucial for maintaining consumer confidence in the travel and tourist industry, guaranteeing equity, and controlling risk. Policymakers, companies, and consumers are given suggestions on how to improve the fairness and clarity of contracts.</w:t>
      </w:r>
    </w:p>
    <w:p w14:paraId="60BF474B" w14:textId="7BB27514" w:rsidR="00FC4193" w:rsidRPr="003D1C33" w:rsidRDefault="00FC4193" w:rsidP="003D1C33">
      <w:pPr>
        <w:spacing w:line="480" w:lineRule="auto"/>
        <w:rPr>
          <w:rFonts w:ascii="Times New Roman" w:hAnsi="Times New Roman" w:cs="Times New Roman"/>
        </w:rPr>
      </w:pPr>
    </w:p>
    <w:p w14:paraId="761DE8B8" w14:textId="77777777" w:rsidR="00FC4193" w:rsidRPr="003D1C33" w:rsidRDefault="00FC4193" w:rsidP="003D1C33">
      <w:pPr>
        <w:spacing w:line="480" w:lineRule="auto"/>
        <w:rPr>
          <w:rFonts w:ascii="Times New Roman" w:hAnsi="Times New Roman" w:cs="Times New Roman"/>
          <w:b/>
          <w:bCs/>
        </w:rPr>
      </w:pPr>
    </w:p>
    <w:p w14:paraId="688C4B3D" w14:textId="77777777" w:rsidR="00FC4193" w:rsidRPr="003D1C33" w:rsidRDefault="00FC4193" w:rsidP="003D1C33">
      <w:pPr>
        <w:spacing w:line="480" w:lineRule="auto"/>
        <w:rPr>
          <w:rFonts w:ascii="Times New Roman" w:hAnsi="Times New Roman" w:cs="Times New Roman"/>
          <w:b/>
          <w:bCs/>
        </w:rPr>
      </w:pPr>
    </w:p>
    <w:p w14:paraId="58884987" w14:textId="77777777" w:rsidR="00FC4193" w:rsidRPr="003D1C33" w:rsidRDefault="00FC4193" w:rsidP="003D1C33">
      <w:pPr>
        <w:spacing w:line="480" w:lineRule="auto"/>
        <w:rPr>
          <w:rFonts w:ascii="Times New Roman" w:hAnsi="Times New Roman" w:cs="Times New Roman"/>
          <w:b/>
          <w:bCs/>
        </w:rPr>
      </w:pPr>
    </w:p>
    <w:p w14:paraId="780879A6" w14:textId="77777777" w:rsidR="00FC4193" w:rsidRPr="003D1C33" w:rsidRDefault="00FC4193" w:rsidP="003D1C33">
      <w:pPr>
        <w:spacing w:line="480" w:lineRule="auto"/>
        <w:rPr>
          <w:rFonts w:ascii="Times New Roman" w:hAnsi="Times New Roman" w:cs="Times New Roman"/>
          <w:b/>
          <w:bCs/>
        </w:rPr>
      </w:pPr>
    </w:p>
    <w:p w14:paraId="5CAEBE87" w14:textId="77777777" w:rsidR="00FC4193" w:rsidRPr="003D1C33" w:rsidRDefault="00FC4193" w:rsidP="003D1C33">
      <w:pPr>
        <w:spacing w:line="480" w:lineRule="auto"/>
        <w:rPr>
          <w:rFonts w:ascii="Times New Roman" w:hAnsi="Times New Roman" w:cs="Times New Roman"/>
          <w:b/>
          <w:bCs/>
        </w:rPr>
      </w:pPr>
    </w:p>
    <w:p w14:paraId="683126F2" w14:textId="77777777" w:rsidR="00FC4193" w:rsidRPr="003D1C33" w:rsidRDefault="00FC4193" w:rsidP="003D1C33">
      <w:pPr>
        <w:spacing w:line="480" w:lineRule="auto"/>
        <w:rPr>
          <w:rFonts w:ascii="Times New Roman" w:hAnsi="Times New Roman" w:cs="Times New Roman"/>
          <w:b/>
          <w:bCs/>
        </w:rPr>
      </w:pPr>
    </w:p>
    <w:p w14:paraId="3997C9E7" w14:textId="77777777" w:rsidR="00FC4193" w:rsidRPr="003D1C33" w:rsidRDefault="00FC4193" w:rsidP="003D1C33">
      <w:pPr>
        <w:spacing w:line="480" w:lineRule="auto"/>
        <w:rPr>
          <w:rFonts w:ascii="Times New Roman" w:hAnsi="Times New Roman" w:cs="Times New Roman"/>
          <w:b/>
          <w:bCs/>
        </w:rPr>
      </w:pPr>
    </w:p>
    <w:p w14:paraId="47645BF9" w14:textId="77777777" w:rsidR="00FC4193" w:rsidRPr="003D1C33" w:rsidRDefault="00FC4193" w:rsidP="003D1C33">
      <w:pPr>
        <w:spacing w:line="480" w:lineRule="auto"/>
        <w:rPr>
          <w:rFonts w:ascii="Times New Roman" w:hAnsi="Times New Roman" w:cs="Times New Roman"/>
          <w:b/>
          <w:bCs/>
        </w:rPr>
      </w:pPr>
    </w:p>
    <w:p w14:paraId="79DB1B04" w14:textId="77777777" w:rsidR="00FC4193" w:rsidRPr="003D1C33" w:rsidRDefault="00FC4193" w:rsidP="003D1C33">
      <w:pPr>
        <w:spacing w:line="480" w:lineRule="auto"/>
        <w:rPr>
          <w:rFonts w:ascii="Times New Roman" w:hAnsi="Times New Roman" w:cs="Times New Roman"/>
          <w:b/>
          <w:bCs/>
        </w:rPr>
      </w:pPr>
    </w:p>
    <w:p w14:paraId="0A8FB217" w14:textId="77777777" w:rsidR="00FC4193" w:rsidRPr="003D1C33" w:rsidRDefault="00FC4193" w:rsidP="003D1C33">
      <w:pPr>
        <w:spacing w:line="480" w:lineRule="auto"/>
        <w:rPr>
          <w:rFonts w:ascii="Times New Roman" w:hAnsi="Times New Roman" w:cs="Times New Roman"/>
          <w:b/>
          <w:bCs/>
        </w:rPr>
      </w:pPr>
    </w:p>
    <w:p w14:paraId="04AB1138" w14:textId="77777777" w:rsidR="00FC4193" w:rsidRPr="003D1C33" w:rsidRDefault="00FC4193" w:rsidP="003D1C33">
      <w:pPr>
        <w:spacing w:line="480" w:lineRule="auto"/>
        <w:rPr>
          <w:rFonts w:ascii="Times New Roman" w:hAnsi="Times New Roman" w:cs="Times New Roman"/>
          <w:b/>
          <w:bCs/>
        </w:rPr>
      </w:pPr>
    </w:p>
    <w:p w14:paraId="37DAE0F0" w14:textId="77777777" w:rsidR="00FC4193" w:rsidRPr="003D1C33" w:rsidRDefault="00FC4193" w:rsidP="003D1C33">
      <w:pPr>
        <w:spacing w:line="480" w:lineRule="auto"/>
        <w:rPr>
          <w:rFonts w:ascii="Times New Roman" w:hAnsi="Times New Roman" w:cs="Times New Roman"/>
          <w:b/>
          <w:bCs/>
        </w:rPr>
      </w:pPr>
    </w:p>
    <w:p w14:paraId="49ED6F0A" w14:textId="77777777" w:rsidR="00FC4193" w:rsidRPr="003D1C33" w:rsidRDefault="00FC4193" w:rsidP="003D1C33">
      <w:pPr>
        <w:spacing w:line="480" w:lineRule="auto"/>
        <w:rPr>
          <w:rFonts w:ascii="Times New Roman" w:hAnsi="Times New Roman" w:cs="Times New Roman"/>
          <w:b/>
          <w:bCs/>
        </w:rPr>
      </w:pPr>
    </w:p>
    <w:p w14:paraId="3671E092" w14:textId="77777777" w:rsidR="00FC4193" w:rsidRPr="003D1C33" w:rsidRDefault="00FC4193" w:rsidP="003D1C33">
      <w:pPr>
        <w:spacing w:line="480" w:lineRule="auto"/>
        <w:rPr>
          <w:rFonts w:ascii="Times New Roman" w:hAnsi="Times New Roman" w:cs="Times New Roman"/>
          <w:b/>
          <w:bCs/>
        </w:rPr>
      </w:pPr>
    </w:p>
    <w:p w14:paraId="251F00F5" w14:textId="34C9A2A8"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1. Introduction</w:t>
      </w:r>
    </w:p>
    <w:p w14:paraId="423C8ABF" w14:textId="77777777" w:rsidR="00CC70D2" w:rsidRPr="00CC70D2" w:rsidRDefault="00CC70D2" w:rsidP="003D1C33">
      <w:pPr>
        <w:spacing w:line="480" w:lineRule="auto"/>
        <w:rPr>
          <w:rFonts w:ascii="Times New Roman" w:hAnsi="Times New Roman" w:cs="Times New Roman"/>
        </w:rPr>
      </w:pPr>
      <w:r w:rsidRPr="00CC70D2">
        <w:rPr>
          <w:rFonts w:ascii="Times New Roman" w:hAnsi="Times New Roman" w:cs="Times New Roman"/>
        </w:rPr>
        <w:t>One of the biggest economic sectors in the world, tourism allows billions of people to travel, engage in cultural exchange, and relax. Every travel-related activity, from purchasing a multi-week luxury vacation to making a basic internet ticket reservation, is fundamentally regulated by a contract. These agreements specify the commitments made: a customer pays, and a service provider provides lodging, transportation, or an experience. However, the apparent ease of this transaction conceals a sophisticated legal foundation that controls risk, establishes standards, and offers recourse in the event of a problem.</w:t>
      </w:r>
    </w:p>
    <w:p w14:paraId="29DA9ED8" w14:textId="77777777" w:rsidR="00CC70D2" w:rsidRPr="00CC70D2" w:rsidRDefault="00CC70D2" w:rsidP="003D1C33">
      <w:pPr>
        <w:spacing w:line="480" w:lineRule="auto"/>
        <w:rPr>
          <w:rFonts w:ascii="Times New Roman" w:hAnsi="Times New Roman" w:cs="Times New Roman"/>
        </w:rPr>
      </w:pPr>
      <w:r w:rsidRPr="00CC70D2">
        <w:rPr>
          <w:rFonts w:ascii="Times New Roman" w:hAnsi="Times New Roman" w:cs="Times New Roman"/>
        </w:rPr>
        <w:t>Purchasing a tourism service is an act of faith in a future performance, as opposed to buying a tangible thing. The merchandise cannot be inspected at the moment of sale if a family makes a six-month reservation for a vacation park villa. A passenger who depends on an airline's timetable has faith that a particular flight will depart at a particular time. Clear, equitable, and enforceable contracts are not merely a business formality; rather, they are the cornerstone of the industry's credibility and operations due to its intangible, forward-looking nature. The principles of contract law provide the rights and obligations of all parties when a resort does not live up to its brochure description, a tour operator files for bankruptcy, or a natural calamity interrupts travel.</w:t>
      </w:r>
    </w:p>
    <w:p w14:paraId="2BEFA692" w14:textId="77777777" w:rsidR="00CC70D2" w:rsidRPr="003D1C33" w:rsidRDefault="00CC70D2" w:rsidP="003D1C33">
      <w:pPr>
        <w:spacing w:line="480" w:lineRule="auto"/>
        <w:rPr>
          <w:rFonts w:ascii="Times New Roman" w:hAnsi="Times New Roman" w:cs="Times New Roman"/>
        </w:rPr>
      </w:pPr>
      <w:r w:rsidRPr="00CC70D2">
        <w:rPr>
          <w:rFonts w:ascii="Times New Roman" w:hAnsi="Times New Roman" w:cs="Times New Roman"/>
        </w:rPr>
        <w:t xml:space="preserve">The vital role that </w:t>
      </w:r>
      <w:proofErr w:type="gramStart"/>
      <w:r w:rsidRPr="00CC70D2">
        <w:rPr>
          <w:rFonts w:ascii="Times New Roman" w:hAnsi="Times New Roman" w:cs="Times New Roman"/>
        </w:rPr>
        <w:t>contract</w:t>
      </w:r>
      <w:proofErr w:type="gramEnd"/>
      <w:r w:rsidRPr="00CC70D2">
        <w:rPr>
          <w:rFonts w:ascii="Times New Roman" w:hAnsi="Times New Roman" w:cs="Times New Roman"/>
        </w:rPr>
        <w:t xml:space="preserve"> law plays in the travel and </w:t>
      </w:r>
      <w:proofErr w:type="spellStart"/>
      <w:r w:rsidRPr="00CC70D2">
        <w:rPr>
          <w:rFonts w:ascii="Times New Roman" w:hAnsi="Times New Roman" w:cs="Times New Roman"/>
        </w:rPr>
        <w:t>tourist</w:t>
      </w:r>
      <w:proofErr w:type="spellEnd"/>
      <w:r w:rsidRPr="00CC70D2">
        <w:rPr>
          <w:rFonts w:ascii="Times New Roman" w:hAnsi="Times New Roman" w:cs="Times New Roman"/>
        </w:rPr>
        <w:t xml:space="preserve"> sector will be examined in this research. The goal is to clarify the application of legal concepts to routine travel transactions and evaluate whether they effectively strike a balance between the interests of large corporate suppliers and individual customers. In the context of tourism, the paper will first lay out the </w:t>
      </w:r>
      <w:r w:rsidRPr="00CC70D2">
        <w:rPr>
          <w:rFonts w:ascii="Times New Roman" w:hAnsi="Times New Roman" w:cs="Times New Roman"/>
        </w:rPr>
        <w:lastRenderedPageBreak/>
        <w:t>fundamental components needed for a legally enforceable contract. The structure and typical clauses of the most prevalent kinds of agreements that consumers come across will then be examined</w:t>
      </w:r>
      <w:r w:rsidR="00FC4193" w:rsidRPr="003D1C33">
        <w:rPr>
          <w:rFonts w:ascii="Times New Roman" w:hAnsi="Times New Roman" w:cs="Times New Roman"/>
        </w:rPr>
        <w:t xml:space="preserve">. </w:t>
      </w:r>
      <w:r w:rsidRPr="003D1C33">
        <w:rPr>
          <w:rFonts w:ascii="Times New Roman" w:hAnsi="Times New Roman" w:cs="Times New Roman"/>
        </w:rPr>
        <w:t>A critical examination of the legal rights and responsibilities enshrined in these contracts will be a primary topic. In order to show how contract law is used to settle conflicts ranging from petty annoyances to serious personal damage, the theory will lastly be grounded in reality through an analysis of actual disputes.</w:t>
      </w:r>
    </w:p>
    <w:p w14:paraId="5F5BE991" w14:textId="23D5EFEE" w:rsidR="00FC4193" w:rsidRPr="003D1C33" w:rsidRDefault="00FC4193" w:rsidP="003D1C33">
      <w:pPr>
        <w:spacing w:line="480" w:lineRule="auto"/>
        <w:rPr>
          <w:rFonts w:ascii="Times New Roman" w:hAnsi="Times New Roman" w:cs="Times New Roman"/>
        </w:rPr>
      </w:pPr>
    </w:p>
    <w:p w14:paraId="5140B004" w14:textId="77777777" w:rsidR="00CC70D2" w:rsidRPr="00CC70D2" w:rsidRDefault="00CC70D2" w:rsidP="003D1C33">
      <w:pPr>
        <w:spacing w:line="480" w:lineRule="auto"/>
        <w:rPr>
          <w:rFonts w:ascii="Times New Roman" w:hAnsi="Times New Roman" w:cs="Times New Roman"/>
        </w:rPr>
      </w:pPr>
      <w:r w:rsidRPr="00CC70D2">
        <w:rPr>
          <w:rFonts w:ascii="Times New Roman" w:hAnsi="Times New Roman" w:cs="Times New Roman"/>
        </w:rPr>
        <w:t>This report is organized according to a typical academic format. Following this introduction, a survey of the literature will provide an overview of current academic viewpoints on contract law and how it applies to the travel industry. The descriptive and analytical approach used will be described in the methodology section. The main legal ideas, contract kinds, and case studies will be presented in the findings section. These findings will be critically examined in a discussion session that delves into issues of power, regulation, and digital revolution. A summary of the report's main findings and useful suggestions for industry participants will be included at the end. To ensure that the analysis is intelligible to both legal and non-legal audiences interested in the governance of tourism, the language used throughout attempts to be straightforward and approachable, elucidating legal terminology in plain English.</w:t>
      </w:r>
    </w:p>
    <w:p w14:paraId="2E8318D4"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2. Literature Review</w:t>
      </w:r>
    </w:p>
    <w:p w14:paraId="765C3C07" w14:textId="71D1C115"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2.1. Theoretical Foundations of Contract Law</w:t>
      </w:r>
      <w:r w:rsidRPr="003D1C33">
        <w:rPr>
          <w:rFonts w:ascii="Times New Roman" w:hAnsi="Times New Roman" w:cs="Times New Roman"/>
        </w:rPr>
        <w:br/>
      </w:r>
      <w:r w:rsidR="00CC70D2" w:rsidRPr="003D1C33">
        <w:rPr>
          <w:rFonts w:ascii="Times New Roman" w:hAnsi="Times New Roman" w:cs="Times New Roman"/>
        </w:rPr>
        <w:t xml:space="preserve">The freedom of contract and the parties' intentions are key components of the traditional theory of contract law, which has its roots in English law from the 19th century. The fundamental foundations are described by academics such as Beatson, Burrows, and Cartwright (2020) as follows: an offer, a clear acceptance, consideration (something of value transferred), and an intention to establish legal ties. Pacta sunt </w:t>
      </w:r>
      <w:proofErr w:type="spellStart"/>
      <w:r w:rsidR="00CC70D2" w:rsidRPr="003D1C33">
        <w:rPr>
          <w:rFonts w:ascii="Times New Roman" w:hAnsi="Times New Roman" w:cs="Times New Roman"/>
        </w:rPr>
        <w:t>servanda</w:t>
      </w:r>
      <w:proofErr w:type="spellEnd"/>
      <w:r w:rsidR="00CC70D2" w:rsidRPr="003D1C33">
        <w:rPr>
          <w:rFonts w:ascii="Times New Roman" w:hAnsi="Times New Roman" w:cs="Times New Roman"/>
        </w:rPr>
        <w:t xml:space="preserve">, or "agreements must </w:t>
      </w:r>
      <w:r w:rsidR="00CC70D2" w:rsidRPr="003D1C33">
        <w:rPr>
          <w:rFonts w:ascii="Times New Roman" w:hAnsi="Times New Roman" w:cs="Times New Roman"/>
        </w:rPr>
        <w:lastRenderedPageBreak/>
        <w:t>be kept," is the idea behind this structure, which is intended to maintain certainty and enforce voluntary agreements. According to this theory, efficient commerce is supported in a straightforward, idealized transaction between equals.</w:t>
      </w:r>
    </w:p>
    <w:p w14:paraId="247AC0B4" w14:textId="77777777" w:rsidR="00CC70D2" w:rsidRPr="00CC70D2" w:rsidRDefault="00CC70D2" w:rsidP="003D1C33">
      <w:pPr>
        <w:spacing w:line="480" w:lineRule="auto"/>
        <w:rPr>
          <w:rFonts w:ascii="Times New Roman" w:hAnsi="Times New Roman" w:cs="Times New Roman"/>
        </w:rPr>
      </w:pPr>
      <w:r w:rsidRPr="00CC70D2">
        <w:rPr>
          <w:rFonts w:ascii="Times New Roman" w:hAnsi="Times New Roman" w:cs="Times New Roman"/>
        </w:rPr>
        <w:t>Chen-Wishart (2018) discusses how current critique draws attention to this classical model's shortcomings in today's consumer markets. Equal bargaining power is frequently not the case. Customers hardly ever bargain over the conditions of their hotel or airline reservations; instead, they follow the boilerplate clauses created by corporate legal departments. The role of standard form contracts, often known as "contracts of adhesion," in which one party establishes the conditions and the other can only "take it or leave it," has thus drawn a lot of scholarly attention. The literature looks at how lawmakers and courts step in to address inequalities by assuming terms of good faith and applying theories like unconscionability (Poole, 2022).</w:t>
      </w:r>
    </w:p>
    <w:p w14:paraId="1884E69D" w14:textId="77777777" w:rsidR="00CC70D2"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2.2. The Unique Landscape of the Tourism Industry</w:t>
      </w:r>
      <w:r w:rsidRPr="003D1C33">
        <w:rPr>
          <w:rFonts w:ascii="Times New Roman" w:hAnsi="Times New Roman" w:cs="Times New Roman"/>
        </w:rPr>
        <w:br/>
      </w:r>
      <w:r w:rsidR="00CC70D2" w:rsidRPr="003D1C33">
        <w:rPr>
          <w:rFonts w:ascii="Times New Roman" w:hAnsi="Times New Roman" w:cs="Times New Roman"/>
        </w:rPr>
        <w:t xml:space="preserve">Academic studies that focus on tourism law pinpoint the unique characteristics of the industry that influence its contractual arrangements. According to Wiebke (2019), tourist contracts are frequently complicated and pre-paid, containing a collection of distinct services (such as flights, hotels, and tours) that are offered by one party (the tour operator) but provided by others (principals). In the event that a downstream supplier fails, this results in a chain of contracts and unique dangers for customers. Additionally, the service is intangible and experiential; a breach of contract involves a failed expectation of leisure, adventure, or cultural enrichment rather than a defective good. </w:t>
      </w:r>
    </w:p>
    <w:p w14:paraId="4E6158F7" w14:textId="3D8FC18C"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rPr>
        <w:t>(Grant, 2021). This subjectivity makes disputes more complex than in straightforward sales of goods.</w:t>
      </w:r>
    </w:p>
    <w:p w14:paraId="0541647A" w14:textId="77777777" w:rsidR="00CC70D2" w:rsidRPr="00CC70D2" w:rsidRDefault="00CC70D2" w:rsidP="003D1C33">
      <w:pPr>
        <w:spacing w:line="480" w:lineRule="auto"/>
        <w:rPr>
          <w:rFonts w:ascii="Times New Roman" w:hAnsi="Times New Roman" w:cs="Times New Roman"/>
        </w:rPr>
      </w:pPr>
      <w:r w:rsidRPr="00CC70D2">
        <w:rPr>
          <w:rFonts w:ascii="Times New Roman" w:hAnsi="Times New Roman" w:cs="Times New Roman"/>
        </w:rPr>
        <w:lastRenderedPageBreak/>
        <w:t xml:space="preserve">A substantial body of research examines the effects of consumer protection laws that supersede ordinary contract law. One important piece of legislation in the EU is the Package Travel and Linked Travel Arrangements Directive (2015/2302), which has been examined by writers such as </w:t>
      </w:r>
      <w:proofErr w:type="spellStart"/>
      <w:r w:rsidRPr="00CC70D2">
        <w:rPr>
          <w:rFonts w:ascii="Times New Roman" w:hAnsi="Times New Roman" w:cs="Times New Roman"/>
        </w:rPr>
        <w:t>Silingardi</w:t>
      </w:r>
      <w:proofErr w:type="spellEnd"/>
      <w:r w:rsidRPr="00CC70D2">
        <w:rPr>
          <w:rFonts w:ascii="Times New Roman" w:hAnsi="Times New Roman" w:cs="Times New Roman"/>
        </w:rPr>
        <w:t xml:space="preserve"> (2020). It places stringent requirements on organizers, such as accountability for service providers' performance and a responsibility to offer insolvency protection. There are comparable regional frameworks around the world. This layer of regulation recognizes that consumers in this high-risk, high-value industry cannot be adequately protected by contract law alone.</w:t>
      </w:r>
    </w:p>
    <w:p w14:paraId="749C2663" w14:textId="67738B6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2.3. Gaps in Existing Research</w:t>
      </w:r>
      <w:r w:rsidRPr="003D1C33">
        <w:rPr>
          <w:rFonts w:ascii="Times New Roman" w:hAnsi="Times New Roman" w:cs="Times New Roman"/>
        </w:rPr>
        <w:br/>
      </w:r>
      <w:r w:rsidR="007004A6" w:rsidRPr="003D1C33">
        <w:rPr>
          <w:rFonts w:ascii="Times New Roman" w:hAnsi="Times New Roman" w:cs="Times New Roman"/>
        </w:rPr>
        <w:t>Although classical contract law and particular tourism rules are extensively covered in the literature now in publication, there is a dearth of critical, comprehensive analysis that links the practical application of contract concepts to the experiences of digital tourists. A large portion of legal analysis is still very technical. Rapid technical advancement also creates new difficulties. The use of algorithmic dynamic pricing, the contractual status of user reviews, and the intermediary role of Online Travel Agencies (OTAs) such as Booking.com or Expedia all bring up new issues regarding offer, acceptance, and possible deception that need continued scholarly study (Lund, 2023). The purpose of this paper is to make a contribution by critically and clearly applying fundamental contract ideas to these contemporary, everyday situations.</w:t>
      </w:r>
    </w:p>
    <w:p w14:paraId="2579A13F"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3. Methodology</w:t>
      </w:r>
    </w:p>
    <w:p w14:paraId="1868295A" w14:textId="77777777" w:rsidR="007004A6" w:rsidRPr="007004A6" w:rsidRDefault="007004A6" w:rsidP="003D1C33">
      <w:pPr>
        <w:spacing w:line="480" w:lineRule="auto"/>
        <w:rPr>
          <w:rFonts w:ascii="Times New Roman" w:hAnsi="Times New Roman" w:cs="Times New Roman"/>
        </w:rPr>
      </w:pPr>
      <w:r w:rsidRPr="007004A6">
        <w:rPr>
          <w:rFonts w:ascii="Times New Roman" w:hAnsi="Times New Roman" w:cs="Times New Roman"/>
        </w:rPr>
        <w:t>The research methodology used in this paper is desk-based and qualitative. It is mostly a legal and policy analysis that depends on secondary source analysis. The method is analytical and descriptive, with the goal of combining well-established legal theory with its real-world implementation in the travel and tourism industry.</w:t>
      </w:r>
    </w:p>
    <w:p w14:paraId="13424C4A" w14:textId="77777777" w:rsidR="007004A6" w:rsidRPr="003D1C33" w:rsidRDefault="007004A6" w:rsidP="003D1C33">
      <w:pPr>
        <w:spacing w:line="480" w:lineRule="auto"/>
        <w:rPr>
          <w:rFonts w:ascii="Times New Roman" w:hAnsi="Times New Roman" w:cs="Times New Roman"/>
        </w:rPr>
      </w:pPr>
      <w:r w:rsidRPr="007004A6">
        <w:rPr>
          <w:rFonts w:ascii="Times New Roman" w:hAnsi="Times New Roman" w:cs="Times New Roman"/>
        </w:rPr>
        <w:lastRenderedPageBreak/>
        <w:t xml:space="preserve">There were various important phases in the research process. To gain a solid grasp of the fundamentals of contract law and its theoretical foundations, an examination of classic legal texts and peer-reviewed journal articles was first undertaken. Second, in order to comprehend the issues and sector-specific application of tourism and hospitality legislation, specialized texts and articles were examined. Third, the regulatory landscape was mapped by looking at laws and important consumer protection rules, like national consumer rights acts and the EU Package Travel Directive. </w:t>
      </w:r>
      <w:r w:rsidRPr="003D1C33">
        <w:rPr>
          <w:rFonts w:ascii="Times New Roman" w:hAnsi="Times New Roman" w:cs="Times New Roman"/>
        </w:rPr>
        <w:t>Fourth, a number of case law examples, media-reported conflicts, and adjudications from consumer ombudsman services (such as the Australian Competition and Consumer Commission or the UK's Aviation ADR) were gathered and examined in order to anchor the study in actual practice. These instances were chosen to illustrate three prevalent and significant conflict types: personal harm, misrepresentation, and non-performance (cancellations).</w:t>
      </w:r>
    </w:p>
    <w:p w14:paraId="16E50FE7" w14:textId="7175811B" w:rsidR="00FC4193" w:rsidRPr="003D1C33" w:rsidRDefault="00FC4193" w:rsidP="003D1C33">
      <w:pPr>
        <w:spacing w:line="480" w:lineRule="auto"/>
        <w:rPr>
          <w:rFonts w:ascii="Times New Roman" w:hAnsi="Times New Roman" w:cs="Times New Roman"/>
        </w:rPr>
      </w:pPr>
    </w:p>
    <w:p w14:paraId="6FC40CBA" w14:textId="77777777" w:rsidR="007004A6" w:rsidRPr="007004A6" w:rsidRDefault="007004A6" w:rsidP="003D1C33">
      <w:pPr>
        <w:spacing w:line="480" w:lineRule="auto"/>
        <w:rPr>
          <w:rFonts w:ascii="Times New Roman" w:hAnsi="Times New Roman" w:cs="Times New Roman"/>
        </w:rPr>
      </w:pPr>
      <w:r w:rsidRPr="007004A6">
        <w:rPr>
          <w:rFonts w:ascii="Times New Roman" w:hAnsi="Times New Roman" w:cs="Times New Roman"/>
        </w:rPr>
        <w:t>First, the law is described (Findings), and then its effectiveness, equity, and relationship to other factors are critically examined (Discussion). This approach enables a thorough investigation of the assignment's requirements, from fundamental components to critical analysis and practical applicability. This approach's shortcomings include its dependence on published sources and its emphasis on common law jurisdictions (such as the UK, Australia, and Canada) with a passing mention of civil law systems through the EU; as a result, regional differences in national law are not fully addressed.</w:t>
      </w:r>
    </w:p>
    <w:p w14:paraId="4A0FD36A"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4. Findings</w:t>
      </w:r>
    </w:p>
    <w:p w14:paraId="5C2E5376"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4.1. Foundational Elements of a Valid Contract in Tourism</w:t>
      </w:r>
      <w:r w:rsidRPr="003D1C33">
        <w:rPr>
          <w:rFonts w:ascii="Times New Roman" w:hAnsi="Times New Roman" w:cs="Times New Roman"/>
        </w:rPr>
        <w:br/>
        <w:t>For any tourism service agreement to be legally enforceable, it must satisfy the basic elements of a contract.</w:t>
      </w:r>
    </w:p>
    <w:p w14:paraId="7844BA6B"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lastRenderedPageBreak/>
        <w:t>4.1.1. Offer and Acceptance in Digital Transactions</w:t>
      </w:r>
      <w:r w:rsidRPr="003D1C33">
        <w:rPr>
          <w:rFonts w:ascii="Times New Roman" w:hAnsi="Times New Roman" w:cs="Times New Roman"/>
        </w:rPr>
        <w:br/>
        <w:t>In traditional law, an </w:t>
      </w:r>
      <w:r w:rsidRPr="003D1C33">
        <w:rPr>
          <w:rFonts w:ascii="Times New Roman" w:hAnsi="Times New Roman" w:cs="Times New Roman"/>
          <w:i/>
          <w:iCs/>
        </w:rPr>
        <w:t>offer</w:t>
      </w:r>
      <w:r w:rsidRPr="003D1C33">
        <w:rPr>
          <w:rFonts w:ascii="Times New Roman" w:hAnsi="Times New Roman" w:cs="Times New Roman"/>
        </w:rPr>
        <w:t> is a definite promise to be bound on specific terms. An </w:t>
      </w:r>
      <w:r w:rsidRPr="003D1C33">
        <w:rPr>
          <w:rFonts w:ascii="Times New Roman" w:hAnsi="Times New Roman" w:cs="Times New Roman"/>
          <w:i/>
          <w:iCs/>
        </w:rPr>
        <w:t>acceptance</w:t>
      </w:r>
      <w:r w:rsidRPr="003D1C33">
        <w:rPr>
          <w:rFonts w:ascii="Times New Roman" w:hAnsi="Times New Roman" w:cs="Times New Roman"/>
        </w:rPr>
        <w:t> is an unqualified agreement to those terms. In modern tourism, this process is largely automated.</w:t>
      </w:r>
    </w:p>
    <w:p w14:paraId="7FB091EE" w14:textId="77777777" w:rsidR="00FC4193" w:rsidRPr="003D1C33" w:rsidRDefault="00FC4193" w:rsidP="003D1C33">
      <w:pPr>
        <w:numPr>
          <w:ilvl w:val="0"/>
          <w:numId w:val="2"/>
        </w:numPr>
        <w:spacing w:line="480" w:lineRule="auto"/>
        <w:rPr>
          <w:rFonts w:ascii="Times New Roman" w:hAnsi="Times New Roman" w:cs="Times New Roman"/>
        </w:rPr>
      </w:pPr>
      <w:r w:rsidRPr="003D1C33">
        <w:rPr>
          <w:rFonts w:ascii="Times New Roman" w:hAnsi="Times New Roman" w:cs="Times New Roman"/>
          <w:b/>
          <w:bCs/>
        </w:rPr>
        <w:t>The Offer:</w:t>
      </w:r>
      <w:r w:rsidRPr="003D1C33">
        <w:rPr>
          <w:rFonts w:ascii="Times New Roman" w:hAnsi="Times New Roman" w:cs="Times New Roman"/>
        </w:rPr>
        <w:t> When a hotel lists a room on its website for £100 per night for specific dates, this is typically considered an </w:t>
      </w:r>
      <w:r w:rsidRPr="003D1C33">
        <w:rPr>
          <w:rFonts w:ascii="Times New Roman" w:hAnsi="Times New Roman" w:cs="Times New Roman"/>
          <w:i/>
          <w:iCs/>
        </w:rPr>
        <w:t>invitation to treat</w:t>
      </w:r>
      <w:r w:rsidRPr="003D1C33">
        <w:rPr>
          <w:rFonts w:ascii="Times New Roman" w:hAnsi="Times New Roman" w:cs="Times New Roman"/>
        </w:rPr>
        <w:t>, not a firm offer (based on the precedent in </w:t>
      </w:r>
      <w:r w:rsidRPr="003D1C33">
        <w:rPr>
          <w:rFonts w:ascii="Times New Roman" w:hAnsi="Times New Roman" w:cs="Times New Roman"/>
          <w:i/>
          <w:iCs/>
        </w:rPr>
        <w:t>Partridge v Crittenden</w:t>
      </w:r>
      <w:r w:rsidRPr="003D1C33">
        <w:rPr>
          <w:rFonts w:ascii="Times New Roman" w:hAnsi="Times New Roman" w:cs="Times New Roman"/>
        </w:rPr>
        <w:t> [1968]). The hotel is inviting customers to make an offer to book. This protects the hotel from being legally bound if it mistakenly lists a £1000 room for £100. Conversely, a travel advertisement promising a specific package at a set price may be construed as an offer if it is sufficiently precise.</w:t>
      </w:r>
    </w:p>
    <w:p w14:paraId="33DB496E" w14:textId="77777777" w:rsidR="00FC4193" w:rsidRPr="003D1C33" w:rsidRDefault="00FC4193" w:rsidP="003D1C33">
      <w:pPr>
        <w:numPr>
          <w:ilvl w:val="0"/>
          <w:numId w:val="2"/>
        </w:numPr>
        <w:spacing w:line="480" w:lineRule="auto"/>
        <w:rPr>
          <w:rFonts w:ascii="Times New Roman" w:hAnsi="Times New Roman" w:cs="Times New Roman"/>
        </w:rPr>
      </w:pPr>
      <w:r w:rsidRPr="003D1C33">
        <w:rPr>
          <w:rFonts w:ascii="Times New Roman" w:hAnsi="Times New Roman" w:cs="Times New Roman"/>
          <w:b/>
          <w:bCs/>
        </w:rPr>
        <w:t>The Acceptance:</w:t>
      </w:r>
      <w:r w:rsidRPr="003D1C33">
        <w:rPr>
          <w:rFonts w:ascii="Times New Roman" w:hAnsi="Times New Roman" w:cs="Times New Roman"/>
        </w:rPr>
        <w:t> The customer makes an offer by filling in the booking details and clicking "Pay Now." The service provider (or its automated system) then accepts this offer, usually by sending a confirmation email. This email serves as the formal acceptance, creating the binding contract (</w:t>
      </w:r>
      <w:proofErr w:type="spellStart"/>
      <w:r w:rsidRPr="003D1C33">
        <w:rPr>
          <w:rFonts w:ascii="Times New Roman" w:hAnsi="Times New Roman" w:cs="Times New Roman"/>
          <w:i/>
          <w:iCs/>
        </w:rPr>
        <w:t>Brinkibon</w:t>
      </w:r>
      <w:proofErr w:type="spellEnd"/>
      <w:r w:rsidRPr="003D1C33">
        <w:rPr>
          <w:rFonts w:ascii="Times New Roman" w:hAnsi="Times New Roman" w:cs="Times New Roman"/>
          <w:i/>
          <w:iCs/>
        </w:rPr>
        <w:t xml:space="preserve"> Ltd v </w:t>
      </w:r>
      <w:proofErr w:type="spellStart"/>
      <w:r w:rsidRPr="003D1C33">
        <w:rPr>
          <w:rFonts w:ascii="Times New Roman" w:hAnsi="Times New Roman" w:cs="Times New Roman"/>
          <w:i/>
          <w:iCs/>
        </w:rPr>
        <w:t>Stahag</w:t>
      </w:r>
      <w:proofErr w:type="spellEnd"/>
      <w:r w:rsidRPr="003D1C33">
        <w:rPr>
          <w:rFonts w:ascii="Times New Roman" w:hAnsi="Times New Roman" w:cs="Times New Roman"/>
          <w:i/>
          <w:iCs/>
        </w:rPr>
        <w:t xml:space="preserve"> Stahl GmbH</w:t>
      </w:r>
      <w:r w:rsidRPr="003D1C33">
        <w:rPr>
          <w:rFonts w:ascii="Times New Roman" w:hAnsi="Times New Roman" w:cs="Times New Roman"/>
        </w:rPr>
        <w:t> [1983]). The exact moment of "clicking" can be crucial for determining when the contract was formed, especially if prices change.</w:t>
      </w:r>
    </w:p>
    <w:p w14:paraId="7E9CBF13"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4.1.2. Consideration: The Price of the Experience</w:t>
      </w:r>
      <w:r w:rsidRPr="003D1C33">
        <w:rPr>
          <w:rFonts w:ascii="Times New Roman" w:hAnsi="Times New Roman" w:cs="Times New Roman"/>
        </w:rPr>
        <w:br/>
      </w:r>
      <w:r w:rsidRPr="003D1C33">
        <w:rPr>
          <w:rFonts w:ascii="Times New Roman" w:hAnsi="Times New Roman" w:cs="Times New Roman"/>
          <w:i/>
          <w:iCs/>
        </w:rPr>
        <w:t>Consideration</w:t>
      </w:r>
      <w:r w:rsidRPr="003D1C33">
        <w:rPr>
          <w:rFonts w:ascii="Times New Roman" w:hAnsi="Times New Roman" w:cs="Times New Roman"/>
        </w:rPr>
        <w:t> is what each party brings to the bargain. For the consumer, it is invariably the payment of money—the price of the ticket, room, or tour. For the provider, it is the promise to supply the service as described. Consideration must be sufficient but need not be adequate; a court will not interfere if a consumer got a "bad deal," provided something of legal value was exchanged. For instance, a deeply discounted last-minute flight is still a valid contract; the low price is the consideration from the airline for securing a filled seat.</w:t>
      </w:r>
    </w:p>
    <w:p w14:paraId="5E5B2BFE"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4.2. Common Contract Types in the Tourism Sector</w:t>
      </w:r>
    </w:p>
    <w:p w14:paraId="6AB3A549"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lastRenderedPageBreak/>
        <w:t>4.2.1. Booking Agreements (Hotel, Airline, Car Rental)</w:t>
      </w:r>
      <w:r w:rsidRPr="003D1C33">
        <w:rPr>
          <w:rFonts w:ascii="Times New Roman" w:hAnsi="Times New Roman" w:cs="Times New Roman"/>
        </w:rPr>
        <w:br/>
        <w:t>These are the most basic and frequent contracts. They are almost universally standard form contracts presented online. Key clauses include:</w:t>
      </w:r>
    </w:p>
    <w:p w14:paraId="08D8BE96" w14:textId="77777777" w:rsidR="00FC4193" w:rsidRPr="003D1C33" w:rsidRDefault="00FC4193" w:rsidP="003D1C33">
      <w:pPr>
        <w:numPr>
          <w:ilvl w:val="0"/>
          <w:numId w:val="3"/>
        </w:numPr>
        <w:spacing w:line="480" w:lineRule="auto"/>
        <w:rPr>
          <w:rFonts w:ascii="Times New Roman" w:hAnsi="Times New Roman" w:cs="Times New Roman"/>
        </w:rPr>
      </w:pPr>
      <w:r w:rsidRPr="003D1C33">
        <w:rPr>
          <w:rFonts w:ascii="Times New Roman" w:hAnsi="Times New Roman" w:cs="Times New Roman"/>
          <w:b/>
          <w:bCs/>
        </w:rPr>
        <w:t>Payment Terms:</w:t>
      </w:r>
      <w:r w:rsidRPr="003D1C33">
        <w:rPr>
          <w:rFonts w:ascii="Times New Roman" w:hAnsi="Times New Roman" w:cs="Times New Roman"/>
        </w:rPr>
        <w:t> Often requiring full or partial payment in advance.</w:t>
      </w:r>
    </w:p>
    <w:p w14:paraId="7E142487" w14:textId="77777777" w:rsidR="00FC4193" w:rsidRPr="003D1C33" w:rsidRDefault="00FC4193" w:rsidP="003D1C33">
      <w:pPr>
        <w:numPr>
          <w:ilvl w:val="0"/>
          <w:numId w:val="3"/>
        </w:numPr>
        <w:spacing w:line="480" w:lineRule="auto"/>
        <w:rPr>
          <w:rFonts w:ascii="Times New Roman" w:hAnsi="Times New Roman" w:cs="Times New Roman"/>
        </w:rPr>
      </w:pPr>
      <w:r w:rsidRPr="003D1C33">
        <w:rPr>
          <w:rFonts w:ascii="Times New Roman" w:hAnsi="Times New Roman" w:cs="Times New Roman"/>
          <w:b/>
          <w:bCs/>
        </w:rPr>
        <w:t>Cancellation and Change Policy:</w:t>
      </w:r>
      <w:r w:rsidRPr="003D1C33">
        <w:rPr>
          <w:rFonts w:ascii="Times New Roman" w:hAnsi="Times New Roman" w:cs="Times New Roman"/>
        </w:rPr>
        <w:t> Defining penalties for consumer cancellation and fees for changes. These are liquidated damages clauses and must be a genuine pre-estimate of loss to be enforceable, not a penalty (</w:t>
      </w:r>
      <w:proofErr w:type="spellStart"/>
      <w:r w:rsidRPr="003D1C33">
        <w:rPr>
          <w:rFonts w:ascii="Times New Roman" w:hAnsi="Times New Roman" w:cs="Times New Roman"/>
          <w:i/>
          <w:iCs/>
        </w:rPr>
        <w:t>ParkingEye</w:t>
      </w:r>
      <w:proofErr w:type="spellEnd"/>
      <w:r w:rsidRPr="003D1C33">
        <w:rPr>
          <w:rFonts w:ascii="Times New Roman" w:hAnsi="Times New Roman" w:cs="Times New Roman"/>
          <w:i/>
          <w:iCs/>
        </w:rPr>
        <w:t xml:space="preserve"> Ltd v Beavis</w:t>
      </w:r>
      <w:r w:rsidRPr="003D1C33">
        <w:rPr>
          <w:rFonts w:ascii="Times New Roman" w:hAnsi="Times New Roman" w:cs="Times New Roman"/>
        </w:rPr>
        <w:t> [2015] considered this in a related context).</w:t>
      </w:r>
    </w:p>
    <w:p w14:paraId="65CA5D68" w14:textId="77777777" w:rsidR="00FC4193" w:rsidRPr="003D1C33" w:rsidRDefault="00FC4193" w:rsidP="003D1C33">
      <w:pPr>
        <w:numPr>
          <w:ilvl w:val="0"/>
          <w:numId w:val="3"/>
        </w:numPr>
        <w:spacing w:line="480" w:lineRule="auto"/>
        <w:rPr>
          <w:rFonts w:ascii="Times New Roman" w:hAnsi="Times New Roman" w:cs="Times New Roman"/>
        </w:rPr>
      </w:pPr>
      <w:r w:rsidRPr="003D1C33">
        <w:rPr>
          <w:rFonts w:ascii="Times New Roman" w:hAnsi="Times New Roman" w:cs="Times New Roman"/>
          <w:b/>
          <w:bCs/>
        </w:rPr>
        <w:t>Check-in/Check-out Times and No-Show Policies:</w:t>
      </w:r>
      <w:r w:rsidRPr="003D1C33">
        <w:rPr>
          <w:rFonts w:ascii="Times New Roman" w:hAnsi="Times New Roman" w:cs="Times New Roman"/>
        </w:rPr>
        <w:t> These define key performance obligations.</w:t>
      </w:r>
    </w:p>
    <w:p w14:paraId="1F6E3D1E" w14:textId="77777777" w:rsidR="00FC4193" w:rsidRPr="003D1C33" w:rsidRDefault="00FC4193" w:rsidP="003D1C33">
      <w:pPr>
        <w:numPr>
          <w:ilvl w:val="0"/>
          <w:numId w:val="3"/>
        </w:numPr>
        <w:spacing w:line="480" w:lineRule="auto"/>
        <w:rPr>
          <w:rFonts w:ascii="Times New Roman" w:hAnsi="Times New Roman" w:cs="Times New Roman"/>
        </w:rPr>
      </w:pPr>
      <w:r w:rsidRPr="003D1C33">
        <w:rPr>
          <w:rFonts w:ascii="Times New Roman" w:hAnsi="Times New Roman" w:cs="Times New Roman"/>
          <w:b/>
          <w:bCs/>
        </w:rPr>
        <w:t>Limitation of Liability:</w:t>
      </w:r>
      <w:r w:rsidRPr="003D1C33">
        <w:rPr>
          <w:rFonts w:ascii="Times New Roman" w:hAnsi="Times New Roman" w:cs="Times New Roman"/>
        </w:rPr>
        <w:t> Clauses attempting to cap the provider’s financial liability for failures, often excluding liability for consequential losses (like missed connections or ruined holidays).</w:t>
      </w:r>
    </w:p>
    <w:p w14:paraId="632B75AC"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4.2.2. Package Travel Contracts</w:t>
      </w:r>
      <w:r w:rsidRPr="003D1C33">
        <w:rPr>
          <w:rFonts w:ascii="Times New Roman" w:hAnsi="Times New Roman" w:cs="Times New Roman"/>
        </w:rPr>
        <w:br/>
        <w:t>A package exists where a combination of at least two different types of travel services (e.g., transport + accommodation) is sold at an inclusive price (EU Package Travel Directive, 2015). This creates a single contract with the </w:t>
      </w:r>
      <w:r w:rsidRPr="003D1C33">
        <w:rPr>
          <w:rFonts w:ascii="Times New Roman" w:hAnsi="Times New Roman" w:cs="Times New Roman"/>
          <w:i/>
          <w:iCs/>
        </w:rPr>
        <w:t>organizer</w:t>
      </w:r>
      <w:r w:rsidRPr="003D1C33">
        <w:rPr>
          <w:rFonts w:ascii="Times New Roman" w:hAnsi="Times New Roman" w:cs="Times New Roman"/>
        </w:rPr>
        <w:t> (e.g., TUI, Jet2Holidays), who then holds the legal responsibility for the proper performance of all parts, even those delivered by other companies (like the airline or hotel). This is a critical consumer protection. Key features include:</w:t>
      </w:r>
    </w:p>
    <w:p w14:paraId="154E3628" w14:textId="77777777" w:rsidR="00FC4193" w:rsidRPr="003D1C33" w:rsidRDefault="00FC4193" w:rsidP="003D1C33">
      <w:pPr>
        <w:numPr>
          <w:ilvl w:val="0"/>
          <w:numId w:val="4"/>
        </w:numPr>
        <w:spacing w:line="480" w:lineRule="auto"/>
        <w:rPr>
          <w:rFonts w:ascii="Times New Roman" w:hAnsi="Times New Roman" w:cs="Times New Roman"/>
        </w:rPr>
      </w:pPr>
      <w:r w:rsidRPr="003D1C33">
        <w:rPr>
          <w:rFonts w:ascii="Times New Roman" w:hAnsi="Times New Roman" w:cs="Times New Roman"/>
          <w:b/>
          <w:bCs/>
        </w:rPr>
        <w:t>Strict Liability of the Organizer:</w:t>
      </w:r>
      <w:r w:rsidRPr="003D1C33">
        <w:rPr>
          <w:rFonts w:ascii="Times New Roman" w:hAnsi="Times New Roman" w:cs="Times New Roman"/>
        </w:rPr>
        <w:t> If the hotel is substandard, the consumer’s claim is against the tour operator they booked with, not the distant hotel owner.</w:t>
      </w:r>
    </w:p>
    <w:p w14:paraId="74805ADE" w14:textId="77777777" w:rsidR="00FC4193" w:rsidRPr="003D1C33" w:rsidRDefault="00FC4193" w:rsidP="003D1C33">
      <w:pPr>
        <w:numPr>
          <w:ilvl w:val="0"/>
          <w:numId w:val="4"/>
        </w:numPr>
        <w:spacing w:line="480" w:lineRule="auto"/>
        <w:rPr>
          <w:rFonts w:ascii="Times New Roman" w:hAnsi="Times New Roman" w:cs="Times New Roman"/>
        </w:rPr>
      </w:pPr>
      <w:r w:rsidRPr="003D1C33">
        <w:rPr>
          <w:rFonts w:ascii="Times New Roman" w:hAnsi="Times New Roman" w:cs="Times New Roman"/>
          <w:b/>
          <w:bCs/>
        </w:rPr>
        <w:lastRenderedPageBreak/>
        <w:t>Pre-Contractual Information:</w:t>
      </w:r>
      <w:r w:rsidRPr="003D1C33">
        <w:rPr>
          <w:rFonts w:ascii="Times New Roman" w:hAnsi="Times New Roman" w:cs="Times New Roman"/>
        </w:rPr>
        <w:t> A long list of mandatory information must be provided clearly before booking.</w:t>
      </w:r>
    </w:p>
    <w:p w14:paraId="7B2AFBA5" w14:textId="77777777" w:rsidR="00FC4193" w:rsidRPr="003D1C33" w:rsidRDefault="00FC4193" w:rsidP="003D1C33">
      <w:pPr>
        <w:numPr>
          <w:ilvl w:val="0"/>
          <w:numId w:val="4"/>
        </w:numPr>
        <w:spacing w:line="480" w:lineRule="auto"/>
        <w:rPr>
          <w:rFonts w:ascii="Times New Roman" w:hAnsi="Times New Roman" w:cs="Times New Roman"/>
        </w:rPr>
      </w:pPr>
      <w:r w:rsidRPr="003D1C33">
        <w:rPr>
          <w:rFonts w:ascii="Times New Roman" w:hAnsi="Times New Roman" w:cs="Times New Roman"/>
          <w:b/>
          <w:bCs/>
        </w:rPr>
        <w:t>Insolvency Protection:</w:t>
      </w:r>
      <w:r w:rsidRPr="003D1C33">
        <w:rPr>
          <w:rFonts w:ascii="Times New Roman" w:hAnsi="Times New Roman" w:cs="Times New Roman"/>
        </w:rPr>
        <w:t> Organizers must secure customer prepayments so they can be refunded or repatriated if the company fails.</w:t>
      </w:r>
    </w:p>
    <w:p w14:paraId="3B04D2AA"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4.2.3. Liability Waivers and Exclusion Clauses</w:t>
      </w:r>
      <w:r w:rsidRPr="003D1C33">
        <w:rPr>
          <w:rFonts w:ascii="Times New Roman" w:hAnsi="Times New Roman" w:cs="Times New Roman"/>
        </w:rPr>
        <w:br/>
        <w:t>Common in adventure tourism (skiing, bungee jumping, guided treks), these clauses aim to exclude or limit the operator’s liability for personal injury or death resulting from the inherent risks of the activity. Their enforceability is heavily scrutinized by courts. The basic rule is that no one can exclude liability for death or personal injury caused by their </w:t>
      </w:r>
      <w:r w:rsidRPr="003D1C33">
        <w:rPr>
          <w:rFonts w:ascii="Times New Roman" w:hAnsi="Times New Roman" w:cs="Times New Roman"/>
          <w:i/>
          <w:iCs/>
        </w:rPr>
        <w:t>negligence</w:t>
      </w:r>
      <w:r w:rsidRPr="003D1C33">
        <w:rPr>
          <w:rFonts w:ascii="Times New Roman" w:hAnsi="Times New Roman" w:cs="Times New Roman"/>
        </w:rPr>
        <w:t> (failure to take reasonable care) through a contract term or notice (e.g., UK Unfair Contract Terms Act 1977, s.2). A waiver for the "inherent risks" of rock climbing (like a fall due to a natural rock fall) may be upheld. However, a waiver for injury caused by the operator’s </w:t>
      </w:r>
      <w:r w:rsidRPr="003D1C33">
        <w:rPr>
          <w:rFonts w:ascii="Times New Roman" w:hAnsi="Times New Roman" w:cs="Times New Roman"/>
          <w:i/>
          <w:iCs/>
        </w:rPr>
        <w:t>negligence</w:t>
      </w:r>
      <w:r w:rsidRPr="003D1C33">
        <w:rPr>
          <w:rFonts w:ascii="Times New Roman" w:hAnsi="Times New Roman" w:cs="Times New Roman"/>
        </w:rPr>
        <w:t>—such as using faulty equipment or employing an incompetent guide—will almost certainly be void as unfair and unreasonable.</w:t>
      </w:r>
    </w:p>
    <w:p w14:paraId="1667918D" w14:textId="77777777" w:rsidR="00FC4193" w:rsidRPr="003D1C33" w:rsidRDefault="00FC4193" w:rsidP="003D1C33">
      <w:pPr>
        <w:spacing w:line="480" w:lineRule="auto"/>
        <w:rPr>
          <w:rFonts w:ascii="Times New Roman" w:hAnsi="Times New Roman" w:cs="Times New Roman"/>
          <w:b/>
          <w:bCs/>
        </w:rPr>
      </w:pPr>
    </w:p>
    <w:p w14:paraId="38757FA1" w14:textId="77777777" w:rsidR="00FC4193" w:rsidRPr="003D1C33" w:rsidRDefault="00FC4193" w:rsidP="003D1C33">
      <w:pPr>
        <w:spacing w:line="480" w:lineRule="auto"/>
        <w:rPr>
          <w:rFonts w:ascii="Times New Roman" w:hAnsi="Times New Roman" w:cs="Times New Roman"/>
          <w:b/>
          <w:bCs/>
        </w:rPr>
      </w:pPr>
    </w:p>
    <w:p w14:paraId="4A349F57" w14:textId="77777777" w:rsidR="00FC4193" w:rsidRPr="003D1C33" w:rsidRDefault="00FC4193" w:rsidP="003D1C33">
      <w:pPr>
        <w:spacing w:line="480" w:lineRule="auto"/>
        <w:rPr>
          <w:rFonts w:ascii="Times New Roman" w:hAnsi="Times New Roman" w:cs="Times New Roman"/>
          <w:b/>
          <w:bCs/>
        </w:rPr>
      </w:pPr>
    </w:p>
    <w:p w14:paraId="09DCAA3A" w14:textId="77777777" w:rsidR="00FC4193" w:rsidRPr="003D1C33" w:rsidRDefault="00FC4193" w:rsidP="003D1C33">
      <w:pPr>
        <w:spacing w:line="480" w:lineRule="auto"/>
        <w:rPr>
          <w:rFonts w:ascii="Times New Roman" w:hAnsi="Times New Roman" w:cs="Times New Roman"/>
          <w:b/>
          <w:bCs/>
        </w:rPr>
      </w:pPr>
    </w:p>
    <w:p w14:paraId="1C4EDCDD" w14:textId="77777777" w:rsidR="00FC4193" w:rsidRPr="003D1C33" w:rsidRDefault="00FC4193" w:rsidP="003D1C33">
      <w:pPr>
        <w:spacing w:line="480" w:lineRule="auto"/>
        <w:rPr>
          <w:rFonts w:ascii="Times New Roman" w:hAnsi="Times New Roman" w:cs="Times New Roman"/>
          <w:b/>
          <w:bCs/>
        </w:rPr>
      </w:pPr>
    </w:p>
    <w:p w14:paraId="4312A8FC" w14:textId="717B2532"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4.3. Legal Rights and Obligations of Parties</w:t>
      </w:r>
    </w:p>
    <w:p w14:paraId="3DE9B499"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4.3.1. Consumer Rights: Information, Performance, and Redress</w:t>
      </w:r>
      <w:r w:rsidRPr="003D1C33">
        <w:rPr>
          <w:rFonts w:ascii="Times New Roman" w:hAnsi="Times New Roman" w:cs="Times New Roman"/>
        </w:rPr>
        <w:br/>
        <w:t>Consumers have a bundle of rights derived from both the specific contract and overarching law:</w:t>
      </w:r>
    </w:p>
    <w:p w14:paraId="49C21E62" w14:textId="77777777" w:rsidR="00FC4193" w:rsidRPr="003D1C33" w:rsidRDefault="00FC4193" w:rsidP="003D1C33">
      <w:pPr>
        <w:numPr>
          <w:ilvl w:val="0"/>
          <w:numId w:val="5"/>
        </w:numPr>
        <w:spacing w:line="480" w:lineRule="auto"/>
        <w:rPr>
          <w:rFonts w:ascii="Times New Roman" w:hAnsi="Times New Roman" w:cs="Times New Roman"/>
        </w:rPr>
      </w:pPr>
      <w:r w:rsidRPr="003D1C33">
        <w:rPr>
          <w:rFonts w:ascii="Times New Roman" w:hAnsi="Times New Roman" w:cs="Times New Roman"/>
          <w:b/>
          <w:bCs/>
        </w:rPr>
        <w:lastRenderedPageBreak/>
        <w:t>Right to Accurate Pre-Contractual Information:</w:t>
      </w:r>
      <w:r w:rsidRPr="003D1C33">
        <w:rPr>
          <w:rFonts w:ascii="Times New Roman" w:hAnsi="Times New Roman" w:cs="Times New Roman"/>
        </w:rPr>
        <w:t> Descriptions in brochures and websites form part of the contract. A "sea-view room" that overlooks a car park is a breach.</w:t>
      </w:r>
    </w:p>
    <w:p w14:paraId="37147669" w14:textId="77777777" w:rsidR="00FC4193" w:rsidRPr="003D1C33" w:rsidRDefault="00FC4193" w:rsidP="003D1C33">
      <w:pPr>
        <w:numPr>
          <w:ilvl w:val="0"/>
          <w:numId w:val="5"/>
        </w:numPr>
        <w:spacing w:line="480" w:lineRule="auto"/>
        <w:rPr>
          <w:rFonts w:ascii="Times New Roman" w:hAnsi="Times New Roman" w:cs="Times New Roman"/>
        </w:rPr>
      </w:pPr>
      <w:r w:rsidRPr="003D1C33">
        <w:rPr>
          <w:rFonts w:ascii="Times New Roman" w:hAnsi="Times New Roman" w:cs="Times New Roman"/>
          <w:b/>
          <w:bCs/>
        </w:rPr>
        <w:t>Right to Conformity:</w:t>
      </w:r>
      <w:r w:rsidRPr="003D1C33">
        <w:rPr>
          <w:rFonts w:ascii="Times New Roman" w:hAnsi="Times New Roman" w:cs="Times New Roman"/>
        </w:rPr>
        <w:t> The service must be performed with reasonable care and skill, and match the description given. A "4-star hotel" must correspond to the relevant grading scheme.</w:t>
      </w:r>
    </w:p>
    <w:p w14:paraId="270F67B2" w14:textId="77777777" w:rsidR="00FC4193" w:rsidRPr="003D1C33" w:rsidRDefault="00FC4193" w:rsidP="003D1C33">
      <w:pPr>
        <w:numPr>
          <w:ilvl w:val="0"/>
          <w:numId w:val="5"/>
        </w:numPr>
        <w:spacing w:line="480" w:lineRule="auto"/>
        <w:rPr>
          <w:rFonts w:ascii="Times New Roman" w:hAnsi="Times New Roman" w:cs="Times New Roman"/>
        </w:rPr>
      </w:pPr>
      <w:r w:rsidRPr="003D1C33">
        <w:rPr>
          <w:rFonts w:ascii="Times New Roman" w:hAnsi="Times New Roman" w:cs="Times New Roman"/>
          <w:b/>
          <w:bCs/>
        </w:rPr>
        <w:t>Right to Remedies for Breach:</w:t>
      </w:r>
      <w:r w:rsidRPr="003D1C33">
        <w:rPr>
          <w:rFonts w:ascii="Times New Roman" w:hAnsi="Times New Roman" w:cs="Times New Roman"/>
        </w:rPr>
        <w:t> If the service is not provided as promised, the consumer is entitled to remedies. These can include a price reduction, damages to compensate for lost enjoyment (e.g., a ruined holiday), or in serious cases, termination of the contract and a full refund. The landmark case </w:t>
      </w:r>
      <w:r w:rsidRPr="003D1C33">
        <w:rPr>
          <w:rFonts w:ascii="Times New Roman" w:hAnsi="Times New Roman" w:cs="Times New Roman"/>
          <w:i/>
          <w:iCs/>
        </w:rPr>
        <w:t>Jarvis v Swans Tours Ltd</w:t>
      </w:r>
      <w:r w:rsidRPr="003D1C33">
        <w:rPr>
          <w:rFonts w:ascii="Times New Roman" w:hAnsi="Times New Roman" w:cs="Times New Roman"/>
        </w:rPr>
        <w:t> [1973] established that damages for disappointment and distress are recoverable for breached holiday contracts.</w:t>
      </w:r>
    </w:p>
    <w:p w14:paraId="1509F16E"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4.3.2. Provider Obligations: Duty of Care and Good Faith</w:t>
      </w:r>
      <w:r w:rsidRPr="003D1C33">
        <w:rPr>
          <w:rFonts w:ascii="Times New Roman" w:hAnsi="Times New Roman" w:cs="Times New Roman"/>
        </w:rPr>
        <w:br/>
        <w:t>Service providers have corresponding obligations:</w:t>
      </w:r>
    </w:p>
    <w:p w14:paraId="397FD3AA" w14:textId="77777777" w:rsidR="00FC4193" w:rsidRPr="003D1C33" w:rsidRDefault="00FC4193" w:rsidP="003D1C33">
      <w:pPr>
        <w:numPr>
          <w:ilvl w:val="0"/>
          <w:numId w:val="6"/>
        </w:numPr>
        <w:spacing w:line="480" w:lineRule="auto"/>
        <w:rPr>
          <w:rFonts w:ascii="Times New Roman" w:hAnsi="Times New Roman" w:cs="Times New Roman"/>
        </w:rPr>
      </w:pPr>
      <w:r w:rsidRPr="003D1C33">
        <w:rPr>
          <w:rFonts w:ascii="Times New Roman" w:hAnsi="Times New Roman" w:cs="Times New Roman"/>
          <w:b/>
          <w:bCs/>
        </w:rPr>
        <w:t>Duty to Perform the Contract:</w:t>
      </w:r>
      <w:r w:rsidRPr="003D1C33">
        <w:rPr>
          <w:rFonts w:ascii="Times New Roman" w:hAnsi="Times New Roman" w:cs="Times New Roman"/>
        </w:rPr>
        <w:t> The core obligation is to deliver the promised service.</w:t>
      </w:r>
    </w:p>
    <w:p w14:paraId="77E7FE44" w14:textId="77777777" w:rsidR="00FC4193" w:rsidRPr="003D1C33" w:rsidRDefault="00FC4193" w:rsidP="003D1C33">
      <w:pPr>
        <w:numPr>
          <w:ilvl w:val="0"/>
          <w:numId w:val="6"/>
        </w:numPr>
        <w:spacing w:line="480" w:lineRule="auto"/>
        <w:rPr>
          <w:rFonts w:ascii="Times New Roman" w:hAnsi="Times New Roman" w:cs="Times New Roman"/>
        </w:rPr>
      </w:pPr>
      <w:r w:rsidRPr="003D1C33">
        <w:rPr>
          <w:rFonts w:ascii="Times New Roman" w:hAnsi="Times New Roman" w:cs="Times New Roman"/>
          <w:b/>
          <w:bCs/>
        </w:rPr>
        <w:t>Duty of Care:</w:t>
      </w:r>
      <w:r w:rsidRPr="003D1C33">
        <w:rPr>
          <w:rFonts w:ascii="Times New Roman" w:hAnsi="Times New Roman" w:cs="Times New Roman"/>
        </w:rPr>
        <w:t> They must take reasonable care for the safety of their customers. This is a tortious duty (negligence) as well as a contractual one.</w:t>
      </w:r>
    </w:p>
    <w:p w14:paraId="1A126AEB" w14:textId="77777777" w:rsidR="00FC4193" w:rsidRPr="003D1C33" w:rsidRDefault="00FC4193" w:rsidP="003D1C33">
      <w:pPr>
        <w:numPr>
          <w:ilvl w:val="0"/>
          <w:numId w:val="6"/>
        </w:numPr>
        <w:spacing w:line="480" w:lineRule="auto"/>
        <w:rPr>
          <w:rFonts w:ascii="Times New Roman" w:hAnsi="Times New Roman" w:cs="Times New Roman"/>
        </w:rPr>
      </w:pPr>
      <w:r w:rsidRPr="003D1C33">
        <w:rPr>
          <w:rFonts w:ascii="Times New Roman" w:hAnsi="Times New Roman" w:cs="Times New Roman"/>
          <w:b/>
          <w:bCs/>
        </w:rPr>
        <w:t>Duty of Good Faith:</w:t>
      </w:r>
      <w:r w:rsidRPr="003D1C33">
        <w:rPr>
          <w:rFonts w:ascii="Times New Roman" w:hAnsi="Times New Roman" w:cs="Times New Roman"/>
        </w:rPr>
        <w:t> Increasingly, courts imply a duty to act fairly and not arbitrarily. For example, an airline cannot cancel a ticket without a valid reason defined in its contract terms.</w:t>
      </w:r>
    </w:p>
    <w:p w14:paraId="4F9C88B8"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4.4. Analysis of Real-World Contract Disputes and Resolutions</w:t>
      </w:r>
    </w:p>
    <w:p w14:paraId="4335E265"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lastRenderedPageBreak/>
        <w:t>4.4.1. Case Study 1: Flight Cancellations and Force Majeure (COVID-19)</w:t>
      </w:r>
      <w:r w:rsidRPr="003D1C33">
        <w:rPr>
          <w:rFonts w:ascii="Times New Roman" w:hAnsi="Times New Roman" w:cs="Times New Roman"/>
        </w:rPr>
        <w:br/>
        <w:t>During the COVID-19 pandemic, airlines cancelled thousands of flights globally. The core dispute was whether this was a breach of contract or excused under a </w:t>
      </w:r>
      <w:r w:rsidRPr="003D1C33">
        <w:rPr>
          <w:rFonts w:ascii="Times New Roman" w:hAnsi="Times New Roman" w:cs="Times New Roman"/>
          <w:i/>
          <w:iCs/>
        </w:rPr>
        <w:t>force majeure</w:t>
      </w:r>
      <w:r w:rsidRPr="003D1C33">
        <w:rPr>
          <w:rFonts w:ascii="Times New Roman" w:hAnsi="Times New Roman" w:cs="Times New Roman"/>
        </w:rPr>
        <w:t> clause (an extraordinary event beyond the party’s control). Most airline contracts include such clauses covering government restrictions, pandemics, etc.</w:t>
      </w:r>
    </w:p>
    <w:p w14:paraId="053B1795" w14:textId="77777777" w:rsidR="00FC4193" w:rsidRPr="003D1C33" w:rsidRDefault="00FC4193" w:rsidP="003D1C33">
      <w:pPr>
        <w:numPr>
          <w:ilvl w:val="0"/>
          <w:numId w:val="7"/>
        </w:numPr>
        <w:spacing w:line="480" w:lineRule="auto"/>
        <w:rPr>
          <w:rFonts w:ascii="Times New Roman" w:hAnsi="Times New Roman" w:cs="Times New Roman"/>
        </w:rPr>
      </w:pPr>
      <w:r w:rsidRPr="003D1C33">
        <w:rPr>
          <w:rFonts w:ascii="Times New Roman" w:hAnsi="Times New Roman" w:cs="Times New Roman"/>
          <w:b/>
          <w:bCs/>
        </w:rPr>
        <w:t>Dispute:</w:t>
      </w:r>
      <w:r w:rsidRPr="003D1C33">
        <w:rPr>
          <w:rFonts w:ascii="Times New Roman" w:hAnsi="Times New Roman" w:cs="Times New Roman"/>
        </w:rPr>
        <w:t> Airlines argued force majeure allowed them to cancel without penalty, offering vouchers instead of cash refunds. Consumers and regulators argued that the contract was frustrated (made impossible), entitling consumers to a refund of the consideration for a service not received.</w:t>
      </w:r>
    </w:p>
    <w:p w14:paraId="47046F44" w14:textId="77777777" w:rsidR="00FC4193" w:rsidRPr="003D1C33" w:rsidRDefault="00FC4193" w:rsidP="003D1C33">
      <w:pPr>
        <w:numPr>
          <w:ilvl w:val="0"/>
          <w:numId w:val="7"/>
        </w:numPr>
        <w:spacing w:line="480" w:lineRule="auto"/>
        <w:rPr>
          <w:rFonts w:ascii="Times New Roman" w:hAnsi="Times New Roman" w:cs="Times New Roman"/>
        </w:rPr>
      </w:pPr>
      <w:r w:rsidRPr="003D1C33">
        <w:rPr>
          <w:rFonts w:ascii="Times New Roman" w:hAnsi="Times New Roman" w:cs="Times New Roman"/>
          <w:b/>
          <w:bCs/>
        </w:rPr>
        <w:t>Resolution:</w:t>
      </w:r>
      <w:r w:rsidRPr="003D1C33">
        <w:rPr>
          <w:rFonts w:ascii="Times New Roman" w:hAnsi="Times New Roman" w:cs="Times New Roman"/>
        </w:rPr>
        <w:t> Regulatory bodies (e.g., the US Department of Transportation, the UK Civil Aviation Authority) intervened, clarifying that under contract and consumer law, the failure to provide the service triggered an automatic right to a refund. The force majeure clause excused the airline from </w:t>
      </w:r>
      <w:r w:rsidRPr="003D1C33">
        <w:rPr>
          <w:rFonts w:ascii="Times New Roman" w:hAnsi="Times New Roman" w:cs="Times New Roman"/>
          <w:i/>
          <w:iCs/>
        </w:rPr>
        <w:t>penalties</w:t>
      </w:r>
      <w:r w:rsidRPr="003D1C33">
        <w:rPr>
          <w:rFonts w:ascii="Times New Roman" w:hAnsi="Times New Roman" w:cs="Times New Roman"/>
        </w:rPr>
        <w:t> but not from its core obligation to return money for an unperformed service. This interpretation forced many airlines to change their policies and process refunds, demonstrating how contract law, when enforced by regulators, protected consumers in a systemic crisis (UK Civil Aviation Authority, 2020).</w:t>
      </w:r>
    </w:p>
    <w:p w14:paraId="102D7021"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4.4.2. Case Study 2: Misrepresentation of Hotel Amenities</w:t>
      </w:r>
      <w:r w:rsidRPr="003D1C33">
        <w:rPr>
          <w:rFonts w:ascii="Times New Roman" w:hAnsi="Times New Roman" w:cs="Times New Roman"/>
        </w:rPr>
        <w:br/>
        <w:t>A common complaint involves hotels not matching their online description. For example, a consumer books a hotel advertised with a "large outdoor swimming pool and spa."</w:t>
      </w:r>
    </w:p>
    <w:p w14:paraId="3A334F19" w14:textId="77777777" w:rsidR="00FC4193" w:rsidRPr="003D1C33" w:rsidRDefault="00FC4193" w:rsidP="003D1C33">
      <w:pPr>
        <w:numPr>
          <w:ilvl w:val="0"/>
          <w:numId w:val="8"/>
        </w:numPr>
        <w:spacing w:line="480" w:lineRule="auto"/>
        <w:rPr>
          <w:rFonts w:ascii="Times New Roman" w:hAnsi="Times New Roman" w:cs="Times New Roman"/>
        </w:rPr>
      </w:pPr>
      <w:r w:rsidRPr="003D1C33">
        <w:rPr>
          <w:rFonts w:ascii="Times New Roman" w:hAnsi="Times New Roman" w:cs="Times New Roman"/>
          <w:b/>
          <w:bCs/>
        </w:rPr>
        <w:t>Dispute:</w:t>
      </w:r>
      <w:r w:rsidRPr="003D1C33">
        <w:rPr>
          <w:rFonts w:ascii="Times New Roman" w:hAnsi="Times New Roman" w:cs="Times New Roman"/>
        </w:rPr>
        <w:t> On arrival, the pool is under construction and the spa is closed. The hotel offers a small discount but argues the room itself is provided. The consumer claims the core amenities promised are absent, fundamentally breaching the contract.</w:t>
      </w:r>
    </w:p>
    <w:p w14:paraId="5D6E32E5" w14:textId="77777777" w:rsidR="00FC4193" w:rsidRPr="003D1C33" w:rsidRDefault="00FC4193" w:rsidP="003D1C33">
      <w:pPr>
        <w:numPr>
          <w:ilvl w:val="0"/>
          <w:numId w:val="8"/>
        </w:numPr>
        <w:spacing w:line="480" w:lineRule="auto"/>
        <w:rPr>
          <w:rFonts w:ascii="Times New Roman" w:hAnsi="Times New Roman" w:cs="Times New Roman"/>
        </w:rPr>
      </w:pPr>
      <w:r w:rsidRPr="003D1C33">
        <w:rPr>
          <w:rFonts w:ascii="Times New Roman" w:hAnsi="Times New Roman" w:cs="Times New Roman"/>
          <w:b/>
          <w:bCs/>
        </w:rPr>
        <w:lastRenderedPageBreak/>
        <w:t>Resolution:</w:t>
      </w:r>
      <w:r w:rsidRPr="003D1C33">
        <w:rPr>
          <w:rFonts w:ascii="Times New Roman" w:hAnsi="Times New Roman" w:cs="Times New Roman"/>
        </w:rPr>
        <w:t> Under the doctrine of misrepresentation, a false statement of fact that induces someone to enter a contract can make the contract voidable. The description of amenities is a contractual term. The consumer would be entitled to cancel for a full refund if the breach is serious (a "breach of condition"), or more commonly, receive a significant price reduction (damages) for the loss of amenity. Consumer ombudsmen frequently resolve such cases by awarding a 30-50% refund, reflecting the reduced value of the holiday experience.</w:t>
      </w:r>
    </w:p>
    <w:p w14:paraId="67A35999"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4.4.3. Case Study 3: Injury During an Adventure Tour and Liability Waivers</w:t>
      </w:r>
      <w:r w:rsidRPr="003D1C33">
        <w:rPr>
          <w:rFonts w:ascii="Times New Roman" w:hAnsi="Times New Roman" w:cs="Times New Roman"/>
        </w:rPr>
        <w:br/>
        <w:t>A customer on a white-water rafting tour signs a waiver stating they assume all risks of injury, including those caused by "guide negligence." During the trip, the guide fails to properly secure the raft, leading to a capsize and a customer suffering a broken arm.</w:t>
      </w:r>
    </w:p>
    <w:p w14:paraId="00B13DB2" w14:textId="77777777" w:rsidR="00FC4193" w:rsidRPr="003D1C33" w:rsidRDefault="00FC4193" w:rsidP="003D1C33">
      <w:pPr>
        <w:numPr>
          <w:ilvl w:val="0"/>
          <w:numId w:val="9"/>
        </w:numPr>
        <w:spacing w:line="480" w:lineRule="auto"/>
        <w:rPr>
          <w:rFonts w:ascii="Times New Roman" w:hAnsi="Times New Roman" w:cs="Times New Roman"/>
        </w:rPr>
      </w:pPr>
      <w:r w:rsidRPr="003D1C33">
        <w:rPr>
          <w:rFonts w:ascii="Times New Roman" w:hAnsi="Times New Roman" w:cs="Times New Roman"/>
          <w:b/>
          <w:bCs/>
        </w:rPr>
        <w:t>Dispute:</w:t>
      </w:r>
      <w:r w:rsidRPr="003D1C33">
        <w:rPr>
          <w:rFonts w:ascii="Times New Roman" w:hAnsi="Times New Roman" w:cs="Times New Roman"/>
        </w:rPr>
        <w:t> The tour operator denies liability, citing the signed waiver. The injured customer sues in negligence.</w:t>
      </w:r>
    </w:p>
    <w:p w14:paraId="2A98737D" w14:textId="77777777" w:rsidR="00FC4193" w:rsidRPr="003D1C33" w:rsidRDefault="00FC4193" w:rsidP="003D1C33">
      <w:pPr>
        <w:numPr>
          <w:ilvl w:val="0"/>
          <w:numId w:val="9"/>
        </w:numPr>
        <w:spacing w:line="480" w:lineRule="auto"/>
        <w:rPr>
          <w:rFonts w:ascii="Times New Roman" w:hAnsi="Times New Roman" w:cs="Times New Roman"/>
        </w:rPr>
      </w:pPr>
      <w:r w:rsidRPr="003D1C33">
        <w:rPr>
          <w:rFonts w:ascii="Times New Roman" w:hAnsi="Times New Roman" w:cs="Times New Roman"/>
          <w:b/>
          <w:bCs/>
        </w:rPr>
        <w:t>Resolution:</w:t>
      </w:r>
      <w:r w:rsidRPr="003D1C33">
        <w:rPr>
          <w:rFonts w:ascii="Times New Roman" w:hAnsi="Times New Roman" w:cs="Times New Roman"/>
        </w:rPr>
        <w:t> Courts will closely examine the waiver. As per statutes like the Unfair Contract Terms Act 1977 (UK), a term excluding liability for death/personal injury caused by negligence is void. The key question is whether the injury resulted from an </w:t>
      </w:r>
      <w:r w:rsidRPr="003D1C33">
        <w:rPr>
          <w:rFonts w:ascii="Times New Roman" w:hAnsi="Times New Roman" w:cs="Times New Roman"/>
          <w:i/>
          <w:iCs/>
        </w:rPr>
        <w:t>inherent risk</w:t>
      </w:r>
      <w:r w:rsidRPr="003D1C33">
        <w:rPr>
          <w:rFonts w:ascii="Times New Roman" w:hAnsi="Times New Roman" w:cs="Times New Roman"/>
        </w:rPr>
        <w:t> (like hitting a rock in rough water) or the </w:t>
      </w:r>
      <w:r w:rsidRPr="003D1C33">
        <w:rPr>
          <w:rFonts w:ascii="Times New Roman" w:hAnsi="Times New Roman" w:cs="Times New Roman"/>
          <w:i/>
          <w:iCs/>
        </w:rPr>
        <w:t>guide’s negligence</w:t>
      </w:r>
      <w:r w:rsidRPr="003D1C33">
        <w:rPr>
          <w:rFonts w:ascii="Times New Roman" w:hAnsi="Times New Roman" w:cs="Times New Roman"/>
        </w:rPr>
        <w:t> (failing to secure the raft). If the court finds negligence, the waiver will not protect the operator. The customer would be entitled to damages for pain, suffering, medical costs, and lost income. This case highlights the limits of exclusion clauses and the ongoing paramount duty of care.</w:t>
      </w:r>
    </w:p>
    <w:p w14:paraId="5DB8B8AF" w14:textId="77777777" w:rsidR="00FC4193" w:rsidRPr="003D1C33" w:rsidRDefault="00FC4193" w:rsidP="003D1C33">
      <w:pPr>
        <w:spacing w:line="480" w:lineRule="auto"/>
        <w:rPr>
          <w:rFonts w:ascii="Times New Roman" w:hAnsi="Times New Roman" w:cs="Times New Roman"/>
          <w:b/>
          <w:bCs/>
        </w:rPr>
      </w:pPr>
    </w:p>
    <w:p w14:paraId="04A4C04D" w14:textId="77777777" w:rsidR="00FC4193" w:rsidRPr="003D1C33" w:rsidRDefault="00FC4193" w:rsidP="003D1C33">
      <w:pPr>
        <w:spacing w:line="480" w:lineRule="auto"/>
        <w:rPr>
          <w:rFonts w:ascii="Times New Roman" w:hAnsi="Times New Roman" w:cs="Times New Roman"/>
          <w:b/>
          <w:bCs/>
        </w:rPr>
      </w:pPr>
    </w:p>
    <w:p w14:paraId="35934121" w14:textId="1291F65B"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5. Discussion</w:t>
      </w:r>
    </w:p>
    <w:p w14:paraId="6D364F3D"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lastRenderedPageBreak/>
        <w:t>5.1. Critical Analysis of Asymmetric Power and Standard Form Contracts</w:t>
      </w:r>
      <w:r w:rsidRPr="003D1C33">
        <w:rPr>
          <w:rFonts w:ascii="Times New Roman" w:hAnsi="Times New Roman" w:cs="Times New Roman"/>
        </w:rPr>
        <w:br/>
        <w:t xml:space="preserve">The pervasive use of standard form contracts in tourism reveals a significant tension within classical contract theory. The ideal of "freedom of contract" assumes bargaining equality, but a consumer booking a flight cannot negotiate the airline’s 87-page conditions of carriage. This power asymmetry allows dominant players to draft terms that heavily </w:t>
      </w:r>
      <w:proofErr w:type="spellStart"/>
      <w:r w:rsidRPr="003D1C33">
        <w:rPr>
          <w:rFonts w:ascii="Times New Roman" w:hAnsi="Times New Roman" w:cs="Times New Roman"/>
        </w:rPr>
        <w:t>favor</w:t>
      </w:r>
      <w:proofErr w:type="spellEnd"/>
      <w:r w:rsidRPr="003D1C33">
        <w:rPr>
          <w:rFonts w:ascii="Times New Roman" w:hAnsi="Times New Roman" w:cs="Times New Roman"/>
        </w:rPr>
        <w:t xml:space="preserve"> themselves, such as extensive exclusions of liability, wide discretion to alter schedules, and one-sided cancellation penalties. While consumer protection laws and judicial review of unfair terms act as a corrective mechanism, the burden often falls on the consumer to challenge these terms after a problem arises. The very complexity and length of these agreements undermine the foundational concept of informed consent, as it is unrealistic to expect consumers to read and understand every clause. This suggests that contract law alone is an insufficient regulator; it requires the proactive, ex-ante intervention of regulation (like the Package Travel Directive) to set baseline fair terms.</w:t>
      </w:r>
    </w:p>
    <w:p w14:paraId="578ABAD0"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5.2. The Interplay of Contract Law with Consumer Protection Regulations</w:t>
      </w:r>
      <w:r w:rsidRPr="003D1C33">
        <w:rPr>
          <w:rFonts w:ascii="Times New Roman" w:hAnsi="Times New Roman" w:cs="Times New Roman"/>
        </w:rPr>
        <w:br/>
        <w:t>Modern tourism contract law is best understood as a hybrid system. The general law of contract provides the basic framework—the engine of formation, breach, and remedies. However, specialized consumer protection regulations act as the essential control systems and safety features. For instance, the law of misrepresentation might give a remedy for a falsely advertised hotel, but the Package Travel Directive proactively </w:t>
      </w:r>
      <w:r w:rsidRPr="003D1C33">
        <w:rPr>
          <w:rFonts w:ascii="Times New Roman" w:hAnsi="Times New Roman" w:cs="Times New Roman"/>
          <w:i/>
          <w:iCs/>
        </w:rPr>
        <w:t>requires</w:t>
      </w:r>
      <w:r w:rsidRPr="003D1C33">
        <w:rPr>
          <w:rFonts w:ascii="Times New Roman" w:hAnsi="Times New Roman" w:cs="Times New Roman"/>
        </w:rPr>
        <w:t xml:space="preserve"> that all material information be provided clearly before booking, preventing the misrepresentation from occurring in the first place. These regulations also shift the burden of proof and liability in pro-consumer ways, such as making the tour operator liable for hotel failures. This synergy is crucial. Without contract law, the regulations would have no private enforcement mechanism (consumers couldn’t sue). Without the regulations, contract law would leave consumers exposed to the raw bargaining power of large corporations. The real-world relevance is clear: </w:t>
      </w:r>
      <w:r w:rsidRPr="003D1C33">
        <w:rPr>
          <w:rFonts w:ascii="Times New Roman" w:hAnsi="Times New Roman" w:cs="Times New Roman"/>
        </w:rPr>
        <w:lastRenderedPageBreak/>
        <w:t>a consumer’s strongest position comes from understanding both their contractual rights and their statutory protections.</w:t>
      </w:r>
    </w:p>
    <w:p w14:paraId="002DADE2"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5.3. The Impact of Digital Platforms on Contract Formation and Enforcement</w:t>
      </w:r>
      <w:r w:rsidRPr="003D1C33">
        <w:rPr>
          <w:rFonts w:ascii="Times New Roman" w:hAnsi="Times New Roman" w:cs="Times New Roman"/>
        </w:rPr>
        <w:br/>
        <w:t>Digital intermediation by OTAs like Expedia or Airbnb adds another layer of complexity. Who is the contracting party? Often, the OTA acts as an agent for the provider, so the contract is between the consumer and the hotel/airline. However, in other models, the OTA may be the merchant of record. This ambiguity can confuse consumers when seeking redress. Furthermore, algorithmic practices like "drip pricing" (adding mandatory fees later in the booking process) challenge the classical notion of a clear offer. Is the initial low price a valid offer, or is the contract only formed at the final checkout with the full price? Regulators are increasingly viewing drip pricing as a misleading practice, but it shows how technology tests traditional contract principles. Similarly, the use of AI chatbots to make promises could raise questions about whether their statements form part of the contractual terms, posing new challenges for the doctrine of incorporation of terms.</w:t>
      </w:r>
    </w:p>
    <w:p w14:paraId="7374754A"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5.4. Global Travel and Jurisdictional Challenges</w:t>
      </w:r>
      <w:r w:rsidRPr="003D1C33">
        <w:rPr>
          <w:rFonts w:ascii="Times New Roman" w:hAnsi="Times New Roman" w:cs="Times New Roman"/>
        </w:rPr>
        <w:br/>
        <w:t>Tourism is inherently cross-border, but contract law is primarily national. A UK consumer books a tour in Thailand through a website hosted in the US. Which country’s law governs? Which courts have jurisdiction? Standard form contracts invariably include a </w:t>
      </w:r>
      <w:r w:rsidRPr="003D1C33">
        <w:rPr>
          <w:rFonts w:ascii="Times New Roman" w:hAnsi="Times New Roman" w:cs="Times New Roman"/>
          <w:i/>
          <w:iCs/>
        </w:rPr>
        <w:t>choice of law and jurisdiction clause</w:t>
      </w:r>
      <w:r w:rsidRPr="003D1C33">
        <w:rPr>
          <w:rFonts w:ascii="Times New Roman" w:hAnsi="Times New Roman" w:cs="Times New Roman"/>
        </w:rPr>
        <w:t>, mandating that disputes be resolved under the law of the provider’s home country. This can be a significant barrier to justice for consumers, making legal action prohibitively expensive and complex. While EU regulations (like the Brussels I Recast Regulation) provide rules to allow consumers to sue in their home courts, this is not global. This jurisdictional maze undermines the practical enforceability of contractual rights for international travel, leaving many consumers without a realistic remedy and creating enforcement gaps that unscrupulous operators can exploit.</w:t>
      </w:r>
    </w:p>
    <w:p w14:paraId="55C48EF2"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lastRenderedPageBreak/>
        <w:t>6. Conclusion</w:t>
      </w:r>
    </w:p>
    <w:p w14:paraId="70ACB3E6"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6.1. Summary of Key Insights</w:t>
      </w:r>
      <w:r w:rsidRPr="003D1C33">
        <w:rPr>
          <w:rFonts w:ascii="Times New Roman" w:hAnsi="Times New Roman" w:cs="Times New Roman"/>
        </w:rPr>
        <w:br/>
        <w:t>This report has demonstrated that contract law is the indispensable legal skeleton of the tourism industry. Every transaction, from a simple online booking to a complex package holiday, is governed by its principles of offer, acceptance, and consideration. The analysis revealed that while these classical concepts adapt to the digital marketplace, the reality of tourism contracting is dominated by standard form agreements that create a significant power imbalance. The examination of common contracts—booking agreements, package tours, and liability waivers—highlighted both the allocation of risk and the common flashpoints for dispute.</w:t>
      </w:r>
    </w:p>
    <w:p w14:paraId="2C7E8487"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rPr>
        <w:t>Critically, the report found that pure common law contract principles are inadequate to ensure fairness in this consumer-facing sector. The integration of robust, sector-specific consumer protection regulations is essential to correct imbalances, mandate transparency, and provide meaningful remedies. The real-world case studies on flight cancellations, misrepresentation, and injury waivers illustrated how these legal frameworks interact in practice, determining outcomes for consumers and businesses alike. The discussion further identified pressing challenges related to digital intermediation, algorithmic commerce, and cross-border enforcement that continue to strain the traditional contract law model.</w:t>
      </w:r>
    </w:p>
    <w:p w14:paraId="0CAF0032"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6.2. Recommendations for Stakeholders</w:t>
      </w:r>
    </w:p>
    <w:p w14:paraId="30A726C7" w14:textId="77777777" w:rsidR="00FC4193" w:rsidRPr="003D1C33" w:rsidRDefault="00FC4193" w:rsidP="003D1C33">
      <w:pPr>
        <w:numPr>
          <w:ilvl w:val="0"/>
          <w:numId w:val="10"/>
        </w:numPr>
        <w:spacing w:line="480" w:lineRule="auto"/>
        <w:rPr>
          <w:rFonts w:ascii="Times New Roman" w:hAnsi="Times New Roman" w:cs="Times New Roman"/>
        </w:rPr>
      </w:pPr>
      <w:r w:rsidRPr="003D1C33">
        <w:rPr>
          <w:rFonts w:ascii="Times New Roman" w:hAnsi="Times New Roman" w:cs="Times New Roman"/>
          <w:b/>
          <w:bCs/>
        </w:rPr>
        <w:t>For Consumers:</w:t>
      </w:r>
      <w:r w:rsidRPr="003D1C33">
        <w:rPr>
          <w:rFonts w:ascii="Times New Roman" w:hAnsi="Times New Roman" w:cs="Times New Roman"/>
        </w:rPr>
        <w:t xml:space="preserve"> Always read key contract terms—especially cancellation policies and liability clauses—before booking. Keep all documentation (emails, brochures, receipts). Understand that statutory rights (like those under package travel regulations) often provide stronger protection than the written contract alone. In case </w:t>
      </w:r>
      <w:r w:rsidRPr="003D1C33">
        <w:rPr>
          <w:rFonts w:ascii="Times New Roman" w:hAnsi="Times New Roman" w:cs="Times New Roman"/>
        </w:rPr>
        <w:lastRenderedPageBreak/>
        <w:t>of dispute, approach the business first, then use alternative dispute resolution (ADR) schemes (e.g., for aviation or package travel) before considering costly litigation.</w:t>
      </w:r>
    </w:p>
    <w:p w14:paraId="17876501" w14:textId="77777777" w:rsidR="00FC4193" w:rsidRPr="003D1C33" w:rsidRDefault="00FC4193" w:rsidP="003D1C33">
      <w:pPr>
        <w:numPr>
          <w:ilvl w:val="0"/>
          <w:numId w:val="10"/>
        </w:numPr>
        <w:spacing w:line="480" w:lineRule="auto"/>
        <w:rPr>
          <w:rFonts w:ascii="Times New Roman" w:hAnsi="Times New Roman" w:cs="Times New Roman"/>
        </w:rPr>
      </w:pPr>
      <w:r w:rsidRPr="003D1C33">
        <w:rPr>
          <w:rFonts w:ascii="Times New Roman" w:hAnsi="Times New Roman" w:cs="Times New Roman"/>
          <w:b/>
          <w:bCs/>
        </w:rPr>
        <w:t>For Tourism Businesses:</w:t>
      </w:r>
      <w:r w:rsidRPr="003D1C33">
        <w:rPr>
          <w:rFonts w:ascii="Times New Roman" w:hAnsi="Times New Roman" w:cs="Times New Roman"/>
        </w:rPr>
        <w:t> Draft standard terms that are fair, transparent, and compliant with consumer protection laws. Using unfair terms may render them unenforceable and damage brand reputation. Clearly communicate any changes or cancellations and proactively offer remedies as required by law. Invest in staff training on contractual obligations and consumer rights.</w:t>
      </w:r>
    </w:p>
    <w:p w14:paraId="403AA07E" w14:textId="77777777" w:rsidR="00FC4193" w:rsidRPr="003D1C33" w:rsidRDefault="00FC4193" w:rsidP="003D1C33">
      <w:pPr>
        <w:numPr>
          <w:ilvl w:val="0"/>
          <w:numId w:val="10"/>
        </w:numPr>
        <w:spacing w:line="480" w:lineRule="auto"/>
        <w:rPr>
          <w:rFonts w:ascii="Times New Roman" w:hAnsi="Times New Roman" w:cs="Times New Roman"/>
        </w:rPr>
      </w:pPr>
      <w:r w:rsidRPr="003D1C33">
        <w:rPr>
          <w:rFonts w:ascii="Times New Roman" w:hAnsi="Times New Roman" w:cs="Times New Roman"/>
          <w:b/>
          <w:bCs/>
        </w:rPr>
        <w:t>For Policymakers and Regulators:</w:t>
      </w:r>
      <w:r w:rsidRPr="003D1C33">
        <w:rPr>
          <w:rFonts w:ascii="Times New Roman" w:hAnsi="Times New Roman" w:cs="Times New Roman"/>
        </w:rPr>
        <w:t> Continue to strengthen and harmonize consumer protection regulations for digital and cross-border travel. Support the development of accessible, low-cost ADR mechanisms specifically for tourism disputes. Provide clear guidance on the application of contract law to new technological practices like dynamic pricing and AI-driven customer service.</w:t>
      </w:r>
    </w:p>
    <w:p w14:paraId="242BE667"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6.3. Areas for Future Research</w:t>
      </w:r>
      <w:r w:rsidRPr="003D1C33">
        <w:rPr>
          <w:rFonts w:ascii="Times New Roman" w:hAnsi="Times New Roman" w:cs="Times New Roman"/>
        </w:rPr>
        <w:br/>
        <w:t>Future research should empirically investigate the consumer experience of digital tourism contracts—how many read the terms, and how they perceive fairness. Legal research is needed on the contractual liability of platform giants (OTAs, Airbnb) and the status of user-generated content (reviews) within the contractual matrix. Furthermore, comparative studies on the effectiveness of different national regulatory models in protecting tourists would provide valuable insights for global policy development.</w:t>
      </w:r>
    </w:p>
    <w:p w14:paraId="4332D516"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References</w:t>
      </w:r>
    </w:p>
    <w:p w14:paraId="10257467"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rPr>
        <w:t>Beatson, J., Burrows, A., &amp; Cartwright, J. (2020). </w:t>
      </w:r>
      <w:r w:rsidRPr="003D1C33">
        <w:rPr>
          <w:rFonts w:ascii="Times New Roman" w:hAnsi="Times New Roman" w:cs="Times New Roman"/>
          <w:i/>
          <w:iCs/>
        </w:rPr>
        <w:t>Anson’s law of contract</w:t>
      </w:r>
      <w:r w:rsidRPr="003D1C33">
        <w:rPr>
          <w:rFonts w:ascii="Times New Roman" w:hAnsi="Times New Roman" w:cs="Times New Roman"/>
        </w:rPr>
        <w:t> (31st ed.). Oxford University Press.</w:t>
      </w:r>
    </w:p>
    <w:p w14:paraId="07EF4ADE"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rPr>
        <w:t>Chen-Wishart, M. (2018). </w:t>
      </w:r>
      <w:r w:rsidRPr="003D1C33">
        <w:rPr>
          <w:rFonts w:ascii="Times New Roman" w:hAnsi="Times New Roman" w:cs="Times New Roman"/>
          <w:i/>
          <w:iCs/>
        </w:rPr>
        <w:t>Contract law</w:t>
      </w:r>
      <w:r w:rsidRPr="003D1C33">
        <w:rPr>
          <w:rFonts w:ascii="Times New Roman" w:hAnsi="Times New Roman" w:cs="Times New Roman"/>
        </w:rPr>
        <w:t> (6th ed.). Oxford University Press.</w:t>
      </w:r>
    </w:p>
    <w:p w14:paraId="0217EA03"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rPr>
        <w:lastRenderedPageBreak/>
        <w:t>Directive (EU) 2015/2302 of the European Parliament and of the Council of 25 November 2015 on package travel and linked travel arrangements. </w:t>
      </w:r>
      <w:r w:rsidRPr="003D1C33">
        <w:rPr>
          <w:rFonts w:ascii="Times New Roman" w:hAnsi="Times New Roman" w:cs="Times New Roman"/>
          <w:i/>
          <w:iCs/>
        </w:rPr>
        <w:t>Official Journal of the European Union, L 326</w:t>
      </w:r>
      <w:r w:rsidRPr="003D1C33">
        <w:rPr>
          <w:rFonts w:ascii="Times New Roman" w:hAnsi="Times New Roman" w:cs="Times New Roman"/>
        </w:rPr>
        <w:t>, 1–33.</w:t>
      </w:r>
    </w:p>
    <w:p w14:paraId="6A7933E1"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rPr>
        <w:t>Grant, D. (2021). The expectation gap: Remedies for disappointed tourists. </w:t>
      </w:r>
      <w:r w:rsidRPr="003D1C33">
        <w:rPr>
          <w:rFonts w:ascii="Times New Roman" w:hAnsi="Times New Roman" w:cs="Times New Roman"/>
          <w:i/>
          <w:iCs/>
        </w:rPr>
        <w:t>Journal of Tourism and Hospitality Law, 14</w:t>
      </w:r>
      <w:r w:rsidRPr="003D1C33">
        <w:rPr>
          <w:rFonts w:ascii="Times New Roman" w:hAnsi="Times New Roman" w:cs="Times New Roman"/>
        </w:rPr>
        <w:t>(2), 45-67.</w:t>
      </w:r>
    </w:p>
    <w:p w14:paraId="46C820D2"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rPr>
        <w:t>Lund, J. (2023). Click-wrap, bots, and the future of tourism contract formation. </w:t>
      </w:r>
      <w:r w:rsidRPr="003D1C33">
        <w:rPr>
          <w:rFonts w:ascii="Times New Roman" w:hAnsi="Times New Roman" w:cs="Times New Roman"/>
          <w:i/>
          <w:iCs/>
        </w:rPr>
        <w:t>International Journal of Law in Context, 19</w:t>
      </w:r>
      <w:r w:rsidRPr="003D1C33">
        <w:rPr>
          <w:rFonts w:ascii="Times New Roman" w:hAnsi="Times New Roman" w:cs="Times New Roman"/>
        </w:rPr>
        <w:t>(1), 112-130.</w:t>
      </w:r>
    </w:p>
    <w:p w14:paraId="06A00038"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rPr>
        <w:t>Poole, J. (2022). </w:t>
      </w:r>
      <w:r w:rsidRPr="003D1C33">
        <w:rPr>
          <w:rFonts w:ascii="Times New Roman" w:hAnsi="Times New Roman" w:cs="Times New Roman"/>
          <w:i/>
          <w:iCs/>
        </w:rPr>
        <w:t>Textbook on contract law</w:t>
      </w:r>
      <w:r w:rsidRPr="003D1C33">
        <w:rPr>
          <w:rFonts w:ascii="Times New Roman" w:hAnsi="Times New Roman" w:cs="Times New Roman"/>
        </w:rPr>
        <w:t> (15th ed.). Oxford University Press.</w:t>
      </w:r>
    </w:p>
    <w:p w14:paraId="43351559" w14:textId="77777777" w:rsidR="00FC4193" w:rsidRPr="003D1C33" w:rsidRDefault="00FC4193" w:rsidP="003D1C33">
      <w:pPr>
        <w:spacing w:line="480" w:lineRule="auto"/>
        <w:rPr>
          <w:rFonts w:ascii="Times New Roman" w:hAnsi="Times New Roman" w:cs="Times New Roman"/>
        </w:rPr>
      </w:pPr>
      <w:proofErr w:type="spellStart"/>
      <w:r w:rsidRPr="003D1C33">
        <w:rPr>
          <w:rFonts w:ascii="Times New Roman" w:hAnsi="Times New Roman" w:cs="Times New Roman"/>
        </w:rPr>
        <w:t>Silingardi</w:t>
      </w:r>
      <w:proofErr w:type="spellEnd"/>
      <w:r w:rsidRPr="003D1C33">
        <w:rPr>
          <w:rFonts w:ascii="Times New Roman" w:hAnsi="Times New Roman" w:cs="Times New Roman"/>
        </w:rPr>
        <w:t>, S. (2020). The new package travel directive: A critical assessment. </w:t>
      </w:r>
      <w:r w:rsidRPr="003D1C33">
        <w:rPr>
          <w:rFonts w:ascii="Times New Roman" w:hAnsi="Times New Roman" w:cs="Times New Roman"/>
          <w:i/>
          <w:iCs/>
        </w:rPr>
        <w:t>European Review of Private Law, 28</w:t>
      </w:r>
      <w:r w:rsidRPr="003D1C33">
        <w:rPr>
          <w:rFonts w:ascii="Times New Roman" w:hAnsi="Times New Roman" w:cs="Times New Roman"/>
        </w:rPr>
        <w:t>(4), 889-912.</w:t>
      </w:r>
    </w:p>
    <w:p w14:paraId="6680C93A"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rPr>
        <w:t>UK Civil Aviation Authority. (2020, April 3). </w:t>
      </w:r>
      <w:r w:rsidRPr="003D1C33">
        <w:rPr>
          <w:rFonts w:ascii="Times New Roman" w:hAnsi="Times New Roman" w:cs="Times New Roman"/>
          <w:i/>
          <w:iCs/>
        </w:rPr>
        <w:t>CMA and CAA warn airlines over unfair practices in relation to refunds for cancelled flights</w:t>
      </w:r>
      <w:r w:rsidRPr="003D1C33">
        <w:rPr>
          <w:rFonts w:ascii="Times New Roman" w:hAnsi="Times New Roman" w:cs="Times New Roman"/>
        </w:rPr>
        <w:t> [Press release]. </w:t>
      </w:r>
      <w:hyperlink r:id="rId5" w:tgtFrame="_blank" w:history="1">
        <w:r w:rsidRPr="003D1C33">
          <w:rPr>
            <w:rStyle w:val="Hyperlink"/>
            <w:rFonts w:ascii="Times New Roman" w:hAnsi="Times New Roman" w:cs="Times New Roman"/>
          </w:rPr>
          <w:t>https://www.caa.co.uk/news/2020/cma-and-caa-warn-airlines-over-unfair-practices-in-relation-to-refunds-for-cancelled-flights/</w:t>
        </w:r>
      </w:hyperlink>
    </w:p>
    <w:p w14:paraId="75B4A45D"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rPr>
        <w:t>Wiebke, K. (2019). </w:t>
      </w:r>
      <w:r w:rsidRPr="003D1C33">
        <w:rPr>
          <w:rFonts w:ascii="Times New Roman" w:hAnsi="Times New Roman" w:cs="Times New Roman"/>
          <w:i/>
          <w:iCs/>
        </w:rPr>
        <w:t>Tourism and hospitality law</w:t>
      </w:r>
      <w:r w:rsidRPr="003D1C33">
        <w:rPr>
          <w:rFonts w:ascii="Times New Roman" w:hAnsi="Times New Roman" w:cs="Times New Roman"/>
        </w:rPr>
        <w:t>. Routledge.</w:t>
      </w:r>
    </w:p>
    <w:p w14:paraId="2E126C03"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Case Law References</w:t>
      </w:r>
      <w:r w:rsidRPr="003D1C33">
        <w:rPr>
          <w:rFonts w:ascii="Times New Roman" w:hAnsi="Times New Roman" w:cs="Times New Roman"/>
        </w:rPr>
        <w:br/>
      </w:r>
      <w:proofErr w:type="spellStart"/>
      <w:r w:rsidRPr="003D1C33">
        <w:rPr>
          <w:rFonts w:ascii="Times New Roman" w:hAnsi="Times New Roman" w:cs="Times New Roman"/>
          <w:i/>
          <w:iCs/>
        </w:rPr>
        <w:t>Brinkibon</w:t>
      </w:r>
      <w:proofErr w:type="spellEnd"/>
      <w:r w:rsidRPr="003D1C33">
        <w:rPr>
          <w:rFonts w:ascii="Times New Roman" w:hAnsi="Times New Roman" w:cs="Times New Roman"/>
          <w:i/>
          <w:iCs/>
        </w:rPr>
        <w:t xml:space="preserve"> Ltd v </w:t>
      </w:r>
      <w:proofErr w:type="spellStart"/>
      <w:r w:rsidRPr="003D1C33">
        <w:rPr>
          <w:rFonts w:ascii="Times New Roman" w:hAnsi="Times New Roman" w:cs="Times New Roman"/>
          <w:i/>
          <w:iCs/>
        </w:rPr>
        <w:t>Stahag</w:t>
      </w:r>
      <w:proofErr w:type="spellEnd"/>
      <w:r w:rsidRPr="003D1C33">
        <w:rPr>
          <w:rFonts w:ascii="Times New Roman" w:hAnsi="Times New Roman" w:cs="Times New Roman"/>
          <w:i/>
          <w:iCs/>
        </w:rPr>
        <w:t xml:space="preserve"> Stahl GmbH</w:t>
      </w:r>
      <w:r w:rsidRPr="003D1C33">
        <w:rPr>
          <w:rFonts w:ascii="Times New Roman" w:hAnsi="Times New Roman" w:cs="Times New Roman"/>
        </w:rPr>
        <w:t> [1983] 2 AC 34.</w:t>
      </w:r>
      <w:r w:rsidRPr="003D1C33">
        <w:rPr>
          <w:rFonts w:ascii="Times New Roman" w:hAnsi="Times New Roman" w:cs="Times New Roman"/>
        </w:rPr>
        <w:br/>
      </w:r>
      <w:r w:rsidRPr="003D1C33">
        <w:rPr>
          <w:rFonts w:ascii="Times New Roman" w:hAnsi="Times New Roman" w:cs="Times New Roman"/>
          <w:i/>
          <w:iCs/>
        </w:rPr>
        <w:t>Jarvis v Swans Tours Ltd</w:t>
      </w:r>
      <w:r w:rsidRPr="003D1C33">
        <w:rPr>
          <w:rFonts w:ascii="Times New Roman" w:hAnsi="Times New Roman" w:cs="Times New Roman"/>
        </w:rPr>
        <w:t> [1973] QB 233.</w:t>
      </w:r>
      <w:r w:rsidRPr="003D1C33">
        <w:rPr>
          <w:rFonts w:ascii="Times New Roman" w:hAnsi="Times New Roman" w:cs="Times New Roman"/>
        </w:rPr>
        <w:br/>
      </w:r>
      <w:proofErr w:type="spellStart"/>
      <w:r w:rsidRPr="003D1C33">
        <w:rPr>
          <w:rFonts w:ascii="Times New Roman" w:hAnsi="Times New Roman" w:cs="Times New Roman"/>
          <w:i/>
          <w:iCs/>
        </w:rPr>
        <w:t>ParkingEye</w:t>
      </w:r>
      <w:proofErr w:type="spellEnd"/>
      <w:r w:rsidRPr="003D1C33">
        <w:rPr>
          <w:rFonts w:ascii="Times New Roman" w:hAnsi="Times New Roman" w:cs="Times New Roman"/>
          <w:i/>
          <w:iCs/>
        </w:rPr>
        <w:t xml:space="preserve"> Ltd v Beavis</w:t>
      </w:r>
      <w:r w:rsidRPr="003D1C33">
        <w:rPr>
          <w:rFonts w:ascii="Times New Roman" w:hAnsi="Times New Roman" w:cs="Times New Roman"/>
        </w:rPr>
        <w:t> [2015] UKSC 67.</w:t>
      </w:r>
      <w:r w:rsidRPr="003D1C33">
        <w:rPr>
          <w:rFonts w:ascii="Times New Roman" w:hAnsi="Times New Roman" w:cs="Times New Roman"/>
        </w:rPr>
        <w:br/>
      </w:r>
      <w:r w:rsidRPr="003D1C33">
        <w:rPr>
          <w:rFonts w:ascii="Times New Roman" w:hAnsi="Times New Roman" w:cs="Times New Roman"/>
          <w:i/>
          <w:iCs/>
        </w:rPr>
        <w:t>Partridge v Crittenden</w:t>
      </w:r>
      <w:r w:rsidRPr="003D1C33">
        <w:rPr>
          <w:rFonts w:ascii="Times New Roman" w:hAnsi="Times New Roman" w:cs="Times New Roman"/>
        </w:rPr>
        <w:t> [1968] 1 WLR 1204.</w:t>
      </w:r>
    </w:p>
    <w:p w14:paraId="13C67C0B"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Legislation References</w:t>
      </w:r>
      <w:r w:rsidRPr="003D1C33">
        <w:rPr>
          <w:rFonts w:ascii="Times New Roman" w:hAnsi="Times New Roman" w:cs="Times New Roman"/>
        </w:rPr>
        <w:br/>
        <w:t>Unfair Contract Terms Act 1977 (UK).</w:t>
      </w:r>
    </w:p>
    <w:p w14:paraId="40917A61"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Appendices</w:t>
      </w:r>
    </w:p>
    <w:p w14:paraId="2810A08C"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lastRenderedPageBreak/>
        <w:t>Appendix A: Sample Summary of Key Consumer Rights under EU Package Travel Directive</w:t>
      </w:r>
    </w:p>
    <w:p w14:paraId="20EBF560" w14:textId="77777777" w:rsidR="00FC4193" w:rsidRPr="003D1C33" w:rsidRDefault="00FC4193" w:rsidP="003D1C33">
      <w:pPr>
        <w:numPr>
          <w:ilvl w:val="0"/>
          <w:numId w:val="11"/>
        </w:numPr>
        <w:spacing w:line="480" w:lineRule="auto"/>
        <w:rPr>
          <w:rFonts w:ascii="Times New Roman" w:hAnsi="Times New Roman" w:cs="Times New Roman"/>
        </w:rPr>
      </w:pPr>
      <w:r w:rsidRPr="003D1C33">
        <w:rPr>
          <w:rFonts w:ascii="Times New Roman" w:hAnsi="Times New Roman" w:cs="Times New Roman"/>
          <w:b/>
          <w:bCs/>
        </w:rPr>
        <w:t>Right to clear information</w:t>
      </w:r>
      <w:r w:rsidRPr="003D1C33">
        <w:rPr>
          <w:rFonts w:ascii="Times New Roman" w:hAnsi="Times New Roman" w:cs="Times New Roman"/>
        </w:rPr>
        <w:t> before contract conclusion.</w:t>
      </w:r>
    </w:p>
    <w:p w14:paraId="1731278A" w14:textId="77777777" w:rsidR="00FC4193" w:rsidRPr="003D1C33" w:rsidRDefault="00FC4193" w:rsidP="003D1C33">
      <w:pPr>
        <w:numPr>
          <w:ilvl w:val="0"/>
          <w:numId w:val="11"/>
        </w:numPr>
        <w:spacing w:line="480" w:lineRule="auto"/>
        <w:rPr>
          <w:rFonts w:ascii="Times New Roman" w:hAnsi="Times New Roman" w:cs="Times New Roman"/>
        </w:rPr>
      </w:pPr>
      <w:r w:rsidRPr="003D1C33">
        <w:rPr>
          <w:rFonts w:ascii="Times New Roman" w:hAnsi="Times New Roman" w:cs="Times New Roman"/>
          <w:b/>
          <w:bCs/>
        </w:rPr>
        <w:t>Right to transfer the package</w:t>
      </w:r>
      <w:r w:rsidRPr="003D1C33">
        <w:rPr>
          <w:rFonts w:ascii="Times New Roman" w:hAnsi="Times New Roman" w:cs="Times New Roman"/>
        </w:rPr>
        <w:t> to another person.</w:t>
      </w:r>
    </w:p>
    <w:p w14:paraId="53C68D6F" w14:textId="77777777" w:rsidR="00FC4193" w:rsidRPr="003D1C33" w:rsidRDefault="00FC4193" w:rsidP="003D1C33">
      <w:pPr>
        <w:numPr>
          <w:ilvl w:val="0"/>
          <w:numId w:val="11"/>
        </w:numPr>
        <w:spacing w:line="480" w:lineRule="auto"/>
        <w:rPr>
          <w:rFonts w:ascii="Times New Roman" w:hAnsi="Times New Roman" w:cs="Times New Roman"/>
        </w:rPr>
      </w:pPr>
      <w:r w:rsidRPr="003D1C33">
        <w:rPr>
          <w:rFonts w:ascii="Times New Roman" w:hAnsi="Times New Roman" w:cs="Times New Roman"/>
          <w:b/>
          <w:bCs/>
        </w:rPr>
        <w:t>Right to price reduction or compensation</w:t>
      </w:r>
      <w:r w:rsidRPr="003D1C33">
        <w:rPr>
          <w:rFonts w:ascii="Times New Roman" w:hAnsi="Times New Roman" w:cs="Times New Roman"/>
        </w:rPr>
        <w:t> for lack of conformity.</w:t>
      </w:r>
    </w:p>
    <w:p w14:paraId="032CACED" w14:textId="77777777" w:rsidR="00FC4193" w:rsidRPr="003D1C33" w:rsidRDefault="00FC4193" w:rsidP="003D1C33">
      <w:pPr>
        <w:numPr>
          <w:ilvl w:val="0"/>
          <w:numId w:val="11"/>
        </w:numPr>
        <w:spacing w:line="480" w:lineRule="auto"/>
        <w:rPr>
          <w:rFonts w:ascii="Times New Roman" w:hAnsi="Times New Roman" w:cs="Times New Roman"/>
        </w:rPr>
      </w:pPr>
      <w:r w:rsidRPr="003D1C33">
        <w:rPr>
          <w:rFonts w:ascii="Times New Roman" w:hAnsi="Times New Roman" w:cs="Times New Roman"/>
          <w:b/>
          <w:bCs/>
        </w:rPr>
        <w:t>Right to assistance</w:t>
      </w:r>
      <w:r w:rsidRPr="003D1C33">
        <w:rPr>
          <w:rFonts w:ascii="Times New Roman" w:hAnsi="Times New Roman" w:cs="Times New Roman"/>
        </w:rPr>
        <w:t> if in difficulty.</w:t>
      </w:r>
    </w:p>
    <w:p w14:paraId="63F2AC27" w14:textId="77777777" w:rsidR="00FC4193" w:rsidRPr="003D1C33" w:rsidRDefault="00FC4193" w:rsidP="003D1C33">
      <w:pPr>
        <w:numPr>
          <w:ilvl w:val="0"/>
          <w:numId w:val="11"/>
        </w:numPr>
        <w:spacing w:line="480" w:lineRule="auto"/>
        <w:rPr>
          <w:rFonts w:ascii="Times New Roman" w:hAnsi="Times New Roman" w:cs="Times New Roman"/>
        </w:rPr>
      </w:pPr>
      <w:r w:rsidRPr="003D1C33">
        <w:rPr>
          <w:rFonts w:ascii="Times New Roman" w:hAnsi="Times New Roman" w:cs="Times New Roman"/>
          <w:b/>
          <w:bCs/>
        </w:rPr>
        <w:t>Right to refund and repatriation</w:t>
      </w:r>
      <w:r w:rsidRPr="003D1C33">
        <w:rPr>
          <w:rFonts w:ascii="Times New Roman" w:hAnsi="Times New Roman" w:cs="Times New Roman"/>
        </w:rPr>
        <w:t> if the package is significantly affected by unavoidable and extraordinary circumstances.</w:t>
      </w:r>
    </w:p>
    <w:p w14:paraId="6FC34CE1" w14:textId="77777777" w:rsidR="00FC4193" w:rsidRPr="003D1C33" w:rsidRDefault="00FC4193" w:rsidP="003D1C33">
      <w:pPr>
        <w:numPr>
          <w:ilvl w:val="0"/>
          <w:numId w:val="11"/>
        </w:numPr>
        <w:spacing w:line="480" w:lineRule="auto"/>
        <w:rPr>
          <w:rFonts w:ascii="Times New Roman" w:hAnsi="Times New Roman" w:cs="Times New Roman"/>
        </w:rPr>
      </w:pPr>
      <w:r w:rsidRPr="003D1C33">
        <w:rPr>
          <w:rFonts w:ascii="Times New Roman" w:hAnsi="Times New Roman" w:cs="Times New Roman"/>
          <w:b/>
          <w:bCs/>
        </w:rPr>
        <w:t>Insolvency protection</w:t>
      </w:r>
      <w:r w:rsidRPr="003D1C33">
        <w:rPr>
          <w:rFonts w:ascii="Times New Roman" w:hAnsi="Times New Roman" w:cs="Times New Roman"/>
        </w:rPr>
        <w:t> for prepayments.</w:t>
      </w:r>
    </w:p>
    <w:p w14:paraId="3269361F" w14:textId="77777777" w:rsidR="00FC4193" w:rsidRPr="003D1C33" w:rsidRDefault="00FC4193" w:rsidP="003D1C33">
      <w:pPr>
        <w:spacing w:line="480" w:lineRule="auto"/>
        <w:rPr>
          <w:rFonts w:ascii="Times New Roman" w:hAnsi="Times New Roman" w:cs="Times New Roman"/>
        </w:rPr>
      </w:pPr>
      <w:r w:rsidRPr="003D1C33">
        <w:rPr>
          <w:rFonts w:ascii="Times New Roman" w:hAnsi="Times New Roman" w:cs="Times New Roman"/>
          <w:b/>
          <w:bCs/>
        </w:rPr>
        <w:t>Appendix B: Glossary of Key Legal Terms</w:t>
      </w:r>
    </w:p>
    <w:p w14:paraId="094E09C6" w14:textId="77777777" w:rsidR="00FC4193" w:rsidRPr="003D1C33" w:rsidRDefault="00FC4193" w:rsidP="003D1C33">
      <w:pPr>
        <w:numPr>
          <w:ilvl w:val="0"/>
          <w:numId w:val="12"/>
        </w:numPr>
        <w:spacing w:line="480" w:lineRule="auto"/>
        <w:rPr>
          <w:rFonts w:ascii="Times New Roman" w:hAnsi="Times New Roman" w:cs="Times New Roman"/>
        </w:rPr>
      </w:pPr>
      <w:r w:rsidRPr="003D1C33">
        <w:rPr>
          <w:rFonts w:ascii="Times New Roman" w:hAnsi="Times New Roman" w:cs="Times New Roman"/>
          <w:b/>
          <w:bCs/>
        </w:rPr>
        <w:t>Breach of Contract:</w:t>
      </w:r>
      <w:r w:rsidRPr="003D1C33">
        <w:rPr>
          <w:rFonts w:ascii="Times New Roman" w:hAnsi="Times New Roman" w:cs="Times New Roman"/>
        </w:rPr>
        <w:t> Failure to perform a contractual obligation.</w:t>
      </w:r>
    </w:p>
    <w:p w14:paraId="11D9A17D" w14:textId="77777777" w:rsidR="00FC4193" w:rsidRPr="003D1C33" w:rsidRDefault="00FC4193" w:rsidP="003D1C33">
      <w:pPr>
        <w:numPr>
          <w:ilvl w:val="0"/>
          <w:numId w:val="12"/>
        </w:numPr>
        <w:spacing w:line="480" w:lineRule="auto"/>
        <w:rPr>
          <w:rFonts w:ascii="Times New Roman" w:hAnsi="Times New Roman" w:cs="Times New Roman"/>
        </w:rPr>
      </w:pPr>
      <w:r w:rsidRPr="003D1C33">
        <w:rPr>
          <w:rFonts w:ascii="Times New Roman" w:hAnsi="Times New Roman" w:cs="Times New Roman"/>
          <w:b/>
          <w:bCs/>
        </w:rPr>
        <w:t>Consideration:</w:t>
      </w:r>
      <w:r w:rsidRPr="003D1C33">
        <w:rPr>
          <w:rFonts w:ascii="Times New Roman" w:hAnsi="Times New Roman" w:cs="Times New Roman"/>
        </w:rPr>
        <w:t> The value (money, a promise) exchanged by parties to a contract.</w:t>
      </w:r>
    </w:p>
    <w:p w14:paraId="6514E07F" w14:textId="77777777" w:rsidR="00FC4193" w:rsidRPr="003D1C33" w:rsidRDefault="00FC4193" w:rsidP="003D1C33">
      <w:pPr>
        <w:numPr>
          <w:ilvl w:val="0"/>
          <w:numId w:val="12"/>
        </w:numPr>
        <w:spacing w:line="480" w:lineRule="auto"/>
        <w:rPr>
          <w:rFonts w:ascii="Times New Roman" w:hAnsi="Times New Roman" w:cs="Times New Roman"/>
        </w:rPr>
      </w:pPr>
      <w:r w:rsidRPr="003D1C33">
        <w:rPr>
          <w:rFonts w:ascii="Times New Roman" w:hAnsi="Times New Roman" w:cs="Times New Roman"/>
          <w:b/>
          <w:bCs/>
        </w:rPr>
        <w:t>Force Majeure:</w:t>
      </w:r>
      <w:r w:rsidRPr="003D1C33">
        <w:rPr>
          <w:rFonts w:ascii="Times New Roman" w:hAnsi="Times New Roman" w:cs="Times New Roman"/>
        </w:rPr>
        <w:t> An extraordinary event beyond a party’s control that excuses performance.</w:t>
      </w:r>
    </w:p>
    <w:p w14:paraId="6CF548CB" w14:textId="77777777" w:rsidR="00FC4193" w:rsidRPr="003D1C33" w:rsidRDefault="00FC4193" w:rsidP="003D1C33">
      <w:pPr>
        <w:numPr>
          <w:ilvl w:val="0"/>
          <w:numId w:val="12"/>
        </w:numPr>
        <w:spacing w:line="480" w:lineRule="auto"/>
        <w:rPr>
          <w:rFonts w:ascii="Times New Roman" w:hAnsi="Times New Roman" w:cs="Times New Roman"/>
        </w:rPr>
      </w:pPr>
      <w:r w:rsidRPr="003D1C33">
        <w:rPr>
          <w:rFonts w:ascii="Times New Roman" w:hAnsi="Times New Roman" w:cs="Times New Roman"/>
          <w:b/>
          <w:bCs/>
        </w:rPr>
        <w:t>Invitation to Treat:</w:t>
      </w:r>
      <w:r w:rsidRPr="003D1C33">
        <w:rPr>
          <w:rFonts w:ascii="Times New Roman" w:hAnsi="Times New Roman" w:cs="Times New Roman"/>
        </w:rPr>
        <w:t> An invitation for others to make an offer (e.g., goods on a shelf, a hotel listing online).</w:t>
      </w:r>
    </w:p>
    <w:p w14:paraId="18F679BA" w14:textId="77777777" w:rsidR="00FC4193" w:rsidRPr="003D1C33" w:rsidRDefault="00FC4193" w:rsidP="003D1C33">
      <w:pPr>
        <w:numPr>
          <w:ilvl w:val="0"/>
          <w:numId w:val="12"/>
        </w:numPr>
        <w:spacing w:line="480" w:lineRule="auto"/>
        <w:rPr>
          <w:rFonts w:ascii="Times New Roman" w:hAnsi="Times New Roman" w:cs="Times New Roman"/>
        </w:rPr>
      </w:pPr>
      <w:r w:rsidRPr="003D1C33">
        <w:rPr>
          <w:rFonts w:ascii="Times New Roman" w:hAnsi="Times New Roman" w:cs="Times New Roman"/>
          <w:b/>
          <w:bCs/>
        </w:rPr>
        <w:t>Liquidated Damages:</w:t>
      </w:r>
      <w:r w:rsidRPr="003D1C33">
        <w:rPr>
          <w:rFonts w:ascii="Times New Roman" w:hAnsi="Times New Roman" w:cs="Times New Roman"/>
        </w:rPr>
        <w:t> A genuine pre-estimate of loss for breach, fixed in the contract.</w:t>
      </w:r>
    </w:p>
    <w:p w14:paraId="42A8904A" w14:textId="77777777" w:rsidR="00FC4193" w:rsidRPr="003D1C33" w:rsidRDefault="00FC4193" w:rsidP="003D1C33">
      <w:pPr>
        <w:numPr>
          <w:ilvl w:val="0"/>
          <w:numId w:val="12"/>
        </w:numPr>
        <w:spacing w:line="480" w:lineRule="auto"/>
        <w:rPr>
          <w:rFonts w:ascii="Times New Roman" w:hAnsi="Times New Roman" w:cs="Times New Roman"/>
        </w:rPr>
      </w:pPr>
      <w:r w:rsidRPr="003D1C33">
        <w:rPr>
          <w:rFonts w:ascii="Times New Roman" w:hAnsi="Times New Roman" w:cs="Times New Roman"/>
          <w:b/>
          <w:bCs/>
        </w:rPr>
        <w:t>Misrepresentation:</w:t>
      </w:r>
      <w:r w:rsidRPr="003D1C33">
        <w:rPr>
          <w:rFonts w:ascii="Times New Roman" w:hAnsi="Times New Roman" w:cs="Times New Roman"/>
        </w:rPr>
        <w:t> A false statement of fact that induces someone to enter a contract.</w:t>
      </w:r>
    </w:p>
    <w:p w14:paraId="57B437CE" w14:textId="77777777" w:rsidR="00FC4193" w:rsidRPr="003D1C33" w:rsidRDefault="00FC4193" w:rsidP="003D1C33">
      <w:pPr>
        <w:numPr>
          <w:ilvl w:val="0"/>
          <w:numId w:val="12"/>
        </w:numPr>
        <w:spacing w:line="480" w:lineRule="auto"/>
        <w:rPr>
          <w:rFonts w:ascii="Times New Roman" w:hAnsi="Times New Roman" w:cs="Times New Roman"/>
        </w:rPr>
      </w:pPr>
      <w:r w:rsidRPr="003D1C33">
        <w:rPr>
          <w:rFonts w:ascii="Times New Roman" w:hAnsi="Times New Roman" w:cs="Times New Roman"/>
          <w:b/>
          <w:bCs/>
        </w:rPr>
        <w:lastRenderedPageBreak/>
        <w:t>Standard Form Contract:</w:t>
      </w:r>
      <w:r w:rsidRPr="003D1C33">
        <w:rPr>
          <w:rFonts w:ascii="Times New Roman" w:hAnsi="Times New Roman" w:cs="Times New Roman"/>
        </w:rPr>
        <w:t> A pre-prepared contract where the consumer has little or no ability to negotiate terms.</w:t>
      </w:r>
    </w:p>
    <w:p w14:paraId="37CDBA45" w14:textId="77777777" w:rsidR="00FC4193" w:rsidRPr="003D1C33" w:rsidRDefault="00FC4193" w:rsidP="003D1C33">
      <w:pPr>
        <w:numPr>
          <w:ilvl w:val="0"/>
          <w:numId w:val="12"/>
        </w:numPr>
        <w:spacing w:line="480" w:lineRule="auto"/>
        <w:rPr>
          <w:rFonts w:ascii="Times New Roman" w:hAnsi="Times New Roman" w:cs="Times New Roman"/>
        </w:rPr>
      </w:pPr>
      <w:r w:rsidRPr="003D1C33">
        <w:rPr>
          <w:rFonts w:ascii="Times New Roman" w:hAnsi="Times New Roman" w:cs="Times New Roman"/>
          <w:b/>
          <w:bCs/>
        </w:rPr>
        <w:t>Unconscionability:</w:t>
      </w:r>
      <w:r w:rsidRPr="003D1C33">
        <w:rPr>
          <w:rFonts w:ascii="Times New Roman" w:hAnsi="Times New Roman" w:cs="Times New Roman"/>
        </w:rPr>
        <w:t> A doctrine allowing courts to refuse to enforce unfair contracts that exploit a party's weakness.</w:t>
      </w:r>
    </w:p>
    <w:p w14:paraId="6059C682" w14:textId="640D837E" w:rsidR="00FC4193" w:rsidRDefault="00FC4193"/>
    <w:p w14:paraId="757A705B" w14:textId="77777777" w:rsidR="00FC4193" w:rsidRDefault="00FC4193">
      <w:r>
        <w:br w:type="page"/>
      </w:r>
    </w:p>
    <w:p w14:paraId="31C4C02E" w14:textId="42DDC11C" w:rsidR="00FC4193" w:rsidRDefault="00FC4193"/>
    <w:p w14:paraId="50463320" w14:textId="77777777" w:rsidR="00FC4193" w:rsidRDefault="00FC4193">
      <w:r>
        <w:br w:type="page"/>
      </w:r>
    </w:p>
    <w:p w14:paraId="193289D0" w14:textId="664DAC08" w:rsidR="00FC4193" w:rsidRDefault="00FC4193"/>
    <w:p w14:paraId="4CCD9209" w14:textId="77777777" w:rsidR="00FC4193" w:rsidRDefault="00FC4193">
      <w:r>
        <w:br w:type="page"/>
      </w:r>
    </w:p>
    <w:p w14:paraId="7890CE77" w14:textId="2B69F87A" w:rsidR="00FC4193" w:rsidRDefault="00FC4193"/>
    <w:p w14:paraId="1B6E1D64" w14:textId="77777777" w:rsidR="00FC4193" w:rsidRDefault="00FC4193">
      <w:r>
        <w:br w:type="page"/>
      </w:r>
    </w:p>
    <w:p w14:paraId="0CC63849" w14:textId="66171889" w:rsidR="00FC4193" w:rsidRDefault="00FC4193"/>
    <w:p w14:paraId="1F153B7A" w14:textId="77777777" w:rsidR="00FC4193" w:rsidRDefault="00FC4193">
      <w:r>
        <w:br w:type="page"/>
      </w:r>
    </w:p>
    <w:p w14:paraId="0848A60E" w14:textId="2BEA374D" w:rsidR="00FC4193" w:rsidRDefault="00FC4193"/>
    <w:p w14:paraId="53583DD8" w14:textId="77777777" w:rsidR="00FC4193" w:rsidRDefault="00FC4193">
      <w:r>
        <w:br w:type="page"/>
      </w:r>
    </w:p>
    <w:p w14:paraId="2D04CAF0" w14:textId="3B3FBC85" w:rsidR="00FC4193" w:rsidRDefault="00FC4193"/>
    <w:p w14:paraId="17301C07" w14:textId="77777777" w:rsidR="00FC4193" w:rsidRDefault="00FC4193">
      <w:r>
        <w:br w:type="page"/>
      </w:r>
    </w:p>
    <w:p w14:paraId="48608E4B" w14:textId="3121C5AC" w:rsidR="00FC4193" w:rsidRDefault="00FC4193"/>
    <w:p w14:paraId="77A93118" w14:textId="77777777" w:rsidR="00FC4193" w:rsidRDefault="00FC4193">
      <w:r>
        <w:br w:type="page"/>
      </w:r>
    </w:p>
    <w:p w14:paraId="162F56CD" w14:textId="5C8AF97B" w:rsidR="00FC4193" w:rsidRDefault="00FC4193"/>
    <w:p w14:paraId="5A91DC3E" w14:textId="77777777" w:rsidR="00FC4193" w:rsidRDefault="00FC4193">
      <w:r>
        <w:br w:type="page"/>
      </w:r>
    </w:p>
    <w:p w14:paraId="54305072" w14:textId="3CC1125A" w:rsidR="00FC4193" w:rsidRDefault="00FC4193"/>
    <w:p w14:paraId="55E9E062" w14:textId="77777777" w:rsidR="00FC4193" w:rsidRDefault="00FC4193">
      <w:r>
        <w:br w:type="page"/>
      </w:r>
    </w:p>
    <w:p w14:paraId="2CEDE042" w14:textId="317C05DF" w:rsidR="00FC4193" w:rsidRDefault="00FC4193"/>
    <w:p w14:paraId="7DFA0ECE" w14:textId="77777777" w:rsidR="00FC4193" w:rsidRDefault="00FC4193">
      <w:r>
        <w:br w:type="page"/>
      </w:r>
    </w:p>
    <w:p w14:paraId="4BE529A9" w14:textId="31CA85E0" w:rsidR="00FC4193" w:rsidRDefault="00FC4193"/>
    <w:p w14:paraId="417EA6EF" w14:textId="77777777" w:rsidR="00FC4193" w:rsidRDefault="00FC4193">
      <w:r>
        <w:br w:type="page"/>
      </w:r>
    </w:p>
    <w:p w14:paraId="731CC550" w14:textId="2D5DE717" w:rsidR="00FC4193" w:rsidRDefault="00FC4193"/>
    <w:p w14:paraId="06772BCF" w14:textId="77777777" w:rsidR="00FC4193" w:rsidRDefault="00FC4193">
      <w:r>
        <w:br w:type="page"/>
      </w:r>
    </w:p>
    <w:p w14:paraId="7D36761B" w14:textId="7A86C0C1" w:rsidR="00FC4193" w:rsidRDefault="00FC4193"/>
    <w:p w14:paraId="1E9D9C6F" w14:textId="77777777" w:rsidR="00FC4193" w:rsidRDefault="00FC4193">
      <w:r>
        <w:br w:type="page"/>
      </w:r>
    </w:p>
    <w:p w14:paraId="1BADEDC1" w14:textId="23B7E017" w:rsidR="00FC4193" w:rsidRDefault="00FC4193"/>
    <w:p w14:paraId="3286CE52" w14:textId="0314966D" w:rsidR="00FC4193" w:rsidRDefault="00FC4193">
      <w:r>
        <w:br w:type="page"/>
      </w:r>
    </w:p>
    <w:sectPr w:rsidR="00FC41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E1F49"/>
    <w:multiLevelType w:val="multilevel"/>
    <w:tmpl w:val="D3B2F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5F7388"/>
    <w:multiLevelType w:val="multilevel"/>
    <w:tmpl w:val="DF1A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82103F"/>
    <w:multiLevelType w:val="multilevel"/>
    <w:tmpl w:val="DB525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802C92"/>
    <w:multiLevelType w:val="multilevel"/>
    <w:tmpl w:val="3AD69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373BB2"/>
    <w:multiLevelType w:val="multilevel"/>
    <w:tmpl w:val="CFB84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C830D9"/>
    <w:multiLevelType w:val="multilevel"/>
    <w:tmpl w:val="5336C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375C13"/>
    <w:multiLevelType w:val="multilevel"/>
    <w:tmpl w:val="40D4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9C4AF9"/>
    <w:multiLevelType w:val="multilevel"/>
    <w:tmpl w:val="0B1CA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0727E9"/>
    <w:multiLevelType w:val="multilevel"/>
    <w:tmpl w:val="BA608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B537AE"/>
    <w:multiLevelType w:val="multilevel"/>
    <w:tmpl w:val="93047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6850DC0"/>
    <w:multiLevelType w:val="multilevel"/>
    <w:tmpl w:val="8116A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0D07EF"/>
    <w:multiLevelType w:val="multilevel"/>
    <w:tmpl w:val="FD847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613070">
    <w:abstractNumId w:val="9"/>
  </w:num>
  <w:num w:numId="2" w16cid:durableId="732508037">
    <w:abstractNumId w:val="10"/>
  </w:num>
  <w:num w:numId="3" w16cid:durableId="758213929">
    <w:abstractNumId w:val="2"/>
  </w:num>
  <w:num w:numId="4" w16cid:durableId="83847377">
    <w:abstractNumId w:val="0"/>
  </w:num>
  <w:num w:numId="5" w16cid:durableId="692656173">
    <w:abstractNumId w:val="8"/>
  </w:num>
  <w:num w:numId="6" w16cid:durableId="573011607">
    <w:abstractNumId w:val="4"/>
  </w:num>
  <w:num w:numId="7" w16cid:durableId="336739245">
    <w:abstractNumId w:val="7"/>
  </w:num>
  <w:num w:numId="8" w16cid:durableId="599607048">
    <w:abstractNumId w:val="1"/>
  </w:num>
  <w:num w:numId="9" w16cid:durableId="1368263625">
    <w:abstractNumId w:val="3"/>
  </w:num>
  <w:num w:numId="10" w16cid:durableId="485168103">
    <w:abstractNumId w:val="6"/>
  </w:num>
  <w:num w:numId="11" w16cid:durableId="14158140">
    <w:abstractNumId w:val="5"/>
  </w:num>
  <w:num w:numId="12" w16cid:durableId="121288578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193"/>
    <w:rsid w:val="0025761E"/>
    <w:rsid w:val="003D1C33"/>
    <w:rsid w:val="007004A6"/>
    <w:rsid w:val="007A066C"/>
    <w:rsid w:val="008D3BC2"/>
    <w:rsid w:val="00921DE2"/>
    <w:rsid w:val="00A03851"/>
    <w:rsid w:val="00A40220"/>
    <w:rsid w:val="00CC70D2"/>
    <w:rsid w:val="00FC41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CD9FA"/>
  <w15:chartTrackingRefBased/>
  <w15:docId w15:val="{A33F9D73-1D53-4AAE-947A-E1AAE396F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41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C41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C41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41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C41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C41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41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41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41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1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C41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C41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C41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C41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C41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41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41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4193"/>
    <w:rPr>
      <w:rFonts w:eastAsiaTheme="majorEastAsia" w:cstheme="majorBidi"/>
      <w:color w:val="272727" w:themeColor="text1" w:themeTint="D8"/>
    </w:rPr>
  </w:style>
  <w:style w:type="paragraph" w:styleId="Title">
    <w:name w:val="Title"/>
    <w:basedOn w:val="Normal"/>
    <w:next w:val="Normal"/>
    <w:link w:val="TitleChar"/>
    <w:uiPriority w:val="10"/>
    <w:qFormat/>
    <w:rsid w:val="00FC41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41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41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41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4193"/>
    <w:pPr>
      <w:spacing w:before="160"/>
      <w:jc w:val="center"/>
    </w:pPr>
    <w:rPr>
      <w:i/>
      <w:iCs/>
      <w:color w:val="404040" w:themeColor="text1" w:themeTint="BF"/>
    </w:rPr>
  </w:style>
  <w:style w:type="character" w:customStyle="1" w:styleId="QuoteChar">
    <w:name w:val="Quote Char"/>
    <w:basedOn w:val="DefaultParagraphFont"/>
    <w:link w:val="Quote"/>
    <w:uiPriority w:val="29"/>
    <w:rsid w:val="00FC4193"/>
    <w:rPr>
      <w:i/>
      <w:iCs/>
      <w:color w:val="404040" w:themeColor="text1" w:themeTint="BF"/>
    </w:rPr>
  </w:style>
  <w:style w:type="paragraph" w:styleId="ListParagraph">
    <w:name w:val="List Paragraph"/>
    <w:basedOn w:val="Normal"/>
    <w:uiPriority w:val="34"/>
    <w:qFormat/>
    <w:rsid w:val="00FC4193"/>
    <w:pPr>
      <w:ind w:left="720"/>
      <w:contextualSpacing/>
    </w:pPr>
  </w:style>
  <w:style w:type="character" w:styleId="IntenseEmphasis">
    <w:name w:val="Intense Emphasis"/>
    <w:basedOn w:val="DefaultParagraphFont"/>
    <w:uiPriority w:val="21"/>
    <w:qFormat/>
    <w:rsid w:val="00FC4193"/>
    <w:rPr>
      <w:i/>
      <w:iCs/>
      <w:color w:val="2F5496" w:themeColor="accent1" w:themeShade="BF"/>
    </w:rPr>
  </w:style>
  <w:style w:type="paragraph" w:styleId="IntenseQuote">
    <w:name w:val="Intense Quote"/>
    <w:basedOn w:val="Normal"/>
    <w:next w:val="Normal"/>
    <w:link w:val="IntenseQuoteChar"/>
    <w:uiPriority w:val="30"/>
    <w:qFormat/>
    <w:rsid w:val="00FC41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4193"/>
    <w:rPr>
      <w:i/>
      <w:iCs/>
      <w:color w:val="2F5496" w:themeColor="accent1" w:themeShade="BF"/>
    </w:rPr>
  </w:style>
  <w:style w:type="character" w:styleId="IntenseReference">
    <w:name w:val="Intense Reference"/>
    <w:basedOn w:val="DefaultParagraphFont"/>
    <w:uiPriority w:val="32"/>
    <w:qFormat/>
    <w:rsid w:val="00FC4193"/>
    <w:rPr>
      <w:b/>
      <w:bCs/>
      <w:smallCaps/>
      <w:color w:val="2F5496" w:themeColor="accent1" w:themeShade="BF"/>
      <w:spacing w:val="5"/>
    </w:rPr>
  </w:style>
  <w:style w:type="character" w:styleId="Hyperlink">
    <w:name w:val="Hyperlink"/>
    <w:basedOn w:val="DefaultParagraphFont"/>
    <w:uiPriority w:val="99"/>
    <w:unhideWhenUsed/>
    <w:rsid w:val="00FC4193"/>
    <w:rPr>
      <w:color w:val="0563C1" w:themeColor="hyperlink"/>
      <w:u w:val="single"/>
    </w:rPr>
  </w:style>
  <w:style w:type="character" w:styleId="UnresolvedMention">
    <w:name w:val="Unresolved Mention"/>
    <w:basedOn w:val="DefaultParagraphFont"/>
    <w:uiPriority w:val="99"/>
    <w:semiHidden/>
    <w:unhideWhenUsed/>
    <w:rsid w:val="00FC41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aa.co.uk/news/2020/cma-and-caa-warn-airlines-over-unfair-practices-in-relation-to-refunds-for-cancelled-fligh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37</Pages>
  <Words>4869</Words>
  <Characters>27755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Jesika Sonawane</dc:creator>
  <cp:keywords/>
  <dc:description/>
  <cp:lastModifiedBy>Jesika Sonawane</cp:lastModifiedBy>
  <cp:revision>3</cp:revision>
  <dcterms:created xsi:type="dcterms:W3CDTF">2026-02-07T20:02:00Z</dcterms:created>
  <dcterms:modified xsi:type="dcterms:W3CDTF">2026-02-13T19:48:00Z</dcterms:modified>
</cp:coreProperties>
</file>