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5B845">
      <w:pPr>
        <w:spacing w:line="360" w:lineRule="auto"/>
        <w:jc w:val="center"/>
        <w:rPr>
          <w:rFonts w:ascii="Times New Roman" w:hAnsi="Times New Roman" w:cs="Times New Roman"/>
          <w:b/>
          <w:bCs/>
          <w:sz w:val="36"/>
          <w:szCs w:val="36"/>
          <w:lang w:val="en-AU"/>
        </w:rPr>
      </w:pPr>
      <w:bookmarkStart w:id="0" w:name="_Hlk197023690"/>
      <w:r>
        <w:drawing>
          <wp:inline distT="0" distB="0" distL="0" distR="0">
            <wp:extent cx="5431790" cy="1630680"/>
            <wp:effectExtent l="0" t="0" r="0" b="7620"/>
            <wp:docPr id="1613693692" name="Picture 1" descr="Contact Us for Inquiries &amp; Assist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93692" name="Picture 1" descr="Contact Us for Inquiries &amp; Assistanc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436797" cy="1632099"/>
                    </a:xfrm>
                    <a:prstGeom prst="rect">
                      <a:avLst/>
                    </a:prstGeom>
                    <a:noFill/>
                    <a:ln>
                      <a:noFill/>
                    </a:ln>
                  </pic:spPr>
                </pic:pic>
              </a:graphicData>
            </a:graphic>
          </wp:inline>
        </w:drawing>
      </w:r>
    </w:p>
    <w:p w14:paraId="67D32F27">
      <w:pPr>
        <w:spacing w:line="360" w:lineRule="auto"/>
        <w:jc w:val="center"/>
        <w:rPr>
          <w:rFonts w:ascii="Times New Roman" w:hAnsi="Times New Roman" w:cs="Times New Roman"/>
          <w:b/>
          <w:bCs/>
          <w:sz w:val="36"/>
          <w:szCs w:val="36"/>
          <w:lang w:val="en-AU"/>
        </w:rPr>
      </w:pPr>
    </w:p>
    <w:p w14:paraId="385EDD09">
      <w:pPr>
        <w:spacing w:line="360" w:lineRule="auto"/>
        <w:jc w:val="center"/>
        <w:rPr>
          <w:rFonts w:ascii="Times New Roman" w:hAnsi="Times New Roman" w:cs="Times New Roman"/>
          <w:b/>
          <w:bCs/>
          <w:sz w:val="36"/>
          <w:szCs w:val="36"/>
          <w:lang w:val="en-AU"/>
        </w:rPr>
      </w:pPr>
    </w:p>
    <w:p w14:paraId="37E9216F">
      <w:pPr>
        <w:spacing w:line="360" w:lineRule="auto"/>
        <w:jc w:val="center"/>
        <w:rPr>
          <w:rFonts w:ascii="Times New Roman" w:hAnsi="Times New Roman" w:cs="Times New Roman"/>
          <w:b/>
          <w:bCs/>
          <w:sz w:val="36"/>
          <w:szCs w:val="36"/>
          <w:lang w:val="en-AU"/>
        </w:rPr>
      </w:pPr>
    </w:p>
    <w:p w14:paraId="60DB6F0C">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Assignment Title: Digital Talent Academy for Upskilling Rural Youth in Sustainable Tourism</w:t>
      </w:r>
    </w:p>
    <w:p w14:paraId="5D400137">
      <w:pPr>
        <w:spacing w:line="360" w:lineRule="auto"/>
        <w:jc w:val="center"/>
        <w:rPr>
          <w:rFonts w:ascii="Times New Roman" w:hAnsi="Times New Roman" w:cs="Times New Roman"/>
          <w:b/>
          <w:bCs/>
          <w:sz w:val="36"/>
          <w:szCs w:val="36"/>
          <w:lang w:val="en-AU"/>
        </w:rPr>
      </w:pPr>
    </w:p>
    <w:p w14:paraId="7B7B7D5C">
      <w:pPr>
        <w:spacing w:line="360" w:lineRule="auto"/>
        <w:jc w:val="center"/>
        <w:rPr>
          <w:rFonts w:ascii="Times New Roman" w:hAnsi="Times New Roman" w:cs="Times New Roman"/>
          <w:b/>
          <w:bCs/>
          <w:sz w:val="36"/>
          <w:szCs w:val="36"/>
          <w:lang w:val="en-AU"/>
        </w:rPr>
      </w:pPr>
    </w:p>
    <w:p w14:paraId="4B851F38">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Name:</w:t>
      </w:r>
      <w:r>
        <w:rPr>
          <w:rFonts w:hint="default" w:ascii="Times New Roman" w:hAnsi="Times New Roman" w:cs="Times New Roman"/>
          <w:b/>
          <w:bCs/>
          <w:sz w:val="36"/>
          <w:szCs w:val="36"/>
          <w:lang w:val="de-DE"/>
        </w:rPr>
        <w:t xml:space="preserve"> Vivek Vivek </w:t>
      </w:r>
    </w:p>
    <w:p w14:paraId="4D0B774B">
      <w:pPr>
        <w:spacing w:line="360" w:lineRule="auto"/>
        <w:jc w:val="center"/>
        <w:rPr>
          <w:rFonts w:ascii="Times New Roman" w:hAnsi="Times New Roman" w:cs="Times New Roman"/>
          <w:b/>
          <w:bCs/>
          <w:sz w:val="36"/>
          <w:szCs w:val="36"/>
          <w:lang w:val="en-AU"/>
        </w:rPr>
      </w:pPr>
    </w:p>
    <w:p w14:paraId="4BEC4AD1">
      <w:pPr>
        <w:spacing w:line="360" w:lineRule="auto"/>
        <w:jc w:val="center"/>
        <w:rPr>
          <w:rFonts w:ascii="Times New Roman" w:hAnsi="Times New Roman" w:cs="Times New Roman"/>
          <w:b/>
          <w:bCs/>
          <w:sz w:val="36"/>
          <w:szCs w:val="36"/>
          <w:lang w:val="en-AU"/>
        </w:rPr>
      </w:pPr>
    </w:p>
    <w:p w14:paraId="42FF1435">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 xml:space="preserve">Student ID: </w:t>
      </w:r>
      <w:r>
        <w:rPr>
          <w:rFonts w:hint="default" w:ascii="Times New Roman" w:hAnsi="Times New Roman" w:cs="Times New Roman"/>
          <w:b/>
          <w:bCs/>
          <w:sz w:val="36"/>
          <w:szCs w:val="36"/>
          <w:lang w:val="de-DE"/>
        </w:rPr>
        <w:t>DE240014</w:t>
      </w:r>
      <w:bookmarkStart w:id="18" w:name="_GoBack"/>
      <w:bookmarkEnd w:id="18"/>
    </w:p>
    <w:bookmarkEnd w:id="0"/>
    <w:p w14:paraId="48CB34FF"/>
    <w:p w14:paraId="7548EC91"/>
    <w:p w14:paraId="5EF38C0D"/>
    <w:p w14:paraId="7225C50F"/>
    <w:p w14:paraId="2DB2A48E"/>
    <w:p w14:paraId="25CE9EA5"/>
    <w:sdt>
      <w:sdtPr>
        <w:rPr>
          <w:rFonts w:asciiTheme="minorHAnsi" w:hAnsiTheme="minorHAnsi" w:eastAsiaTheme="minorHAnsi" w:cstheme="minorBidi"/>
          <w:color w:val="auto"/>
          <w:sz w:val="22"/>
          <w:szCs w:val="22"/>
        </w:rPr>
        <w:id w:val="522441323"/>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181D764D">
          <w:pPr>
            <w:pStyle w:val="16"/>
          </w:pPr>
          <w:r>
            <w:t>Contents</w:t>
          </w:r>
        </w:p>
        <w:p w14:paraId="0BF27882">
          <w:pPr>
            <w:pStyle w:val="10"/>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"_Toc197090826" </w:instrText>
          </w:r>
          <w:r>
            <w:fldChar w:fldCharType="separate"/>
          </w:r>
          <w:r>
            <w:rPr>
              <w:rStyle w:val="8"/>
              <w:lang w:val="en-AU"/>
            </w:rPr>
            <w:t>Executive Summary</w:t>
          </w:r>
          <w:r>
            <w:tab/>
          </w:r>
          <w:r>
            <w:fldChar w:fldCharType="begin"/>
          </w:r>
          <w:r>
            <w:instrText xml:space="preserve"> PAGEREF _Toc197090826 \h </w:instrText>
          </w:r>
          <w:r>
            <w:fldChar w:fldCharType="separate"/>
          </w:r>
          <w:r>
            <w:t>3</w:t>
          </w:r>
          <w:r>
            <w:fldChar w:fldCharType="end"/>
          </w:r>
          <w:r>
            <w:fldChar w:fldCharType="end"/>
          </w:r>
        </w:p>
        <w:p w14:paraId="7005BF35">
          <w:pPr>
            <w:pStyle w:val="10"/>
            <w:tabs>
              <w:tab w:val="right" w:leader="dot" w:pos="9016"/>
            </w:tabs>
            <w:rPr>
              <w:rFonts w:eastAsiaTheme="minorEastAsia"/>
              <w:lang w:val="en-IN" w:eastAsia="en-IN"/>
            </w:rPr>
          </w:pPr>
          <w:r>
            <w:fldChar w:fldCharType="begin"/>
          </w:r>
          <w:r>
            <w:instrText xml:space="preserve"> HYPERLINK \l "_Toc197090827" </w:instrText>
          </w:r>
          <w:r>
            <w:fldChar w:fldCharType="separate"/>
          </w:r>
          <w:r>
            <w:rPr>
              <w:rStyle w:val="8"/>
              <w:lang w:val="en-AU"/>
            </w:rPr>
            <w:t>1. Introduction</w:t>
          </w:r>
          <w:r>
            <w:tab/>
          </w:r>
          <w:r>
            <w:fldChar w:fldCharType="begin"/>
          </w:r>
          <w:r>
            <w:instrText xml:space="preserve"> PAGEREF _Toc197090827 \h </w:instrText>
          </w:r>
          <w:r>
            <w:fldChar w:fldCharType="separate"/>
          </w:r>
          <w:r>
            <w:t>3</w:t>
          </w:r>
          <w:r>
            <w:fldChar w:fldCharType="end"/>
          </w:r>
          <w:r>
            <w:fldChar w:fldCharType="end"/>
          </w:r>
        </w:p>
        <w:p w14:paraId="278545FF">
          <w:pPr>
            <w:pStyle w:val="10"/>
            <w:tabs>
              <w:tab w:val="right" w:leader="dot" w:pos="9016"/>
            </w:tabs>
            <w:rPr>
              <w:rFonts w:eastAsiaTheme="minorEastAsia"/>
              <w:lang w:val="en-IN" w:eastAsia="en-IN"/>
            </w:rPr>
          </w:pPr>
          <w:r>
            <w:fldChar w:fldCharType="begin"/>
          </w:r>
          <w:r>
            <w:instrText xml:space="preserve"> HYPERLINK \l "_Toc197090828" </w:instrText>
          </w:r>
          <w:r>
            <w:fldChar w:fldCharType="separate"/>
          </w:r>
          <w:r>
            <w:rPr>
              <w:rStyle w:val="8"/>
              <w:lang w:val="en-AU"/>
            </w:rPr>
            <w:t>2. Program Proposal</w:t>
          </w:r>
          <w:r>
            <w:tab/>
          </w:r>
          <w:r>
            <w:fldChar w:fldCharType="begin"/>
          </w:r>
          <w:r>
            <w:instrText xml:space="preserve"> PAGEREF _Toc197090828 \h </w:instrText>
          </w:r>
          <w:r>
            <w:fldChar w:fldCharType="separate"/>
          </w:r>
          <w:r>
            <w:t>4</w:t>
          </w:r>
          <w:r>
            <w:fldChar w:fldCharType="end"/>
          </w:r>
          <w:r>
            <w:fldChar w:fldCharType="end"/>
          </w:r>
        </w:p>
        <w:p w14:paraId="3EDB1749">
          <w:pPr>
            <w:pStyle w:val="11"/>
            <w:tabs>
              <w:tab w:val="right" w:leader="dot" w:pos="9016"/>
            </w:tabs>
            <w:rPr>
              <w:rFonts w:eastAsiaTheme="minorEastAsia"/>
              <w:lang w:val="en-IN" w:eastAsia="en-IN"/>
            </w:rPr>
          </w:pPr>
          <w:r>
            <w:fldChar w:fldCharType="begin"/>
          </w:r>
          <w:r>
            <w:instrText xml:space="preserve"> HYPERLINK \l "_Toc197090829" </w:instrText>
          </w:r>
          <w:r>
            <w:fldChar w:fldCharType="separate"/>
          </w:r>
          <w:r>
            <w:rPr>
              <w:rStyle w:val="8"/>
              <w:lang w:val="en-AU"/>
            </w:rPr>
            <w:t>2.1 Curriculum Design</w:t>
          </w:r>
          <w:r>
            <w:tab/>
          </w:r>
          <w:r>
            <w:fldChar w:fldCharType="begin"/>
          </w:r>
          <w:r>
            <w:instrText xml:space="preserve"> PAGEREF _Toc197090829 \h </w:instrText>
          </w:r>
          <w:r>
            <w:fldChar w:fldCharType="separate"/>
          </w:r>
          <w:r>
            <w:t>4</w:t>
          </w:r>
          <w:r>
            <w:fldChar w:fldCharType="end"/>
          </w:r>
          <w:r>
            <w:fldChar w:fldCharType="end"/>
          </w:r>
        </w:p>
        <w:p w14:paraId="76192894">
          <w:pPr>
            <w:pStyle w:val="10"/>
            <w:tabs>
              <w:tab w:val="right" w:leader="dot" w:pos="9016"/>
            </w:tabs>
            <w:rPr>
              <w:rFonts w:eastAsiaTheme="minorEastAsia"/>
              <w:lang w:val="en-IN" w:eastAsia="en-IN"/>
            </w:rPr>
          </w:pPr>
          <w:r>
            <w:fldChar w:fldCharType="begin"/>
          </w:r>
          <w:r>
            <w:instrText xml:space="preserve"> HYPERLINK \l "_Toc197090830" </w:instrText>
          </w:r>
          <w:r>
            <w:fldChar w:fldCharType="separate"/>
          </w:r>
          <w:r>
            <w:rPr>
              <w:rStyle w:val="8"/>
              <w:lang w:val="en-AU"/>
            </w:rPr>
            <w:t>2. Program Proposal</w:t>
          </w:r>
          <w:r>
            <w:tab/>
          </w:r>
          <w:r>
            <w:fldChar w:fldCharType="begin"/>
          </w:r>
          <w:r>
            <w:instrText xml:space="preserve"> PAGEREF _Toc197090830 \h </w:instrText>
          </w:r>
          <w:r>
            <w:fldChar w:fldCharType="separate"/>
          </w:r>
          <w:r>
            <w:t>4</w:t>
          </w:r>
          <w:r>
            <w:fldChar w:fldCharType="end"/>
          </w:r>
          <w:r>
            <w:fldChar w:fldCharType="end"/>
          </w:r>
        </w:p>
        <w:p w14:paraId="3E36A688">
          <w:pPr>
            <w:pStyle w:val="11"/>
            <w:tabs>
              <w:tab w:val="right" w:leader="dot" w:pos="9016"/>
            </w:tabs>
            <w:rPr>
              <w:rFonts w:eastAsiaTheme="minorEastAsia"/>
              <w:lang w:val="en-IN" w:eastAsia="en-IN"/>
            </w:rPr>
          </w:pPr>
          <w:r>
            <w:fldChar w:fldCharType="begin"/>
          </w:r>
          <w:r>
            <w:instrText xml:space="preserve"> HYPERLINK \l "_Toc197090831" </w:instrText>
          </w:r>
          <w:r>
            <w:fldChar w:fldCharType="separate"/>
          </w:r>
          <w:r>
            <w:rPr>
              <w:rStyle w:val="8"/>
              <w:lang w:val="en-AU"/>
            </w:rPr>
            <w:t>2.2 AI-Enabled Assessment Tools</w:t>
          </w:r>
          <w:r>
            <w:tab/>
          </w:r>
          <w:r>
            <w:fldChar w:fldCharType="begin"/>
          </w:r>
          <w:r>
            <w:instrText xml:space="preserve"> PAGEREF _Toc197090831 \h </w:instrText>
          </w:r>
          <w:r>
            <w:fldChar w:fldCharType="separate"/>
          </w:r>
          <w:r>
            <w:t>5</w:t>
          </w:r>
          <w:r>
            <w:fldChar w:fldCharType="end"/>
          </w:r>
          <w:r>
            <w:fldChar w:fldCharType="end"/>
          </w:r>
        </w:p>
        <w:p w14:paraId="519F977B">
          <w:pPr>
            <w:pStyle w:val="11"/>
            <w:tabs>
              <w:tab w:val="right" w:leader="dot" w:pos="9016"/>
            </w:tabs>
            <w:rPr>
              <w:rFonts w:eastAsiaTheme="minorEastAsia"/>
              <w:lang w:val="en-IN" w:eastAsia="en-IN"/>
            </w:rPr>
          </w:pPr>
          <w:r>
            <w:fldChar w:fldCharType="begin"/>
          </w:r>
          <w:r>
            <w:instrText xml:space="preserve"> HYPERLINK \l "_Toc197090832" </w:instrText>
          </w:r>
          <w:r>
            <w:fldChar w:fldCharType="separate"/>
          </w:r>
          <w:r>
            <w:rPr>
              <w:rStyle w:val="8"/>
              <w:lang w:val="en-AU"/>
            </w:rPr>
            <w:t>2.3 Career Pathing Framework</w:t>
          </w:r>
          <w:r>
            <w:tab/>
          </w:r>
          <w:r>
            <w:fldChar w:fldCharType="begin"/>
          </w:r>
          <w:r>
            <w:instrText xml:space="preserve"> PAGEREF _Toc197090832 \h </w:instrText>
          </w:r>
          <w:r>
            <w:fldChar w:fldCharType="separate"/>
          </w:r>
          <w:r>
            <w:t>5</w:t>
          </w:r>
          <w:r>
            <w:fldChar w:fldCharType="end"/>
          </w:r>
          <w:r>
            <w:fldChar w:fldCharType="end"/>
          </w:r>
        </w:p>
        <w:p w14:paraId="72832EFC">
          <w:pPr>
            <w:pStyle w:val="10"/>
            <w:tabs>
              <w:tab w:val="right" w:leader="dot" w:pos="9016"/>
            </w:tabs>
            <w:rPr>
              <w:rFonts w:eastAsiaTheme="minorEastAsia"/>
              <w:lang w:val="en-IN" w:eastAsia="en-IN"/>
            </w:rPr>
          </w:pPr>
          <w:r>
            <w:fldChar w:fldCharType="begin"/>
          </w:r>
          <w:r>
            <w:instrText xml:space="preserve"> HYPERLINK \l "_Toc197090833" </w:instrText>
          </w:r>
          <w:r>
            <w:fldChar w:fldCharType="separate"/>
          </w:r>
          <w:r>
            <w:rPr>
              <w:rStyle w:val="8"/>
              <w:lang w:val="en-AU"/>
            </w:rPr>
            <w:t>3. Technical Infrastructure</w:t>
          </w:r>
          <w:r>
            <w:tab/>
          </w:r>
          <w:r>
            <w:fldChar w:fldCharType="begin"/>
          </w:r>
          <w:r>
            <w:instrText xml:space="preserve"> PAGEREF _Toc197090833 \h </w:instrText>
          </w:r>
          <w:r>
            <w:fldChar w:fldCharType="separate"/>
          </w:r>
          <w:r>
            <w:t>6</w:t>
          </w:r>
          <w:r>
            <w:fldChar w:fldCharType="end"/>
          </w:r>
          <w:r>
            <w:fldChar w:fldCharType="end"/>
          </w:r>
        </w:p>
        <w:p w14:paraId="2DAE6991">
          <w:pPr>
            <w:pStyle w:val="10"/>
            <w:tabs>
              <w:tab w:val="right" w:leader="dot" w:pos="9016"/>
            </w:tabs>
            <w:rPr>
              <w:rFonts w:eastAsiaTheme="minorEastAsia"/>
              <w:lang w:val="en-IN" w:eastAsia="en-IN"/>
            </w:rPr>
          </w:pPr>
          <w:r>
            <w:fldChar w:fldCharType="begin"/>
          </w:r>
          <w:r>
            <w:instrText xml:space="preserve"> HYPERLINK \l "_Toc197090834" </w:instrText>
          </w:r>
          <w:r>
            <w:fldChar w:fldCharType="separate"/>
          </w:r>
          <w:r>
            <w:rPr>
              <w:rStyle w:val="8"/>
              <w:lang w:val="en-AU"/>
            </w:rPr>
            <w:t>4. Communication Media</w:t>
          </w:r>
          <w:r>
            <w:tab/>
          </w:r>
          <w:r>
            <w:fldChar w:fldCharType="begin"/>
          </w:r>
          <w:r>
            <w:instrText xml:space="preserve"> PAGEREF _Toc197090834 \h </w:instrText>
          </w:r>
          <w:r>
            <w:fldChar w:fldCharType="separate"/>
          </w:r>
          <w:r>
            <w:t>6</w:t>
          </w:r>
          <w:r>
            <w:fldChar w:fldCharType="end"/>
          </w:r>
          <w:r>
            <w:fldChar w:fldCharType="end"/>
          </w:r>
        </w:p>
        <w:p w14:paraId="1714A86F">
          <w:pPr>
            <w:pStyle w:val="11"/>
            <w:tabs>
              <w:tab w:val="right" w:leader="dot" w:pos="9016"/>
            </w:tabs>
            <w:rPr>
              <w:rFonts w:eastAsiaTheme="minorEastAsia"/>
              <w:lang w:val="en-IN" w:eastAsia="en-IN"/>
            </w:rPr>
          </w:pPr>
          <w:r>
            <w:fldChar w:fldCharType="begin"/>
          </w:r>
          <w:r>
            <w:instrText xml:space="preserve"> HYPERLINK \l "_Toc197090835" </w:instrText>
          </w:r>
          <w:r>
            <w:fldChar w:fldCharType="separate"/>
          </w:r>
          <w:r>
            <w:rPr>
              <w:rStyle w:val="8"/>
              <w:lang w:val="en-AU"/>
            </w:rPr>
            <w:t>4.1 Onboarding Video Script</w:t>
          </w:r>
          <w:r>
            <w:tab/>
          </w:r>
          <w:r>
            <w:fldChar w:fldCharType="begin"/>
          </w:r>
          <w:r>
            <w:instrText xml:space="preserve"> PAGEREF _Toc197090835 \h </w:instrText>
          </w:r>
          <w:r>
            <w:fldChar w:fldCharType="separate"/>
          </w:r>
          <w:r>
            <w:t>6</w:t>
          </w:r>
          <w:r>
            <w:fldChar w:fldCharType="end"/>
          </w:r>
          <w:r>
            <w:fldChar w:fldCharType="end"/>
          </w:r>
        </w:p>
        <w:p w14:paraId="0E8E6C1D">
          <w:pPr>
            <w:pStyle w:val="11"/>
            <w:tabs>
              <w:tab w:val="right" w:leader="dot" w:pos="9016"/>
            </w:tabs>
            <w:rPr>
              <w:rFonts w:eastAsiaTheme="minorEastAsia"/>
              <w:lang w:val="en-IN" w:eastAsia="en-IN"/>
            </w:rPr>
          </w:pPr>
          <w:r>
            <w:fldChar w:fldCharType="begin"/>
          </w:r>
          <w:r>
            <w:instrText xml:space="preserve"> HYPERLINK \l "_Toc197090836" </w:instrText>
          </w:r>
          <w:r>
            <w:fldChar w:fldCharType="separate"/>
          </w:r>
          <w:r>
            <w:rPr>
              <w:rStyle w:val="8"/>
              <w:lang w:val="en-AU"/>
            </w:rPr>
            <w:t>4.2 Motivational Content Script</w:t>
          </w:r>
          <w:r>
            <w:tab/>
          </w:r>
          <w:r>
            <w:fldChar w:fldCharType="begin"/>
          </w:r>
          <w:r>
            <w:instrText xml:space="preserve"> PAGEREF _Toc197090836 \h </w:instrText>
          </w:r>
          <w:r>
            <w:fldChar w:fldCharType="separate"/>
          </w:r>
          <w:r>
            <w:t>7</w:t>
          </w:r>
          <w:r>
            <w:fldChar w:fldCharType="end"/>
          </w:r>
          <w:r>
            <w:fldChar w:fldCharType="end"/>
          </w:r>
        </w:p>
        <w:p w14:paraId="08D65A72">
          <w:pPr>
            <w:pStyle w:val="11"/>
            <w:tabs>
              <w:tab w:val="right" w:leader="dot" w:pos="9016"/>
            </w:tabs>
            <w:rPr>
              <w:rFonts w:eastAsiaTheme="minorEastAsia"/>
              <w:lang w:val="en-IN" w:eastAsia="en-IN"/>
            </w:rPr>
          </w:pPr>
          <w:r>
            <w:fldChar w:fldCharType="begin"/>
          </w:r>
          <w:r>
            <w:instrText xml:space="preserve"> HYPERLINK \l "_Toc197090837" </w:instrText>
          </w:r>
          <w:r>
            <w:fldChar w:fldCharType="separate"/>
          </w:r>
          <w:r>
            <w:rPr>
              <w:rStyle w:val="8"/>
              <w:lang w:val="en-AU"/>
            </w:rPr>
            <w:t>4.3 Feedback Collection Mechanism</w:t>
          </w:r>
          <w:r>
            <w:tab/>
          </w:r>
          <w:r>
            <w:fldChar w:fldCharType="begin"/>
          </w:r>
          <w:r>
            <w:instrText xml:space="preserve"> PAGEREF _Toc197090837 \h </w:instrText>
          </w:r>
          <w:r>
            <w:fldChar w:fldCharType="separate"/>
          </w:r>
          <w:r>
            <w:t>8</w:t>
          </w:r>
          <w:r>
            <w:fldChar w:fldCharType="end"/>
          </w:r>
          <w:r>
            <w:fldChar w:fldCharType="end"/>
          </w:r>
        </w:p>
        <w:p w14:paraId="22588CF3">
          <w:pPr>
            <w:pStyle w:val="10"/>
            <w:tabs>
              <w:tab w:val="right" w:leader="dot" w:pos="9016"/>
            </w:tabs>
            <w:rPr>
              <w:rFonts w:eastAsiaTheme="minorEastAsia"/>
              <w:lang w:val="en-IN" w:eastAsia="en-IN"/>
            </w:rPr>
          </w:pPr>
          <w:r>
            <w:fldChar w:fldCharType="begin"/>
          </w:r>
          <w:r>
            <w:instrText xml:space="preserve"> HYPERLINK \l "_Toc197090838" </w:instrText>
          </w:r>
          <w:r>
            <w:fldChar w:fldCharType="separate"/>
          </w:r>
          <w:r>
            <w:rPr>
              <w:rStyle w:val="8"/>
              <w:lang w:val="en-AU"/>
            </w:rPr>
            <w:t>5. Inclusivity and Cross-Cultural Communication</w:t>
          </w:r>
          <w:r>
            <w:tab/>
          </w:r>
          <w:r>
            <w:fldChar w:fldCharType="begin"/>
          </w:r>
          <w:r>
            <w:instrText xml:space="preserve"> PAGEREF _Toc197090838 \h </w:instrText>
          </w:r>
          <w:r>
            <w:fldChar w:fldCharType="separate"/>
          </w:r>
          <w:r>
            <w:t>8</w:t>
          </w:r>
          <w:r>
            <w:fldChar w:fldCharType="end"/>
          </w:r>
          <w:r>
            <w:fldChar w:fldCharType="end"/>
          </w:r>
        </w:p>
        <w:p w14:paraId="3A240F55">
          <w:pPr>
            <w:pStyle w:val="10"/>
            <w:tabs>
              <w:tab w:val="right" w:leader="dot" w:pos="9016"/>
            </w:tabs>
            <w:rPr>
              <w:rFonts w:eastAsiaTheme="minorEastAsia"/>
              <w:lang w:val="en-IN" w:eastAsia="en-IN"/>
            </w:rPr>
          </w:pPr>
          <w:r>
            <w:fldChar w:fldCharType="begin"/>
          </w:r>
          <w:r>
            <w:instrText xml:space="preserve"> HYPERLINK \l "_Toc197090839" </w:instrText>
          </w:r>
          <w:r>
            <w:fldChar w:fldCharType="separate"/>
          </w:r>
          <w:r>
            <w:rPr>
              <w:rStyle w:val="8"/>
              <w:lang w:val="en-AU"/>
            </w:rPr>
            <w:t>6. Monitoring and Evaluation (M&amp;E)</w:t>
          </w:r>
          <w:r>
            <w:tab/>
          </w:r>
          <w:r>
            <w:fldChar w:fldCharType="begin"/>
          </w:r>
          <w:r>
            <w:instrText xml:space="preserve"> PAGEREF _Toc197090839 \h </w:instrText>
          </w:r>
          <w:r>
            <w:fldChar w:fldCharType="separate"/>
          </w:r>
          <w:r>
            <w:t>9</w:t>
          </w:r>
          <w:r>
            <w:fldChar w:fldCharType="end"/>
          </w:r>
          <w:r>
            <w:fldChar w:fldCharType="end"/>
          </w:r>
        </w:p>
        <w:p w14:paraId="146D0D8B">
          <w:pPr>
            <w:pStyle w:val="10"/>
            <w:tabs>
              <w:tab w:val="right" w:leader="dot" w:pos="9016"/>
            </w:tabs>
            <w:rPr>
              <w:rFonts w:eastAsiaTheme="minorEastAsia"/>
              <w:lang w:val="en-IN" w:eastAsia="en-IN"/>
            </w:rPr>
          </w:pPr>
          <w:r>
            <w:fldChar w:fldCharType="begin"/>
          </w:r>
          <w:r>
            <w:instrText xml:space="preserve"> HYPERLINK \l "_Toc197090840" </w:instrText>
          </w:r>
          <w:r>
            <w:fldChar w:fldCharType="separate"/>
          </w:r>
          <w:r>
            <w:rPr>
              <w:rStyle w:val="8"/>
              <w:lang w:val="en-AU"/>
            </w:rPr>
            <w:t>7. Sustainability and Stakeholder Engagement</w:t>
          </w:r>
          <w:r>
            <w:tab/>
          </w:r>
          <w:r>
            <w:fldChar w:fldCharType="begin"/>
          </w:r>
          <w:r>
            <w:instrText xml:space="preserve"> PAGEREF _Toc197090840 \h </w:instrText>
          </w:r>
          <w:r>
            <w:fldChar w:fldCharType="separate"/>
          </w:r>
          <w:r>
            <w:t>9</w:t>
          </w:r>
          <w:r>
            <w:fldChar w:fldCharType="end"/>
          </w:r>
          <w:r>
            <w:fldChar w:fldCharType="end"/>
          </w:r>
        </w:p>
        <w:p w14:paraId="36AD42EC">
          <w:pPr>
            <w:pStyle w:val="10"/>
            <w:tabs>
              <w:tab w:val="right" w:leader="dot" w:pos="9016"/>
            </w:tabs>
            <w:rPr>
              <w:rFonts w:eastAsiaTheme="minorEastAsia"/>
              <w:lang w:val="en-IN" w:eastAsia="en-IN"/>
            </w:rPr>
          </w:pPr>
          <w:r>
            <w:fldChar w:fldCharType="begin"/>
          </w:r>
          <w:r>
            <w:instrText xml:space="preserve"> HYPERLINK \l "_Toc197090841" </w:instrText>
          </w:r>
          <w:r>
            <w:fldChar w:fldCharType="separate"/>
          </w:r>
          <w:r>
            <w:rPr>
              <w:rStyle w:val="8"/>
              <w:lang w:val="en-AU"/>
            </w:rPr>
            <w:t>8. Conclusion</w:t>
          </w:r>
          <w:r>
            <w:tab/>
          </w:r>
          <w:r>
            <w:fldChar w:fldCharType="begin"/>
          </w:r>
          <w:r>
            <w:instrText xml:space="preserve"> PAGEREF _Toc197090841 \h </w:instrText>
          </w:r>
          <w:r>
            <w:fldChar w:fldCharType="separate"/>
          </w:r>
          <w:r>
            <w:t>10</w:t>
          </w:r>
          <w:r>
            <w:fldChar w:fldCharType="end"/>
          </w:r>
          <w:r>
            <w:fldChar w:fldCharType="end"/>
          </w:r>
        </w:p>
        <w:p w14:paraId="2FED1EC5">
          <w:pPr>
            <w:pStyle w:val="10"/>
            <w:tabs>
              <w:tab w:val="right" w:leader="dot" w:pos="9016"/>
            </w:tabs>
            <w:rPr>
              <w:rFonts w:eastAsiaTheme="minorEastAsia"/>
              <w:lang w:val="en-IN" w:eastAsia="en-IN"/>
            </w:rPr>
          </w:pPr>
          <w:r>
            <w:fldChar w:fldCharType="begin"/>
          </w:r>
          <w:r>
            <w:instrText xml:space="preserve"> HYPERLINK \l "_Toc197090842" </w:instrText>
          </w:r>
          <w:r>
            <w:fldChar w:fldCharType="separate"/>
          </w:r>
          <w:r>
            <w:rPr>
              <w:rStyle w:val="8"/>
              <w:rFonts w:eastAsia="Times New Roman"/>
              <w:lang w:val="en-IN" w:eastAsia="en-IN"/>
            </w:rPr>
            <w:t>References</w:t>
          </w:r>
          <w:r>
            <w:tab/>
          </w:r>
          <w:r>
            <w:fldChar w:fldCharType="begin"/>
          </w:r>
          <w:r>
            <w:instrText xml:space="preserve"> PAGEREF _Toc197090842 \h </w:instrText>
          </w:r>
          <w:r>
            <w:fldChar w:fldCharType="separate"/>
          </w:r>
          <w:r>
            <w:t>12</w:t>
          </w:r>
          <w:r>
            <w:fldChar w:fldCharType="end"/>
          </w:r>
          <w:r>
            <w:fldChar w:fldCharType="end"/>
          </w:r>
        </w:p>
        <w:p w14:paraId="3D5014C8">
          <w:r>
            <w:rPr>
              <w:b/>
              <w:bCs/>
            </w:rPr>
            <w:fldChar w:fldCharType="end"/>
          </w:r>
        </w:p>
      </w:sdtContent>
    </w:sdt>
    <w:p w14:paraId="2E10A7B2"/>
    <w:p w14:paraId="76F8AE76"/>
    <w:p w14:paraId="56F134C4"/>
    <w:p w14:paraId="64E26FA7"/>
    <w:p w14:paraId="4B770189"/>
    <w:p w14:paraId="445049EF"/>
    <w:p w14:paraId="12AE3913"/>
    <w:p w14:paraId="11157027"/>
    <w:p w14:paraId="022816AA"/>
    <w:p w14:paraId="57116631"/>
    <w:p w14:paraId="43D1790C"/>
    <w:p w14:paraId="4792F3D0"/>
    <w:p w14:paraId="64598392"/>
    <w:p w14:paraId="5B6A340C">
      <w:pPr>
        <w:pStyle w:val="2"/>
        <w:rPr>
          <w:lang w:val="en-AU"/>
        </w:rPr>
      </w:pPr>
      <w:bookmarkStart w:id="1" w:name="_Toc197090826"/>
      <w:r>
        <w:rPr>
          <w:lang w:val="en-AU"/>
        </w:rPr>
        <w:t>Executive Summary</w:t>
      </w:r>
      <w:bookmarkEnd w:id="1"/>
    </w:p>
    <w:p w14:paraId="08A2C149">
      <w:pPr>
        <w:rPr>
          <w:lang w:val="en-AU"/>
        </w:rPr>
      </w:pPr>
    </w:p>
    <w:p w14:paraId="145B9B5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Given the increase in the demand for qualified staff in the tourism and recreation sector, particularly in rural areas, where the proposal is in question outlines the implementation of a Digital Talent Academy for the national tourism authorities. The program is part of the master plan for sustainable tourism construction and youth work. It will provide a platform such as a mobile learning system without any barriers, testing the intelligence of artificial agents with more than one cross-cultural interaction, and as a means of robust career mapping. A new direction is outlined by also creating the employee onboarding video scripts, sending inspirational messages, and receiving feedback tools for further development at the national and international levels for the academy.</w:t>
      </w:r>
    </w:p>
    <w:p w14:paraId="1963DA96">
      <w:pPr>
        <w:spacing w:line="360" w:lineRule="auto"/>
        <w:jc w:val="both"/>
        <w:rPr>
          <w:rFonts w:ascii="Times New Roman" w:hAnsi="Times New Roman" w:cs="Times New Roman"/>
          <w:sz w:val="24"/>
          <w:szCs w:val="24"/>
          <w:lang w:val="en-AU"/>
        </w:rPr>
      </w:pPr>
    </w:p>
    <w:p w14:paraId="26C56EE1">
      <w:pPr>
        <w:pStyle w:val="2"/>
        <w:rPr>
          <w:lang w:val="en-AU"/>
        </w:rPr>
      </w:pPr>
      <w:bookmarkStart w:id="2" w:name="_Toc197090827"/>
      <w:r>
        <w:rPr>
          <w:lang w:val="en-AU"/>
        </w:rPr>
        <w:t>1. Introduction</w:t>
      </w:r>
      <w:bookmarkEnd w:id="2"/>
    </w:p>
    <w:p w14:paraId="63E2EC93">
      <w:pPr>
        <w:rPr>
          <w:lang w:val="en-AU"/>
        </w:rPr>
      </w:pPr>
    </w:p>
    <w:p w14:paraId="7F3B850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Tourism has a significant role to play in employment generation and economic development, especially in the poorest rural areas. Nevertheless, rural youth are often faced with structural barriers that prevent them from joining the tourism industry, such as being physically isolated, lacking proper training centres, and limited digital infrastructure (S4YE, 2021). Worldwide, mobile learning technologies and digital platforms can be instrumental in such cases, especially when they are equipped with culturally relevant content catered to the local population. As an example, the World Bank observes that the issue of rural youth being excluded from the local economy can now be addressed effectively through a combination of mobile learning technologies and digital platforms.</w:t>
      </w:r>
    </w:p>
    <w:p w14:paraId="296B4ED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paper presents the idea of the Digital Talent Academy development, which will not only reskill rural youth utilizing mobile-friendly AI-based learning but will also be the first step in more sustainable employment as organized by the National Tourism Board and will thereby:</w:t>
      </w:r>
    </w:p>
    <w:p w14:paraId="14BC33CC">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Enhance vocational readiness for rural youth.</w:t>
      </w:r>
    </w:p>
    <w:p w14:paraId="131BDA9A">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Support sustainable tourism practices.</w:t>
      </w:r>
    </w:p>
    <w:p w14:paraId="2E9DEFFB">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Bridge the urban-rural skills gap.</w:t>
      </w:r>
    </w:p>
    <w:p w14:paraId="7C0C4633">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Provide inclusive, technology-enabled education.</w:t>
      </w:r>
    </w:p>
    <w:p w14:paraId="7DEE0072">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Improve job placement and career progression opportunities.</w:t>
      </w:r>
    </w:p>
    <w:p w14:paraId="2E94013D">
      <w:pPr>
        <w:spacing w:line="360" w:lineRule="auto"/>
        <w:jc w:val="both"/>
        <w:rPr>
          <w:rFonts w:ascii="Times New Roman" w:hAnsi="Times New Roman" w:cs="Times New Roman"/>
          <w:sz w:val="24"/>
          <w:szCs w:val="24"/>
          <w:lang w:val="en-AU"/>
        </w:rPr>
      </w:pPr>
    </w:p>
    <w:p w14:paraId="7F004351">
      <w:pPr>
        <w:pStyle w:val="2"/>
        <w:rPr>
          <w:lang w:val="en-AU"/>
        </w:rPr>
      </w:pPr>
      <w:bookmarkStart w:id="3" w:name="_Toc197090828"/>
      <w:r>
        <w:rPr>
          <w:lang w:val="en-AU"/>
        </w:rPr>
        <w:t>2. Program Proposal</w:t>
      </w:r>
      <w:bookmarkEnd w:id="3"/>
    </w:p>
    <w:p w14:paraId="0598BB43">
      <w:pPr>
        <w:rPr>
          <w:lang w:val="en-AU"/>
        </w:rPr>
      </w:pPr>
    </w:p>
    <w:p w14:paraId="4823898A">
      <w:pPr>
        <w:pStyle w:val="3"/>
        <w:rPr>
          <w:lang w:val="en-AU"/>
        </w:rPr>
      </w:pPr>
      <w:bookmarkStart w:id="4" w:name="_Toc197090829"/>
      <w:r>
        <w:rPr>
          <w:lang w:val="en-AU"/>
        </w:rPr>
        <w:t>2.1 Curriculum Design</w:t>
      </w:r>
      <w:bookmarkEnd w:id="4"/>
    </w:p>
    <w:p w14:paraId="06A35DD7">
      <w:pPr>
        <w:rPr>
          <w:lang w:val="en-AU"/>
        </w:rPr>
      </w:pPr>
    </w:p>
    <w:p w14:paraId="16604A9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modules of the curriculum are based on competencies and they will be good examples of a blended learning method where the main focus is on interactive e-learning and mobile access. The initial modules consist of:</w:t>
      </w:r>
    </w:p>
    <w:p w14:paraId="0719C245">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Tourism Fundamentals:</w:t>
      </w:r>
      <w:r>
        <w:rPr>
          <w:rFonts w:ascii="Times New Roman" w:hAnsi="Times New Roman" w:cs="Times New Roman"/>
          <w:sz w:val="24"/>
          <w:szCs w:val="24"/>
          <w:lang w:val="en-AU"/>
        </w:rPr>
        <w:t xml:space="preserve"> History, trends, and the global value of sustainable tourism.</w:t>
      </w:r>
    </w:p>
    <w:p w14:paraId="023E94E1">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Hospitality Basics:</w:t>
      </w:r>
      <w:r>
        <w:rPr>
          <w:rFonts w:ascii="Times New Roman" w:hAnsi="Times New Roman" w:cs="Times New Roman"/>
          <w:sz w:val="24"/>
          <w:szCs w:val="24"/>
          <w:lang w:val="en-AU"/>
        </w:rPr>
        <w:t xml:space="preserve"> Customer service, safety protocols, sanitation, and guest management.</w:t>
      </w:r>
    </w:p>
    <w:p w14:paraId="35E23DFA">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Eco-Tourism Practices:</w:t>
      </w:r>
      <w:r>
        <w:rPr>
          <w:rFonts w:ascii="Times New Roman" w:hAnsi="Times New Roman" w:cs="Times New Roman"/>
          <w:sz w:val="24"/>
          <w:szCs w:val="24"/>
          <w:lang w:val="en-AU"/>
        </w:rPr>
        <w:t xml:space="preserve"> Conservation principles, biodiversity, and cultural heritage preservation.</w:t>
      </w:r>
    </w:p>
    <w:p w14:paraId="4370692D">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Digital Literacy:</w:t>
      </w:r>
      <w:r>
        <w:rPr>
          <w:rFonts w:ascii="Times New Roman" w:hAnsi="Times New Roman" w:cs="Times New Roman"/>
          <w:sz w:val="24"/>
          <w:szCs w:val="24"/>
          <w:lang w:val="en-AU"/>
        </w:rPr>
        <w:t xml:space="preserve"> Basic computer skills, social media marketing for local tourism, and online booking systems.</w:t>
      </w:r>
    </w:p>
    <w:p w14:paraId="4A7FCD85">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Soft Skills:</w:t>
      </w:r>
      <w:r>
        <w:rPr>
          <w:rFonts w:ascii="Times New Roman" w:hAnsi="Times New Roman" w:cs="Times New Roman"/>
          <w:sz w:val="24"/>
          <w:szCs w:val="24"/>
          <w:lang w:val="en-AU"/>
        </w:rPr>
        <w:t xml:space="preserve"> Communication, teamwork, emotional intelligence, and English for hospitality.</w:t>
      </w:r>
    </w:p>
    <w:p w14:paraId="23FC4FE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Each module will be supported by a series of microlearning videos, infographics, short quizzes, and case-based simulations that place an emphasis on the exercises being as close to reality as possible. One such example is a simulated "guest interaction" task that will check learners' skills in both verbal and non-verbal communication, linguistic choices, and cultural competence (Ahmad et al., 2023).</w:t>
      </w:r>
    </w:p>
    <w:p w14:paraId="2192B3B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Mobile-first platforms like Moodle or Canvas would be the best choice for delivering the learning content and the new courses will be minimized via a low-cost network. This finding is consistent with WCET research (2024) indicating that remote areas with the help of mobile are also empowered to a such degree that online courses' completion rates can be increased by up to 35%.</w:t>
      </w:r>
    </w:p>
    <w:p w14:paraId="1405B9BE">
      <w:pPr>
        <w:spacing w:line="360" w:lineRule="auto"/>
        <w:jc w:val="both"/>
        <w:rPr>
          <w:rFonts w:ascii="Times New Roman" w:hAnsi="Times New Roman" w:cs="Times New Roman"/>
          <w:sz w:val="24"/>
          <w:szCs w:val="24"/>
          <w:lang w:val="en-AU"/>
        </w:rPr>
      </w:pPr>
    </w:p>
    <w:p w14:paraId="3AB37954">
      <w:pPr>
        <w:pStyle w:val="2"/>
        <w:rPr>
          <w:lang w:val="en-AU"/>
        </w:rPr>
      </w:pPr>
      <w:bookmarkStart w:id="5" w:name="_Toc197090830"/>
      <w:r>
        <w:rPr>
          <w:lang w:val="en-AU"/>
        </w:rPr>
        <w:t>2. Program Proposal</w:t>
      </w:r>
      <w:bookmarkEnd w:id="5"/>
    </w:p>
    <w:p w14:paraId="28BCA0F0">
      <w:pPr>
        <w:rPr>
          <w:lang w:val="en-AU"/>
        </w:rPr>
      </w:pPr>
    </w:p>
    <w:p w14:paraId="741A56A6">
      <w:pPr>
        <w:pStyle w:val="3"/>
        <w:rPr>
          <w:lang w:val="en-AU"/>
        </w:rPr>
      </w:pPr>
      <w:bookmarkStart w:id="6" w:name="_Toc197090831"/>
      <w:r>
        <w:rPr>
          <w:lang w:val="en-AU"/>
        </w:rPr>
        <w:t>2.2 AI-Enabled Assessment Tools</w:t>
      </w:r>
      <w:bookmarkEnd w:id="6"/>
    </w:p>
    <w:p w14:paraId="355CFBEE">
      <w:pPr>
        <w:rPr>
          <w:lang w:val="en-AU"/>
        </w:rPr>
      </w:pPr>
    </w:p>
    <w:p w14:paraId="317B1BD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AI technologies are expected to have a very big impact on the assessment of the learner's performance and engagement. Among them are the following:</w:t>
      </w:r>
    </w:p>
    <w:p w14:paraId="5AE6B7A1">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Learning Paths that have the feature of adaptability according to AI:</w:t>
      </w:r>
      <w:r>
        <w:rPr>
          <w:rFonts w:ascii="Times New Roman" w:hAnsi="Times New Roman" w:cs="Times New Roman"/>
          <w:sz w:val="24"/>
          <w:szCs w:val="24"/>
          <w:lang w:val="en-AU"/>
        </w:rPr>
        <w:t xml:space="preserve"> AI alters the complexity of the module according to the student's learning curve and the results of the quizzes (Learn Tourism Blog, 2024).</w:t>
      </w:r>
    </w:p>
    <w:p w14:paraId="601F76C0">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u w:val="single"/>
          <w:lang w:val="en-AU"/>
        </w:rPr>
        <w:t>Speech Recognition:</w:t>
      </w:r>
      <w:r>
        <w:rPr>
          <w:rFonts w:ascii="Times New Roman" w:hAnsi="Times New Roman" w:cs="Times New Roman"/>
          <w:sz w:val="24"/>
          <w:szCs w:val="24"/>
          <w:lang w:val="en-AU"/>
        </w:rPr>
        <w:t xml:space="preserve"> Learners can use the technology to practice speaking English with immediate feedback on their pronunciation.</w:t>
      </w:r>
    </w:p>
    <w:p w14:paraId="321B86BB">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 xml:space="preserve">Automated Essay Grading: </w:t>
      </w:r>
      <w:r>
        <w:rPr>
          <w:rFonts w:ascii="Times New Roman" w:hAnsi="Times New Roman" w:cs="Times New Roman"/>
          <w:sz w:val="24"/>
          <w:szCs w:val="24"/>
          <w:lang w:val="en-AU"/>
        </w:rPr>
        <w:t>The tools of Natural Language Processing (NLP) are making the job of evaluating the clarity, coherence, and grammar of the written assignments.</w:t>
      </w:r>
    </w:p>
    <w:p w14:paraId="650C8BBF">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Proctoring Software:</w:t>
      </w:r>
      <w:r>
        <w:rPr>
          <w:rFonts w:ascii="Times New Roman" w:hAnsi="Times New Roman" w:cs="Times New Roman"/>
          <w:sz w:val="24"/>
          <w:szCs w:val="24"/>
          <w:lang w:val="en-AU"/>
        </w:rPr>
        <w:t xml:space="preserve"> Software such as ProctorExam.com provides secure online testing environments that confirm academic integrity.</w:t>
      </w:r>
    </w:p>
    <w:p w14:paraId="4B8B6F4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Besides, a 'Smart Coach' chatbot can offer immediate help, monitor the emotional mood during the discussions, and give personal recommendations for learning (Duarte et al., 2020).</w:t>
      </w:r>
    </w:p>
    <w:p w14:paraId="3F39660A">
      <w:pPr>
        <w:pStyle w:val="3"/>
        <w:rPr>
          <w:lang w:val="en-AU"/>
        </w:rPr>
      </w:pPr>
      <w:bookmarkStart w:id="7" w:name="_Toc197090832"/>
      <w:r>
        <w:rPr>
          <w:lang w:val="en-AU"/>
        </w:rPr>
        <w:t>2.3 Career Pathing Framework</w:t>
      </w:r>
      <w:bookmarkEnd w:id="7"/>
    </w:p>
    <w:p w14:paraId="09475844">
      <w:pPr>
        <w:rPr>
          <w:lang w:val="en-AU"/>
        </w:rPr>
      </w:pPr>
    </w:p>
    <w:p w14:paraId="180C66A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will follow a clear career path that is in line with the Hospitality, Events &amp; Tourism Career Cluster industry standards (Advance CTE, n.d.). The path consists of three levels:</w:t>
      </w:r>
    </w:p>
    <w:p w14:paraId="2ECAC00E">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Entry-Level Roles:</w:t>
      </w:r>
      <w:r>
        <w:rPr>
          <w:rFonts w:ascii="Times New Roman" w:hAnsi="Times New Roman" w:cs="Times New Roman"/>
          <w:sz w:val="24"/>
          <w:szCs w:val="24"/>
          <w:lang w:val="en-AU"/>
        </w:rPr>
        <w:t xml:space="preserve"> Front desk assistant, tour guide assistant, and eco-volunteer.</w:t>
      </w:r>
    </w:p>
    <w:p w14:paraId="33369315">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Mid-Level Positions:</w:t>
      </w:r>
      <w:r>
        <w:rPr>
          <w:rFonts w:ascii="Times New Roman" w:hAnsi="Times New Roman" w:cs="Times New Roman"/>
          <w:sz w:val="24"/>
          <w:szCs w:val="24"/>
          <w:lang w:val="en-AU"/>
        </w:rPr>
        <w:t xml:space="preserve"> Tour coordinator, booking agent, guest services specialist.</w:t>
      </w:r>
    </w:p>
    <w:p w14:paraId="4FB556BB">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Leadership Tracks:</w:t>
      </w:r>
      <w:r>
        <w:rPr>
          <w:rFonts w:ascii="Times New Roman" w:hAnsi="Times New Roman" w:cs="Times New Roman"/>
          <w:sz w:val="24"/>
          <w:szCs w:val="24"/>
          <w:lang w:val="en-AU"/>
        </w:rPr>
        <w:t xml:space="preserve"> Resort manager, destination planner, and sustainability officer.</w:t>
      </w:r>
    </w:p>
    <w:p w14:paraId="7ACD366C">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More so, career growth is through the following points:</w:t>
      </w:r>
    </w:p>
    <w:p w14:paraId="2DADBC0E">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 xml:space="preserve">Digital Badging: </w:t>
      </w:r>
      <w:r>
        <w:rPr>
          <w:rFonts w:ascii="Times New Roman" w:hAnsi="Times New Roman" w:cs="Times New Roman"/>
          <w:sz w:val="24"/>
          <w:szCs w:val="24"/>
          <w:lang w:val="en-AU"/>
        </w:rPr>
        <w:t>Small certifications that are traceable and show the acquired skill proficiency.</w:t>
      </w:r>
    </w:p>
    <w:p w14:paraId="7D14316F">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Internship Pipelines:</w:t>
      </w:r>
      <w:r>
        <w:rPr>
          <w:rFonts w:ascii="Times New Roman" w:hAnsi="Times New Roman" w:cs="Times New Roman"/>
          <w:sz w:val="24"/>
          <w:szCs w:val="24"/>
          <w:lang w:val="en-AU"/>
        </w:rPr>
        <w:t xml:space="preserve"> Combined with eco-lodges, tour companies, and travel agencies.</w:t>
      </w:r>
    </w:p>
    <w:p w14:paraId="0AB9730D">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Mentorship Matching</w:t>
      </w:r>
      <w:r>
        <w:rPr>
          <w:rFonts w:ascii="Times New Roman" w:hAnsi="Times New Roman" w:cs="Times New Roman"/>
          <w:sz w:val="24"/>
          <w:szCs w:val="24"/>
          <w:lang w:val="en-AU"/>
        </w:rPr>
        <w:t>: The fresh graduate and the industry professional who provides counselling and professional network access.</w:t>
      </w:r>
    </w:p>
    <w:p w14:paraId="077F79C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Real-world cases and simulated visits around the world will entertain scholars with the many sides and hidden delights of travel and tourism while improving their engagement and motivation.</w:t>
      </w:r>
    </w:p>
    <w:p w14:paraId="406FF979">
      <w:pPr>
        <w:spacing w:line="360" w:lineRule="auto"/>
        <w:jc w:val="both"/>
        <w:rPr>
          <w:rFonts w:ascii="Times New Roman" w:hAnsi="Times New Roman" w:cs="Times New Roman"/>
          <w:sz w:val="24"/>
          <w:szCs w:val="24"/>
          <w:lang w:val="en-AU"/>
        </w:rPr>
      </w:pPr>
    </w:p>
    <w:p w14:paraId="22C26E8D">
      <w:pPr>
        <w:pStyle w:val="2"/>
        <w:rPr>
          <w:lang w:val="en-AU"/>
        </w:rPr>
      </w:pPr>
      <w:bookmarkStart w:id="8" w:name="_Toc197090833"/>
      <w:r>
        <w:rPr>
          <w:lang w:val="en-AU"/>
        </w:rPr>
        <w:t>3. Technical Infrastructure</w:t>
      </w:r>
      <w:bookmarkEnd w:id="8"/>
    </w:p>
    <w:p w14:paraId="6FFDDDA1">
      <w:pPr>
        <w:rPr>
          <w:lang w:val="en-AU"/>
        </w:rPr>
      </w:pPr>
    </w:p>
    <w:p w14:paraId="1817D7A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is a plan to deal with infrastructural challenges in remote areas by making the service reachable, secure, and available:</w:t>
      </w:r>
    </w:p>
    <w:p w14:paraId="65B95053">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Mobile-First LMS:</w:t>
      </w:r>
      <w:r>
        <w:rPr>
          <w:rFonts w:ascii="Times New Roman" w:hAnsi="Times New Roman" w:cs="Times New Roman"/>
          <w:sz w:val="24"/>
          <w:szCs w:val="24"/>
          <w:lang w:val="en-AU"/>
        </w:rPr>
        <w:t xml:space="preserve"> Moodle will be altered to specify in the settings the offline mode for the downloads, and synchronization during connection, and multiple languages will be used (Neophytou et al., 2025).</w:t>
      </w:r>
    </w:p>
    <w:p w14:paraId="114B6981">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Content Delivery Network (CDN):</w:t>
      </w:r>
      <w:r>
        <w:rPr>
          <w:rFonts w:ascii="Times New Roman" w:hAnsi="Times New Roman" w:cs="Times New Roman"/>
          <w:sz w:val="24"/>
          <w:szCs w:val="24"/>
          <w:lang w:val="en-AU"/>
        </w:rPr>
        <w:t xml:space="preserve"> Through this, the users in low-bandwidth places obtain instant access to the videos and pictures with the use of this service.</w:t>
      </w:r>
    </w:p>
    <w:p w14:paraId="151B3C2E">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Learning Analytics Dashboard:</w:t>
      </w:r>
      <w:r>
        <w:rPr>
          <w:rFonts w:ascii="Times New Roman" w:hAnsi="Times New Roman" w:cs="Times New Roman"/>
          <w:sz w:val="24"/>
          <w:szCs w:val="24"/>
          <w:lang w:val="en-AU"/>
        </w:rPr>
        <w:t xml:space="preserve"> This tool provides detailed real-time insights into learners' behaviour, such as learning progress, early drop-out points, engagement levels, and assessment scores.</w:t>
      </w:r>
    </w:p>
    <w:p w14:paraId="50E05AAC">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Support System:</w:t>
      </w:r>
      <w:r>
        <w:rPr>
          <w:rFonts w:ascii="Times New Roman" w:hAnsi="Times New Roman" w:cs="Times New Roman"/>
          <w:sz w:val="24"/>
          <w:szCs w:val="24"/>
          <w:lang w:val="en-AU"/>
        </w:rPr>
        <w:t xml:space="preserve"> A multilingual chatbot, help desk, and peer forums together are the backbone of a student-centred interaction and learning community.</w:t>
      </w:r>
    </w:p>
    <w:p w14:paraId="4A03478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listed instruments are inspired by entities such as Nepal Wireless Networking Project, which showed where mobile education was feasible in remote disconnected areas like the mountains of Nepal (Nepal Wireless, 2023).</w:t>
      </w:r>
    </w:p>
    <w:p w14:paraId="7ADC1E72">
      <w:pPr>
        <w:spacing w:line="360" w:lineRule="auto"/>
        <w:jc w:val="both"/>
        <w:rPr>
          <w:rFonts w:ascii="Times New Roman" w:hAnsi="Times New Roman" w:cs="Times New Roman"/>
          <w:sz w:val="24"/>
          <w:szCs w:val="24"/>
          <w:lang w:val="en-AU"/>
        </w:rPr>
      </w:pPr>
    </w:p>
    <w:p w14:paraId="6988E6C9">
      <w:pPr>
        <w:pStyle w:val="2"/>
        <w:rPr>
          <w:lang w:val="en-AU"/>
        </w:rPr>
      </w:pPr>
      <w:bookmarkStart w:id="9" w:name="_Toc197090834"/>
      <w:r>
        <w:rPr>
          <w:lang w:val="en-AU"/>
        </w:rPr>
        <w:t>4. Communication Media</w:t>
      </w:r>
      <w:bookmarkEnd w:id="9"/>
    </w:p>
    <w:p w14:paraId="3BF1F60C">
      <w:pPr>
        <w:rPr>
          <w:lang w:val="en-AU"/>
        </w:rPr>
      </w:pPr>
    </w:p>
    <w:p w14:paraId="440A9219">
      <w:pPr>
        <w:pStyle w:val="3"/>
        <w:rPr>
          <w:lang w:val="en-AU"/>
        </w:rPr>
      </w:pPr>
      <w:bookmarkStart w:id="10" w:name="_Toc197090835"/>
      <w:r>
        <w:rPr>
          <w:lang w:val="en-AU"/>
        </w:rPr>
        <w:t>4.1 Onboarding Video Script</w:t>
      </w:r>
      <w:bookmarkEnd w:id="10"/>
    </w:p>
    <w:p w14:paraId="5B2DFA72">
      <w:pPr>
        <w:rPr>
          <w:lang w:val="en-AU"/>
        </w:rPr>
      </w:pPr>
    </w:p>
    <w:p w14:paraId="6493A43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Visual: Pictures of Colourful rural places, full of activities-independent, and local guides in traditional attire.</w:t>
      </w:r>
    </w:p>
    <w:p w14:paraId="25845C75">
      <w:pPr>
        <w:spacing w:line="360" w:lineRule="auto"/>
        <w:jc w:val="center"/>
        <w:rPr>
          <w:rFonts w:ascii="Times New Roman" w:hAnsi="Times New Roman" w:cs="Times New Roman"/>
          <w:sz w:val="24"/>
          <w:szCs w:val="24"/>
          <w:lang w:val="en-AU"/>
        </w:rPr>
      </w:pPr>
      <w:r>
        <w:drawing>
          <wp:inline distT="0" distB="0" distL="0" distR="0">
            <wp:extent cx="5715000" cy="4290060"/>
            <wp:effectExtent l="0" t="0" r="0" b="0"/>
            <wp:docPr id="1" name="Picture 1" descr="Vietnam premium train group tour | Responsible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Vietnam premium train group tour | Responsible Trav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15000" cy="4290060"/>
                    </a:xfrm>
                    <a:prstGeom prst="rect">
                      <a:avLst/>
                    </a:prstGeom>
                    <a:noFill/>
                    <a:ln>
                      <a:noFill/>
                    </a:ln>
                  </pic:spPr>
                </pic:pic>
              </a:graphicData>
            </a:graphic>
          </wp:inline>
        </w:drawing>
      </w:r>
    </w:p>
    <w:p w14:paraId="4BBC0FE7">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 xml:space="preserve">Source: </w:t>
      </w:r>
      <w:r>
        <w:fldChar w:fldCharType="begin"/>
      </w:r>
      <w:r>
        <w:instrText xml:space="preserve"> HYPERLINK "https://www.responsibletravel.com/holiday/35740/vietnam-premium-train-group-tour" </w:instrText>
      </w:r>
      <w:r>
        <w:fldChar w:fldCharType="separate"/>
      </w:r>
      <w:r>
        <w:rPr>
          <w:rStyle w:val="8"/>
          <w:rFonts w:ascii="Times New Roman" w:hAnsi="Times New Roman" w:cs="Times New Roman"/>
          <w:i/>
          <w:iCs/>
          <w:sz w:val="24"/>
          <w:szCs w:val="24"/>
          <w:lang w:val="en-AU"/>
        </w:rPr>
        <w:t>https://www.responsibletravel.com/holiday/35740/vietnam-premium-train-group-tour</w:t>
      </w:r>
      <w:r>
        <w:rPr>
          <w:rStyle w:val="8"/>
          <w:rFonts w:ascii="Times New Roman" w:hAnsi="Times New Roman" w:cs="Times New Roman"/>
          <w:i/>
          <w:iCs/>
          <w:sz w:val="24"/>
          <w:szCs w:val="24"/>
          <w:lang w:val="en-AU"/>
        </w:rPr>
        <w:fldChar w:fldCharType="end"/>
      </w:r>
      <w:r>
        <w:rPr>
          <w:rFonts w:ascii="Times New Roman" w:hAnsi="Times New Roman" w:cs="Times New Roman"/>
          <w:i/>
          <w:iCs/>
          <w:sz w:val="24"/>
          <w:szCs w:val="24"/>
          <w:lang w:val="en-AU"/>
        </w:rPr>
        <w:t xml:space="preserve"> </w:t>
      </w:r>
    </w:p>
    <w:p w14:paraId="0F0EE736">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Voiceover Script:</w:t>
      </w:r>
    </w:p>
    <w:p w14:paraId="49C8BC50">
      <w:pPr>
        <w:spacing w:line="360" w:lineRule="auto"/>
        <w:jc w:val="both"/>
        <w:rPr>
          <w:rFonts w:ascii="Times New Roman" w:hAnsi="Times New Roman" w:cs="Times New Roman"/>
          <w:i/>
          <w:iCs/>
          <w:sz w:val="24"/>
          <w:szCs w:val="24"/>
          <w:lang w:val="en-AU"/>
        </w:rPr>
      </w:pPr>
      <w:r>
        <w:rPr>
          <w:rFonts w:ascii="Times New Roman" w:hAnsi="Times New Roman" w:cs="Times New Roman"/>
          <w:i/>
          <w:iCs/>
          <w:sz w:val="24"/>
          <w:szCs w:val="24"/>
          <w:lang w:val="en-AU"/>
        </w:rPr>
        <w:t>"Welcome to the Digital Talent Academy, your gateway to a more prosperous career in the tourism field. If you have the desire to lead eco-tours, manage resorts, or welcome travellers to your village, this academy is just the place for you to acquire the skills. We, together, are making progress toward a sustainable future, which we do through one lesson at a time."</w:t>
      </w:r>
    </w:p>
    <w:p w14:paraId="34ED1DA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onboarding video will be in English and with local language translation to facilitate the understanding of the audience (Pillai &amp; Sivathanu, 2020).</w:t>
      </w:r>
    </w:p>
    <w:p w14:paraId="079792A5">
      <w:pPr>
        <w:pStyle w:val="3"/>
        <w:rPr>
          <w:lang w:val="en-AU"/>
        </w:rPr>
      </w:pPr>
      <w:bookmarkStart w:id="11" w:name="_Toc197090836"/>
      <w:r>
        <w:rPr>
          <w:lang w:val="en-AU"/>
        </w:rPr>
        <w:t>4.2 Motivational Content Script</w:t>
      </w:r>
      <w:bookmarkEnd w:id="11"/>
    </w:p>
    <w:p w14:paraId="4DCC3CCB">
      <w:pPr>
        <w:rPr>
          <w:lang w:val="en-AU"/>
        </w:rPr>
      </w:pPr>
    </w:p>
    <w:p w14:paraId="5CE18AE6">
      <w:pPr>
        <w:spacing w:line="360" w:lineRule="auto"/>
        <w:jc w:val="both"/>
        <w:rPr>
          <w:rFonts w:ascii="Times New Roman" w:hAnsi="Times New Roman" w:cs="Times New Roman"/>
          <w:i/>
          <w:iCs/>
          <w:sz w:val="24"/>
          <w:szCs w:val="24"/>
          <w:lang w:val="en-AU"/>
        </w:rPr>
      </w:pPr>
      <w:r>
        <w:rPr>
          <w:rFonts w:ascii="Times New Roman" w:hAnsi="Times New Roman" w:cs="Times New Roman"/>
          <w:b/>
          <w:bCs/>
          <w:i/>
          <w:iCs/>
          <w:sz w:val="24"/>
          <w:szCs w:val="24"/>
          <w:lang w:val="en-AU"/>
        </w:rPr>
        <w:t>Format</w:t>
      </w:r>
      <w:r>
        <w:rPr>
          <w:rFonts w:ascii="Times New Roman" w:hAnsi="Times New Roman" w:cs="Times New Roman"/>
          <w:i/>
          <w:iCs/>
          <w:sz w:val="24"/>
          <w:szCs w:val="24"/>
          <w:lang w:val="en-AU"/>
        </w:rPr>
        <w:t>: Brief testimonials from those alumni who succeeded in their plans.</w:t>
      </w:r>
    </w:p>
    <w:p w14:paraId="539A73EB">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Example Quote:</w:t>
      </w:r>
    </w:p>
    <w:p w14:paraId="675DDA75">
      <w:pPr>
        <w:spacing w:line="360" w:lineRule="auto"/>
        <w:jc w:val="both"/>
        <w:rPr>
          <w:rFonts w:ascii="Times New Roman" w:hAnsi="Times New Roman" w:cs="Times New Roman"/>
          <w:i/>
          <w:iCs/>
          <w:sz w:val="24"/>
          <w:szCs w:val="24"/>
          <w:lang w:val="en-AU"/>
        </w:rPr>
      </w:pPr>
      <w:r>
        <w:rPr>
          <w:rFonts w:ascii="Times New Roman" w:hAnsi="Times New Roman" w:cs="Times New Roman"/>
          <w:i/>
          <w:iCs/>
          <w:sz w:val="24"/>
          <w:szCs w:val="24"/>
          <w:lang w:val="en-AU"/>
        </w:rPr>
        <w:t>“My start was somewhere with zero experience. However, now, I am in charge of both the tour of the national park and the new employee training program. This program not only made an impact on me skill-wise but also built up my confidence and empowered my life."</w:t>
      </w:r>
    </w:p>
    <w:p w14:paraId="16929D6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When available, these vignettes will be sent through the LMS and on social media to raise people's morale and foster the spirit of the community.</w:t>
      </w:r>
    </w:p>
    <w:p w14:paraId="11AD95FF">
      <w:pPr>
        <w:pStyle w:val="3"/>
        <w:rPr>
          <w:lang w:val="en-AU"/>
        </w:rPr>
      </w:pPr>
      <w:bookmarkStart w:id="12" w:name="_Toc197090837"/>
      <w:r>
        <w:rPr>
          <w:lang w:val="en-AU"/>
        </w:rPr>
        <w:t>4.3 Feedback Collection Mechanism</w:t>
      </w:r>
      <w:bookmarkEnd w:id="12"/>
    </w:p>
    <w:p w14:paraId="6E980015">
      <w:pPr>
        <w:rPr>
          <w:lang w:val="en-AU"/>
        </w:rPr>
      </w:pPr>
    </w:p>
    <w:p w14:paraId="4B600AB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Feedback will be gathered using a two-part approach:</w:t>
      </w:r>
    </w:p>
    <w:p w14:paraId="3E88C9DB">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Formative Surveys:</w:t>
      </w:r>
      <w:r>
        <w:rPr>
          <w:rFonts w:ascii="Times New Roman" w:hAnsi="Times New Roman" w:cs="Times New Roman"/>
          <w:sz w:val="24"/>
          <w:szCs w:val="24"/>
          <w:lang w:val="en-AU"/>
        </w:rPr>
        <w:t xml:space="preserve"> After the completion of every section, learners fill in this survey with a Likert scale of 5 scores for agreement and a text box for comments.</w:t>
      </w:r>
    </w:p>
    <w:p w14:paraId="20B49E31">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Summative Evaluations:</w:t>
      </w:r>
      <w:r>
        <w:rPr>
          <w:rFonts w:ascii="Times New Roman" w:hAnsi="Times New Roman" w:cs="Times New Roman"/>
          <w:sz w:val="24"/>
          <w:szCs w:val="24"/>
          <w:lang w:val="en-AU"/>
        </w:rPr>
        <w:t xml:space="preserve"> After learners complete the course, the feedback form lets them evaluate various aspects, such as relevance, user-friendliness of the platform, and the instructor's engagement.</w:t>
      </w:r>
    </w:p>
    <w:p w14:paraId="4C258A2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Very soon, this data will be part of Power BI dashboards where the information will then be available for the regular quarterly program reviews (OECD, 2021).</w:t>
      </w:r>
    </w:p>
    <w:p w14:paraId="5731D787">
      <w:pPr>
        <w:spacing w:line="360" w:lineRule="auto"/>
        <w:jc w:val="both"/>
        <w:rPr>
          <w:rFonts w:ascii="Times New Roman" w:hAnsi="Times New Roman" w:cs="Times New Roman"/>
          <w:sz w:val="24"/>
          <w:szCs w:val="24"/>
          <w:lang w:val="en-AU"/>
        </w:rPr>
      </w:pPr>
    </w:p>
    <w:p w14:paraId="2E263C52">
      <w:pPr>
        <w:pStyle w:val="2"/>
        <w:rPr>
          <w:lang w:val="en-AU"/>
        </w:rPr>
      </w:pPr>
      <w:bookmarkStart w:id="13" w:name="_Toc197090838"/>
      <w:r>
        <w:rPr>
          <w:lang w:val="en-AU"/>
        </w:rPr>
        <w:t>5. Inclusivity and Cross-Cultural Communication</w:t>
      </w:r>
      <w:bookmarkEnd w:id="13"/>
    </w:p>
    <w:p w14:paraId="3F63DA10">
      <w:pPr>
        <w:rPr>
          <w:lang w:val="en-AU"/>
        </w:rPr>
      </w:pPr>
    </w:p>
    <w:p w14:paraId="0BE4ED4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Communication in global tourism can have a far-reaching effect, especially in cultural metro areas. To guarantee inclusivity:</w:t>
      </w:r>
    </w:p>
    <w:p w14:paraId="6870A92B">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Language Customisation:</w:t>
      </w:r>
      <w:r>
        <w:rPr>
          <w:rFonts w:ascii="Times New Roman" w:hAnsi="Times New Roman" w:cs="Times New Roman"/>
          <w:sz w:val="24"/>
          <w:szCs w:val="24"/>
          <w:lang w:val="en-AU"/>
        </w:rPr>
        <w:t xml:space="preserve"> Participants can choose the language they prefer (e.g., English, local dialects) for the whole content.</w:t>
      </w:r>
    </w:p>
    <w:p w14:paraId="4516BCAC">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Visual and Audio Aids:</w:t>
      </w:r>
      <w:r>
        <w:rPr>
          <w:rFonts w:ascii="Times New Roman" w:hAnsi="Times New Roman" w:cs="Times New Roman"/>
          <w:sz w:val="24"/>
          <w:szCs w:val="24"/>
          <w:lang w:val="en-AU"/>
        </w:rPr>
        <w:t xml:space="preserve"> Charts and video materials are utilized to help learners with lower fluency in the language or those with special needs.</w:t>
      </w:r>
    </w:p>
    <w:p w14:paraId="1450FB76">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Storytelling as Pedagogy:</w:t>
      </w:r>
      <w:r>
        <w:rPr>
          <w:rFonts w:ascii="Times New Roman" w:hAnsi="Times New Roman" w:cs="Times New Roman"/>
          <w:sz w:val="24"/>
          <w:szCs w:val="24"/>
          <w:lang w:val="en-AU"/>
        </w:rPr>
        <w:t xml:space="preserve"> Lessons are narrated as part of local legends, historical events, and community heritage so that the content becomes more relatable (Les Roches, 2022).</w:t>
      </w:r>
    </w:p>
    <w:p w14:paraId="01CBA3B4">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Peer-Learning Circles:</w:t>
      </w:r>
      <w:r>
        <w:rPr>
          <w:rFonts w:ascii="Times New Roman" w:hAnsi="Times New Roman" w:cs="Times New Roman"/>
          <w:sz w:val="24"/>
          <w:szCs w:val="24"/>
          <w:lang w:val="en-AU"/>
        </w:rPr>
        <w:t xml:space="preserve"> Students can work together in mixed groups to perform various tasks, which can improve not only their teamwork but also their empathy.</w:t>
      </w:r>
    </w:p>
    <w:p w14:paraId="7C53EEF4">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Bias-Free Communication Training:</w:t>
      </w:r>
      <w:r>
        <w:rPr>
          <w:rFonts w:ascii="Times New Roman" w:hAnsi="Times New Roman" w:cs="Times New Roman"/>
          <w:sz w:val="24"/>
          <w:szCs w:val="24"/>
          <w:lang w:val="en-AU"/>
        </w:rPr>
        <w:t xml:space="preserve"> Courses teach participants not to use any stereotypes and be inclusive when catering to the clients.</w:t>
      </w:r>
    </w:p>
    <w:p w14:paraId="3B02FA2F">
      <w:pPr>
        <w:spacing w:line="360" w:lineRule="auto"/>
        <w:jc w:val="both"/>
        <w:rPr>
          <w:rFonts w:ascii="Times New Roman" w:hAnsi="Times New Roman" w:cs="Times New Roman"/>
          <w:sz w:val="24"/>
          <w:szCs w:val="24"/>
          <w:lang w:val="en-AU"/>
        </w:rPr>
      </w:pPr>
    </w:p>
    <w:p w14:paraId="7C44AB12">
      <w:pPr>
        <w:pStyle w:val="2"/>
        <w:rPr>
          <w:lang w:val="en-AU"/>
        </w:rPr>
      </w:pPr>
      <w:bookmarkStart w:id="14" w:name="_Toc197090839"/>
      <w:r>
        <w:rPr>
          <w:lang w:val="en-AU"/>
        </w:rPr>
        <w:t>6. Monitoring and Evaluation (M&amp;E)</w:t>
      </w:r>
      <w:bookmarkEnd w:id="14"/>
    </w:p>
    <w:p w14:paraId="767B0881">
      <w:pPr>
        <w:rPr>
          <w:lang w:val="en-AU"/>
        </w:rPr>
      </w:pPr>
    </w:p>
    <w:p w14:paraId="7163D51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Ensuring rigorous M&amp;E is at the heart of the Academy’s responsibility. The significant metrics comprise:</w:t>
      </w:r>
    </w:p>
    <w:p w14:paraId="1DF391E1">
      <w:pPr>
        <w:pStyle w:val="13"/>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Enrolment Growth Rate:</w:t>
      </w:r>
      <w:r>
        <w:rPr>
          <w:rFonts w:ascii="Times New Roman" w:hAnsi="Times New Roman" w:cs="Times New Roman"/>
          <w:sz w:val="24"/>
          <w:szCs w:val="24"/>
          <w:lang w:val="en-AU"/>
        </w:rPr>
        <w:t xml:space="preserve"> A 20% annual rise in number is the target.</w:t>
      </w:r>
    </w:p>
    <w:p w14:paraId="24301E36">
      <w:pPr>
        <w:pStyle w:val="13"/>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Completion Rate:</w:t>
      </w:r>
      <w:r>
        <w:rPr>
          <w:rFonts w:ascii="Times New Roman" w:hAnsi="Times New Roman" w:cs="Times New Roman"/>
          <w:sz w:val="24"/>
          <w:szCs w:val="24"/>
          <w:lang w:val="en-AU"/>
        </w:rPr>
        <w:t xml:space="preserve"> A minimum of 80% course completion.</w:t>
      </w:r>
    </w:p>
    <w:p w14:paraId="6503BD4E">
      <w:pPr>
        <w:pStyle w:val="13"/>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Job Placement Rate:</w:t>
      </w:r>
      <w:r>
        <w:rPr>
          <w:rFonts w:ascii="Times New Roman" w:hAnsi="Times New Roman" w:cs="Times New Roman"/>
          <w:sz w:val="24"/>
          <w:szCs w:val="24"/>
          <w:lang w:val="en-AU"/>
        </w:rPr>
        <w:t xml:space="preserve"> 60% of graduates employed in tourism within 6 months.</w:t>
      </w:r>
    </w:p>
    <w:p w14:paraId="5B82424F">
      <w:pPr>
        <w:pStyle w:val="13"/>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Satisfaction Score: Learner satisfaction of at least 4.0 on a 5-point scale.</w:t>
      </w:r>
    </w:p>
    <w:p w14:paraId="2F36BCE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Every quarter, M&amp;E reports will be shared with stakeholders so that content, delivery, and support structures can be revised.</w:t>
      </w:r>
    </w:p>
    <w:p w14:paraId="61F9821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An objective evaluation unit will carry out yearly checks, to find out the strengths and weaknesses, using both interviews and focus groups (qualitative) and exam scores and job outcomes (quantitative) as sources (S4YE, 2021).</w:t>
      </w:r>
    </w:p>
    <w:p w14:paraId="3C01AC70">
      <w:pPr>
        <w:spacing w:line="360" w:lineRule="auto"/>
        <w:jc w:val="both"/>
        <w:rPr>
          <w:rFonts w:ascii="Times New Roman" w:hAnsi="Times New Roman" w:cs="Times New Roman"/>
          <w:sz w:val="24"/>
          <w:szCs w:val="24"/>
          <w:lang w:val="en-AU"/>
        </w:rPr>
      </w:pPr>
    </w:p>
    <w:p w14:paraId="274121FA">
      <w:pPr>
        <w:pStyle w:val="2"/>
        <w:rPr>
          <w:lang w:val="en-AU"/>
        </w:rPr>
      </w:pPr>
      <w:bookmarkStart w:id="15" w:name="_Toc197090840"/>
      <w:r>
        <w:rPr>
          <w:lang w:val="en-AU"/>
        </w:rPr>
        <w:t>7. Sustainability and Stakeholder Engagement</w:t>
      </w:r>
      <w:bookmarkEnd w:id="15"/>
    </w:p>
    <w:p w14:paraId="39B8A57D">
      <w:pPr>
        <w:rPr>
          <w:lang w:val="en-AU"/>
        </w:rPr>
      </w:pPr>
    </w:p>
    <w:p w14:paraId="08C12CC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Economically sustainable continuation of the Academy will be possible if the following are undertaken:</w:t>
      </w:r>
    </w:p>
    <w:p w14:paraId="75DF36D6">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Public–Private Partnerships:</w:t>
      </w:r>
      <w:r>
        <w:rPr>
          <w:rFonts w:ascii="Times New Roman" w:hAnsi="Times New Roman" w:cs="Times New Roman"/>
          <w:sz w:val="24"/>
          <w:szCs w:val="24"/>
          <w:lang w:val="en-AU"/>
        </w:rPr>
        <w:t xml:space="preserve"> Connecting partners from the hospitality industry, tourism boards, and environmental NGOs to finance not only scholarships but also interns and mentors.</w:t>
      </w:r>
    </w:p>
    <w:p w14:paraId="0F47B591">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Revenue Streams:</w:t>
      </w:r>
      <w:r>
        <w:rPr>
          <w:rFonts w:ascii="Times New Roman" w:hAnsi="Times New Roman" w:cs="Times New Roman"/>
          <w:sz w:val="24"/>
          <w:szCs w:val="24"/>
          <w:lang w:val="en-AU"/>
        </w:rPr>
        <w:t xml:space="preserve"> This can charge other professionals a fee for certification programs that they offer, and the profits can be reinvested in the rural outreach program.</w:t>
      </w:r>
    </w:p>
    <w:p w14:paraId="4D0D3F09">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Green Curriculum Integration:</w:t>
      </w:r>
      <w:r>
        <w:rPr>
          <w:rFonts w:ascii="Times New Roman" w:hAnsi="Times New Roman" w:cs="Times New Roman"/>
          <w:sz w:val="24"/>
          <w:szCs w:val="24"/>
          <w:lang w:val="en-AU"/>
        </w:rPr>
        <w:t xml:space="preserve"> for instance, this can teach students the concept of being social, environmentally responsible citizens, such as waste management and measuring their carbon footprint, as explained by Reuters by 2025.</w:t>
      </w:r>
    </w:p>
    <w:p w14:paraId="1038216D">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Government Support:</w:t>
      </w:r>
      <w:r>
        <w:rPr>
          <w:rFonts w:ascii="Times New Roman" w:hAnsi="Times New Roman" w:cs="Times New Roman"/>
          <w:sz w:val="24"/>
          <w:szCs w:val="24"/>
          <w:lang w:val="en-AU"/>
        </w:rPr>
        <w:t xml:space="preserve"> The program will be consistent with the policies of the national tourism board and the department of vocational training for the required institutional support.</w:t>
      </w:r>
    </w:p>
    <w:p w14:paraId="109D0A5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 the other hand, The Academy is also looking for funding, policy alignment, and international exposure from global organizations such as UNDP and the World Tourism Organization (UNWTO, 2024).</w:t>
      </w:r>
    </w:p>
    <w:p w14:paraId="73A2D8C3">
      <w:pPr>
        <w:pStyle w:val="2"/>
        <w:rPr>
          <w:lang w:val="en-AU"/>
        </w:rPr>
      </w:pPr>
      <w:bookmarkStart w:id="16" w:name="_Toc197090841"/>
      <w:r>
        <w:rPr>
          <w:lang w:val="en-AU"/>
        </w:rPr>
        <w:t>8. Conclusion</w:t>
      </w:r>
      <w:bookmarkEnd w:id="16"/>
    </w:p>
    <w:p w14:paraId="7640CB01">
      <w:pPr>
        <w:rPr>
          <w:lang w:val="en-AU"/>
        </w:rPr>
      </w:pPr>
    </w:p>
    <w:p w14:paraId="4962A84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Digital Talent Academy is a game-changing approach that solves the problem of rural unemployment and skills deficit in the sustainable tourism industry at the same time. This initiative is extensively based on the use of mobile technologies according to the needs of the first phase of the solution, which included the development of learning algorithms for adaptive AI tools. Furthermore, people are not only equipped with soft skills but also technically up-skilled and the whole society is economically resilient in a sustainable way thanks to the initiative. The academy's architecture is a vivid example of how the concept of sustainability can be realized and the community can still profit from it being easily accessible to all including everybody's culture and values.</w:t>
      </w:r>
    </w:p>
    <w:p w14:paraId="68DE73F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Utilising interactive e-learning modules, AI-incorporated assessment tools, and career pathing that involves the learner's input, rural young people are encouraged to become the influencers of the national tourism economy through their innovative ideas. The integration of cross-cultural communication skills into the course content will ensure that participants are familiar with cross-cultural working situations. Meanwhile, the use of local stories and content will remain the source of an interesting and attractive show. Furthermore, the monitoring and review system that ensures the program is consistently adjusting itself according to the learners' needs and exhibiting effective communication will be kept.</w:t>
      </w:r>
    </w:p>
    <w:p w14:paraId="3913080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smooth running and the reach of the project can be guaranteed in only one way and that is by having a gradual and step-by-step plan and by getting partnerships from the public, private, and non-profit sectors. To be clear, this also includes the creation of inter-industrial relationships and innovative solutions to other challenges. Furthermore, coordination and control procedures as well as evaluation methods are available to help in the identification of any opportunity for improvement and in reviewing the positivity and the coverage of the action.</w:t>
      </w:r>
    </w:p>
    <w:p w14:paraId="2A2874E0">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Key Recommendations:</w:t>
      </w:r>
    </w:p>
    <w:p w14:paraId="6D1877E9">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Start of the Pilot Launch:</w:t>
      </w:r>
      <w:r>
        <w:rPr>
          <w:rFonts w:ascii="Times New Roman" w:hAnsi="Times New Roman" w:cs="Times New Roman"/>
          <w:sz w:val="24"/>
          <w:szCs w:val="24"/>
          <w:lang w:val="en-AU"/>
        </w:rPr>
        <w:t xml:space="preserve"> Commence the implementation in two rural areas that have different levels of ICT infrastructure to pilot the launch.</w:t>
      </w:r>
    </w:p>
    <w:p w14:paraId="5EBD0ADF">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Stakeholder Workshops:</w:t>
      </w:r>
      <w:r>
        <w:rPr>
          <w:rFonts w:ascii="Times New Roman" w:hAnsi="Times New Roman" w:cs="Times New Roman"/>
          <w:sz w:val="24"/>
          <w:szCs w:val="24"/>
          <w:lang w:val="en-AU"/>
        </w:rPr>
        <w:t xml:space="preserve"> Engage local leaders, teachers, and business representatives in co-creating culturally sensitive and appropriate content.</w:t>
      </w:r>
    </w:p>
    <w:p w14:paraId="1556F624">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Mentorship Network:</w:t>
      </w:r>
      <w:r>
        <w:rPr>
          <w:rFonts w:ascii="Times New Roman" w:hAnsi="Times New Roman" w:cs="Times New Roman"/>
          <w:sz w:val="24"/>
          <w:szCs w:val="24"/>
          <w:lang w:val="en-AU"/>
        </w:rPr>
        <w:t xml:space="preserve"> Create connections with hospitality professionals to assist students in solving more real-life problems.</w:t>
      </w:r>
    </w:p>
    <w:p w14:paraId="442D707C">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Policy Integration:</w:t>
      </w:r>
      <w:r>
        <w:rPr>
          <w:rFonts w:ascii="Times New Roman" w:hAnsi="Times New Roman" w:cs="Times New Roman"/>
          <w:sz w:val="24"/>
          <w:szCs w:val="24"/>
          <w:lang w:val="en-AU"/>
        </w:rPr>
        <w:t xml:space="preserve"> Synchronize the program with the national vocational training standards for credibility and approval.</w:t>
      </w:r>
    </w:p>
    <w:p w14:paraId="1E4121BC">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Access Expansion:</w:t>
      </w:r>
      <w:r>
        <w:rPr>
          <w:rFonts w:ascii="Times New Roman" w:hAnsi="Times New Roman" w:cs="Times New Roman"/>
          <w:sz w:val="24"/>
          <w:szCs w:val="24"/>
          <w:lang w:val="en-AU"/>
        </w:rPr>
        <w:t xml:space="preserve"> Offer micro-scholarships and digital subsidies to ensure inclusion of the unprivileged youth in the program.</w:t>
      </w:r>
    </w:p>
    <w:p w14:paraId="3D2D21F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Finally, the Digital Talent Academy is representing a new era of creative, expandable, and inclusive tourism education that not only fills in the present gaps but also is designed for rural youngsters to be future-ready in a worldwide connected industry.</w:t>
      </w:r>
    </w:p>
    <w:p w14:paraId="55211838">
      <w:pPr>
        <w:spacing w:line="360" w:lineRule="auto"/>
        <w:jc w:val="both"/>
        <w:rPr>
          <w:rFonts w:ascii="Times New Roman" w:hAnsi="Times New Roman" w:cs="Times New Roman"/>
          <w:sz w:val="24"/>
          <w:szCs w:val="24"/>
          <w:lang w:val="en-AU"/>
        </w:rPr>
      </w:pPr>
    </w:p>
    <w:p w14:paraId="48D5622D">
      <w:pPr>
        <w:spacing w:line="360" w:lineRule="auto"/>
        <w:jc w:val="both"/>
        <w:rPr>
          <w:rFonts w:ascii="Times New Roman" w:hAnsi="Times New Roman" w:cs="Times New Roman"/>
          <w:sz w:val="24"/>
          <w:szCs w:val="24"/>
          <w:lang w:val="en-AU"/>
        </w:rPr>
      </w:pPr>
    </w:p>
    <w:p w14:paraId="2E39490C">
      <w:pPr>
        <w:spacing w:line="360" w:lineRule="auto"/>
        <w:jc w:val="both"/>
        <w:rPr>
          <w:rFonts w:ascii="Times New Roman" w:hAnsi="Times New Roman" w:cs="Times New Roman"/>
          <w:sz w:val="24"/>
          <w:szCs w:val="24"/>
          <w:lang w:val="en-AU"/>
        </w:rPr>
      </w:pPr>
    </w:p>
    <w:p w14:paraId="24440ABE">
      <w:pPr>
        <w:spacing w:line="360" w:lineRule="auto"/>
        <w:jc w:val="both"/>
        <w:rPr>
          <w:rFonts w:ascii="Times New Roman" w:hAnsi="Times New Roman" w:cs="Times New Roman"/>
          <w:sz w:val="24"/>
          <w:szCs w:val="24"/>
          <w:lang w:val="en-AU"/>
        </w:rPr>
      </w:pPr>
    </w:p>
    <w:p w14:paraId="431137A7">
      <w:pPr>
        <w:spacing w:line="360" w:lineRule="auto"/>
        <w:jc w:val="both"/>
        <w:rPr>
          <w:rFonts w:ascii="Times New Roman" w:hAnsi="Times New Roman" w:cs="Times New Roman"/>
          <w:sz w:val="24"/>
          <w:szCs w:val="24"/>
          <w:lang w:val="en-AU"/>
        </w:rPr>
      </w:pPr>
    </w:p>
    <w:p w14:paraId="7C2B33F3">
      <w:pPr>
        <w:spacing w:line="360" w:lineRule="auto"/>
        <w:jc w:val="both"/>
        <w:rPr>
          <w:rFonts w:ascii="Times New Roman" w:hAnsi="Times New Roman" w:cs="Times New Roman"/>
          <w:sz w:val="24"/>
          <w:szCs w:val="24"/>
          <w:lang w:val="en-AU"/>
        </w:rPr>
      </w:pPr>
    </w:p>
    <w:p w14:paraId="4132CF80">
      <w:pPr>
        <w:spacing w:line="360" w:lineRule="auto"/>
        <w:jc w:val="both"/>
        <w:rPr>
          <w:rFonts w:ascii="Times New Roman" w:hAnsi="Times New Roman" w:cs="Times New Roman"/>
          <w:sz w:val="24"/>
          <w:szCs w:val="24"/>
          <w:lang w:val="en-AU"/>
        </w:rPr>
      </w:pPr>
    </w:p>
    <w:p w14:paraId="5B0071A6">
      <w:pPr>
        <w:spacing w:line="360" w:lineRule="auto"/>
        <w:jc w:val="both"/>
        <w:rPr>
          <w:rFonts w:ascii="Times New Roman" w:hAnsi="Times New Roman" w:cs="Times New Roman"/>
          <w:sz w:val="24"/>
          <w:szCs w:val="24"/>
          <w:lang w:val="en-AU"/>
        </w:rPr>
      </w:pPr>
    </w:p>
    <w:p w14:paraId="54A6E2E1">
      <w:pPr>
        <w:spacing w:line="360" w:lineRule="auto"/>
        <w:jc w:val="both"/>
        <w:rPr>
          <w:rFonts w:ascii="Times New Roman" w:hAnsi="Times New Roman" w:cs="Times New Roman"/>
          <w:sz w:val="24"/>
          <w:szCs w:val="24"/>
          <w:lang w:val="en-AU"/>
        </w:rPr>
      </w:pPr>
    </w:p>
    <w:p w14:paraId="005AB4B0">
      <w:pPr>
        <w:spacing w:line="360" w:lineRule="auto"/>
        <w:jc w:val="both"/>
        <w:rPr>
          <w:rFonts w:ascii="Times New Roman" w:hAnsi="Times New Roman" w:cs="Times New Roman"/>
          <w:sz w:val="24"/>
          <w:szCs w:val="24"/>
          <w:lang w:val="en-AU"/>
        </w:rPr>
      </w:pPr>
    </w:p>
    <w:p w14:paraId="4F476EAA">
      <w:pPr>
        <w:spacing w:line="360" w:lineRule="auto"/>
        <w:jc w:val="both"/>
        <w:rPr>
          <w:rFonts w:ascii="Times New Roman" w:hAnsi="Times New Roman" w:cs="Times New Roman"/>
          <w:sz w:val="24"/>
          <w:szCs w:val="24"/>
          <w:lang w:val="en-AU"/>
        </w:rPr>
      </w:pPr>
    </w:p>
    <w:p w14:paraId="28C7A3B3">
      <w:pPr>
        <w:spacing w:line="360" w:lineRule="auto"/>
        <w:jc w:val="both"/>
        <w:rPr>
          <w:rFonts w:ascii="Times New Roman" w:hAnsi="Times New Roman" w:cs="Times New Roman"/>
          <w:sz w:val="24"/>
          <w:szCs w:val="24"/>
          <w:lang w:val="en-AU"/>
        </w:rPr>
      </w:pPr>
    </w:p>
    <w:p w14:paraId="0EEABCDB">
      <w:pPr>
        <w:spacing w:line="360" w:lineRule="auto"/>
        <w:jc w:val="both"/>
        <w:rPr>
          <w:rFonts w:ascii="Times New Roman" w:hAnsi="Times New Roman" w:cs="Times New Roman"/>
          <w:sz w:val="24"/>
          <w:szCs w:val="24"/>
          <w:lang w:val="en-AU"/>
        </w:rPr>
      </w:pPr>
    </w:p>
    <w:p w14:paraId="28CBD8D1">
      <w:pPr>
        <w:spacing w:line="360" w:lineRule="auto"/>
        <w:jc w:val="both"/>
        <w:rPr>
          <w:rFonts w:ascii="Times New Roman" w:hAnsi="Times New Roman" w:cs="Times New Roman"/>
          <w:sz w:val="24"/>
          <w:szCs w:val="24"/>
          <w:lang w:val="en-AU"/>
        </w:rPr>
      </w:pPr>
    </w:p>
    <w:p w14:paraId="51CC652F">
      <w:pPr>
        <w:pStyle w:val="2"/>
        <w:rPr>
          <w:rFonts w:eastAsia="Times New Roman"/>
          <w:lang w:val="en-IN" w:eastAsia="en-IN"/>
        </w:rPr>
      </w:pPr>
      <w:bookmarkStart w:id="17" w:name="_Toc197090842"/>
      <w:r>
        <w:rPr>
          <w:rFonts w:eastAsia="Times New Roman"/>
          <w:lang w:val="en-IN" w:eastAsia="en-IN"/>
        </w:rPr>
        <w:t>References</w:t>
      </w:r>
      <w:bookmarkEnd w:id="17"/>
    </w:p>
    <w:p w14:paraId="295293AB">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Ahmad, S., Umirzakova, S., Mujtaba, G., Amin, M. S., &amp; Whangbo, T. (2023). Education 5.0: Requirements, enabling technologies, and future directions. In </w:t>
      </w:r>
      <w:r>
        <w:rPr>
          <w:rFonts w:ascii="Georgia" w:hAnsi="Georgia" w:eastAsia="Times New Roman" w:cs="Helvetica"/>
          <w:i/>
          <w:iCs/>
          <w:color w:val="000000"/>
          <w:sz w:val="24"/>
          <w:szCs w:val="24"/>
          <w:lang w:val="en-IN" w:eastAsia="en-IN"/>
        </w:rPr>
        <w:t>arXiv [cs.CY]</w:t>
      </w:r>
      <w:r>
        <w:rPr>
          <w:rFonts w:ascii="Georgia" w:hAnsi="Georgia" w:eastAsia="Times New Roman" w:cs="Helvetica"/>
          <w:color w:val="000000"/>
          <w:sz w:val="24"/>
          <w:szCs w:val="24"/>
          <w:lang w:val="en-IN" w:eastAsia="en-IN"/>
        </w:rPr>
        <w:t>. http://arxiv.org/abs/2307.15846</w:t>
      </w:r>
    </w:p>
    <w:p w14:paraId="5FF7C78F">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Duarte, L., Torres, J., Ribeiro, V., &amp; Moreira, I. (2020). Artificial Intelligence Systems applied to tourism: A Survey. In </w:t>
      </w:r>
      <w:r>
        <w:rPr>
          <w:rFonts w:ascii="Georgia" w:hAnsi="Georgia" w:eastAsia="Times New Roman" w:cs="Helvetica"/>
          <w:i/>
          <w:iCs/>
          <w:color w:val="000000"/>
          <w:sz w:val="24"/>
          <w:szCs w:val="24"/>
          <w:lang w:val="en-IN" w:eastAsia="en-IN"/>
        </w:rPr>
        <w:t>arXiv [cs.AI]</w:t>
      </w:r>
      <w:r>
        <w:rPr>
          <w:rFonts w:ascii="Georgia" w:hAnsi="Georgia" w:eastAsia="Times New Roman" w:cs="Helvetica"/>
          <w:color w:val="000000"/>
          <w:sz w:val="24"/>
          <w:szCs w:val="24"/>
          <w:lang w:val="en-IN" w:eastAsia="en-IN"/>
        </w:rPr>
        <w:t>. http://arxiv.org/abs/2010.14654</w:t>
      </w:r>
    </w:p>
    <w:p w14:paraId="3FAF9AE1">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El Archi, Y., Benbba, B., Kabil, M., &amp; Dávid, L. D. (2023). Digital technologies for sustainable tourism destinations: State of the art and research agenda. </w:t>
      </w:r>
      <w:r>
        <w:rPr>
          <w:rFonts w:ascii="Georgia" w:hAnsi="Georgia" w:eastAsia="Times New Roman" w:cs="Helvetica"/>
          <w:i/>
          <w:iCs/>
          <w:color w:val="000000"/>
          <w:sz w:val="24"/>
          <w:szCs w:val="24"/>
          <w:lang w:val="en-IN" w:eastAsia="en-IN"/>
        </w:rPr>
        <w:t>Administrative Sciences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13</w:t>
      </w:r>
      <w:r>
        <w:rPr>
          <w:rFonts w:ascii="Georgia" w:hAnsi="Georgia" w:eastAsia="Times New Roman" w:cs="Helvetica"/>
          <w:color w:val="000000"/>
          <w:sz w:val="24"/>
          <w:szCs w:val="24"/>
          <w:lang w:val="en-IN" w:eastAsia="en-IN"/>
        </w:rPr>
        <w:t>(8), 184. https://doi.org/10.3390/admsci13080184</w:t>
      </w:r>
    </w:p>
    <w:p w14:paraId="4ED5931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Neophytou, R., Liasidou, S., Pipyros, K., &amp; Christofi, A. (2025). Artificial intelligence driven adaptive learning methods in sustainable tourism education. </w:t>
      </w:r>
      <w:r>
        <w:rPr>
          <w:rFonts w:ascii="Georgia" w:hAnsi="Georgia" w:eastAsia="Times New Roman" w:cs="Helvetica"/>
          <w:i/>
          <w:iCs/>
          <w:color w:val="000000"/>
          <w:sz w:val="24"/>
          <w:szCs w:val="24"/>
          <w:lang w:val="en-IN" w:eastAsia="en-IN"/>
        </w:rPr>
        <w:t>Worldwide Hospitality and Tourism Themes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17</w:t>
      </w:r>
      <w:r>
        <w:rPr>
          <w:rFonts w:ascii="Georgia" w:hAnsi="Georgia" w:eastAsia="Times New Roman" w:cs="Helvetica"/>
          <w:color w:val="000000"/>
          <w:sz w:val="24"/>
          <w:szCs w:val="24"/>
          <w:lang w:val="en-IN" w:eastAsia="en-IN"/>
        </w:rPr>
        <w:t>(1), 120–131. https://doi.org/10.1108/whatt-12-2024-0308</w:t>
      </w:r>
    </w:p>
    <w:p w14:paraId="72789BAA">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OECD. (2021). </w:t>
      </w:r>
      <w:r>
        <w:rPr>
          <w:rFonts w:ascii="Georgia" w:hAnsi="Georgia" w:eastAsia="Times New Roman" w:cs="Helvetica"/>
          <w:i/>
          <w:iCs/>
          <w:color w:val="000000"/>
          <w:sz w:val="24"/>
          <w:szCs w:val="24"/>
          <w:lang w:val="en-IN" w:eastAsia="en-IN"/>
        </w:rPr>
        <w:t>Preparing the tourism workforce for the digital future (OECD Tourism Papers No. 2021/02). OECD Publishing</w:t>
      </w:r>
      <w:r>
        <w:rPr>
          <w:rFonts w:ascii="Georgia" w:hAnsi="Georgia" w:eastAsia="Times New Roman" w:cs="Helvetica"/>
          <w:color w:val="000000"/>
          <w:sz w:val="24"/>
          <w:szCs w:val="24"/>
          <w:lang w:val="en-IN" w:eastAsia="en-IN"/>
        </w:rPr>
        <w:t>. Organisation for Economic Co-Operation and Development (OECD). https://doi.org/10.1787/9258d999-en</w:t>
      </w:r>
    </w:p>
    <w:p w14:paraId="17F8BF72">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Pillai, R., &amp; Sivathanu, B. (2020). Adoption of AI-based chatbots for hospitality and tourism. </w:t>
      </w:r>
      <w:r>
        <w:rPr>
          <w:rFonts w:ascii="Georgia" w:hAnsi="Georgia" w:eastAsia="Times New Roman" w:cs="Helvetica"/>
          <w:i/>
          <w:iCs/>
          <w:color w:val="000000"/>
          <w:sz w:val="24"/>
          <w:szCs w:val="24"/>
          <w:lang w:val="en-IN" w:eastAsia="en-IN"/>
        </w:rPr>
        <w:t>International Journal of Contemporary Hospitality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32</w:t>
      </w:r>
      <w:r>
        <w:rPr>
          <w:rFonts w:ascii="Georgia" w:hAnsi="Georgia" w:eastAsia="Times New Roman" w:cs="Helvetica"/>
          <w:color w:val="000000"/>
          <w:sz w:val="24"/>
          <w:szCs w:val="24"/>
          <w:lang w:val="en-IN" w:eastAsia="en-IN"/>
        </w:rPr>
        <w:t>(10), 3199–3226. https://doi.org/10.1108/ijchm-04-2020-0259</w:t>
      </w:r>
    </w:p>
    <w:p w14:paraId="3CD54777">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S4YE. (2021). </w:t>
      </w:r>
      <w:r>
        <w:rPr>
          <w:rFonts w:ascii="Georgia" w:hAnsi="Georgia" w:eastAsia="Times New Roman" w:cs="Helvetica"/>
          <w:i/>
          <w:iCs/>
          <w:color w:val="000000"/>
          <w:sz w:val="24"/>
          <w:szCs w:val="24"/>
          <w:lang w:val="en-IN" w:eastAsia="en-IN"/>
        </w:rPr>
        <w:t>Online Learning Models for Low Bandwidth Areas</w:t>
      </w:r>
      <w:r>
        <w:rPr>
          <w:rFonts w:ascii="Georgia" w:hAnsi="Georgia" w:eastAsia="Times New Roman" w:cs="Helvetica"/>
          <w:color w:val="000000"/>
          <w:sz w:val="24"/>
          <w:szCs w:val="24"/>
          <w:lang w:val="en-IN" w:eastAsia="en-IN"/>
        </w:rPr>
        <w:t>. https://s4ye.org/</w:t>
      </w:r>
    </w:p>
    <w:p w14:paraId="5D236BE8">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UNWTO. (2024). </w:t>
      </w:r>
      <w:r>
        <w:rPr>
          <w:rFonts w:ascii="Georgia" w:hAnsi="Georgia" w:eastAsia="Times New Roman" w:cs="Helvetica"/>
          <w:i/>
          <w:iCs/>
          <w:color w:val="000000"/>
          <w:sz w:val="24"/>
          <w:szCs w:val="24"/>
          <w:lang w:val="en-IN" w:eastAsia="en-IN"/>
        </w:rPr>
        <w:t>Tourism education guidelines: Digital learning in tourism education—Modernizing and aligning with industry needs. UNWTO</w:t>
      </w:r>
      <w:r>
        <w:rPr>
          <w:rFonts w:ascii="Georgia" w:hAnsi="Georgia" w:eastAsia="Times New Roman" w:cs="Helvetica"/>
          <w:color w:val="000000"/>
          <w:sz w:val="24"/>
          <w:szCs w:val="24"/>
          <w:lang w:val="en-IN" w:eastAsia="en-IN"/>
        </w:rPr>
        <w:t>. https://transition-pathways.europa.eu/knowledge-documents/digital-learning-tourism-education-modernizing-and-aligning-industry-needs</w:t>
      </w:r>
    </w:p>
    <w:p w14:paraId="30C543CC">
      <w:pPr>
        <w:spacing w:line="360" w:lineRule="auto"/>
        <w:jc w:val="both"/>
        <w:rPr>
          <w:rFonts w:ascii="Times New Roman" w:hAnsi="Times New Roman" w:cs="Times New Roman"/>
          <w:sz w:val="24"/>
          <w:szCs w:val="24"/>
          <w:lang w:val="en-AU"/>
        </w:rPr>
      </w:pPr>
    </w:p>
    <w:p w14:paraId="5F607AAD"/>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Helvetica">
    <w:panose1 w:val="00000000000000000000"/>
    <w:charset w:val="00"/>
    <w:family w:val="swiss"/>
    <w:pitch w:val="default"/>
    <w:sig w:usb0="E00002FF" w:usb1="5000785B" w:usb2="00000000" w:usb3="00000000" w:csb0="2000019F" w:csb1="4F01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8121814"/>
      <w:docPartObj>
        <w:docPartGallery w:val="AutoText"/>
      </w:docPartObj>
    </w:sdtPr>
    <w:sdtEndPr>
      <w:rPr>
        <w:color w:val="808080" w:themeColor="background1" w:themeShade="80"/>
        <w:spacing w:val="60"/>
      </w:rPr>
    </w:sdtEndPr>
    <w:sdtContent>
      <w:p w14:paraId="22EB095A">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5EE7243A">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9A309F"/>
    <w:multiLevelType w:val="multilevel"/>
    <w:tmpl w:val="139A309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D696EFF"/>
    <w:multiLevelType w:val="multilevel"/>
    <w:tmpl w:val="1D696EF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4535931"/>
    <w:multiLevelType w:val="multilevel"/>
    <w:tmpl w:val="4453593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9FD3398"/>
    <w:multiLevelType w:val="multilevel"/>
    <w:tmpl w:val="49FD33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B397BA5"/>
    <w:multiLevelType w:val="multilevel"/>
    <w:tmpl w:val="4B397BA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8476207"/>
    <w:multiLevelType w:val="multilevel"/>
    <w:tmpl w:val="5847620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D927F93"/>
    <w:multiLevelType w:val="multilevel"/>
    <w:tmpl w:val="5D927F9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5DF710C7"/>
    <w:multiLevelType w:val="multilevel"/>
    <w:tmpl w:val="5DF710C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4B057FF"/>
    <w:multiLevelType w:val="multilevel"/>
    <w:tmpl w:val="74B057F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92B34D9"/>
    <w:multiLevelType w:val="multilevel"/>
    <w:tmpl w:val="792B34D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BB065E4"/>
    <w:multiLevelType w:val="multilevel"/>
    <w:tmpl w:val="7BB065E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4"/>
  </w:num>
  <w:num w:numId="4">
    <w:abstractNumId w:val="7"/>
  </w:num>
  <w:num w:numId="5">
    <w:abstractNumId w:val="3"/>
  </w:num>
  <w:num w:numId="6">
    <w:abstractNumId w:val="9"/>
  </w:num>
  <w:num w:numId="7">
    <w:abstractNumId w:val="5"/>
  </w:num>
  <w:num w:numId="8">
    <w:abstractNumId w:val="8"/>
  </w:num>
  <w:num w:numId="9">
    <w:abstractNumId w:val="1"/>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2D9"/>
    <w:rsid w:val="00220328"/>
    <w:rsid w:val="003E5AC1"/>
    <w:rsid w:val="00607B0B"/>
    <w:rsid w:val="00841A0D"/>
    <w:rsid w:val="00874F13"/>
    <w:rsid w:val="00A01D88"/>
    <w:rsid w:val="00B60553"/>
    <w:rsid w:val="00BF12D9"/>
    <w:rsid w:val="00BF3BAB"/>
    <w:rsid w:val="00C47D34"/>
    <w:rsid w:val="00DD1BFA"/>
    <w:rsid w:val="35FF173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4"/>
    <w:unhideWhenUsed/>
    <w:qFormat/>
    <w:uiPriority w:val="9"/>
    <w:pPr>
      <w:keepNext/>
      <w:keepLines/>
      <w:spacing w:before="40" w:after="0"/>
      <w:outlineLvl w:val="1"/>
    </w:pPr>
    <w:rPr>
      <w:rFonts w:ascii="Times New Roman" w:hAnsi="Times New Roman" w:eastAsiaTheme="majorEastAsia" w:cstheme="majorBidi"/>
      <w:b/>
      <w:i/>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8"/>
    <w:unhideWhenUsed/>
    <w:uiPriority w:val="99"/>
    <w:pPr>
      <w:tabs>
        <w:tab w:val="center" w:pos="4513"/>
        <w:tab w:val="right" w:pos="9026"/>
      </w:tabs>
      <w:spacing w:after="0" w:line="240" w:lineRule="auto"/>
    </w:pPr>
  </w:style>
  <w:style w:type="paragraph" w:styleId="7">
    <w:name w:val="header"/>
    <w:basedOn w:val="1"/>
    <w:link w:val="17"/>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ing 1 Char"/>
    <w:basedOn w:val="4"/>
    <w:link w:val="2"/>
    <w:uiPriority w:val="9"/>
    <w:rPr>
      <w:rFonts w:ascii="Times New Roman" w:hAnsi="Times New Roman" w:eastAsiaTheme="majorEastAsia" w:cstheme="majorBidi"/>
      <w:b/>
      <w:sz w:val="28"/>
      <w:szCs w:val="32"/>
      <w:lang w:val="en-US"/>
    </w:rPr>
  </w:style>
  <w:style w:type="paragraph" w:styleId="13">
    <w:name w:val="List Paragraph"/>
    <w:basedOn w:val="1"/>
    <w:qFormat/>
    <w:uiPriority w:val="34"/>
    <w:pPr>
      <w:ind w:left="720"/>
      <w:contextualSpacing/>
    </w:pPr>
  </w:style>
  <w:style w:type="character" w:customStyle="1" w:styleId="14">
    <w:name w:val="Heading 2 Char"/>
    <w:basedOn w:val="4"/>
    <w:link w:val="3"/>
    <w:uiPriority w:val="9"/>
    <w:rPr>
      <w:rFonts w:ascii="Times New Roman" w:hAnsi="Times New Roman" w:eastAsiaTheme="majorEastAsia" w:cstheme="majorBidi"/>
      <w:b/>
      <w:i/>
      <w:sz w:val="26"/>
      <w:szCs w:val="26"/>
      <w:lang w:val="en-US"/>
    </w:rPr>
  </w:style>
  <w:style w:type="character" w:customStyle="1" w:styleId="15">
    <w:name w:val="Unresolved Mention"/>
    <w:basedOn w:val="4"/>
    <w:semiHidden/>
    <w:unhideWhenUsed/>
    <w:uiPriority w:val="99"/>
    <w:rPr>
      <w:color w:val="605E5C"/>
      <w:shd w:val="clear" w:color="auto" w:fill="E1DFDD"/>
    </w:rPr>
  </w:style>
  <w:style w:type="paragraph" w:customStyle="1" w:styleId="16">
    <w:name w:val="TOC Heading"/>
    <w:basedOn w:val="2"/>
    <w:next w:val="1"/>
    <w:unhideWhenUsed/>
    <w:qFormat/>
    <w:uiPriority w:val="39"/>
    <w:pPr>
      <w:outlineLvl w:val="9"/>
    </w:pPr>
    <w:rPr>
      <w:rFonts w:asciiTheme="majorHAnsi" w:hAnsiTheme="majorHAnsi"/>
      <w:b w:val="0"/>
      <w:color w:val="2F5597" w:themeColor="accent1" w:themeShade="BF"/>
      <w:sz w:val="32"/>
    </w:rPr>
  </w:style>
  <w:style w:type="character" w:customStyle="1" w:styleId="17">
    <w:name w:val="Header Char"/>
    <w:basedOn w:val="4"/>
    <w:link w:val="7"/>
    <w:uiPriority w:val="99"/>
    <w:rPr>
      <w:lang w:val="en-US"/>
    </w:rPr>
  </w:style>
  <w:style w:type="character" w:customStyle="1" w:styleId="18">
    <w:name w:val="Footer Char"/>
    <w:basedOn w:val="4"/>
    <w:link w:val="6"/>
    <w:uiPriority w:val="99"/>
    <w:rPr>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IEEE" Version="2006" SelectedStyle="\IEEE2006OfficeOnline.xsl"/>
</file>

<file path=customXml/itemProps1.xml><?xml version="1.0" encoding="utf-8"?>
<ds:datastoreItem xmlns:ds="http://schemas.openxmlformats.org/officeDocument/2006/customXml" ds:itemID="{5933BF06-6AC1-4407-84A1-ECD3ECE553D7}">
  <ds:schemaRefs/>
</ds:datastoreItem>
</file>

<file path=docProps/app.xml><?xml version="1.0" encoding="utf-8"?>
<Properties xmlns="http://schemas.openxmlformats.org/officeDocument/2006/extended-properties" xmlns:vt="http://schemas.openxmlformats.org/officeDocument/2006/docPropsVTypes">
  <Template>Normal</Template>
  <Pages>13</Pages>
  <Words>2691</Words>
  <Characters>15343</Characters>
  <Lines>127</Lines>
  <Paragraphs>35</Paragraphs>
  <TotalTime>1</TotalTime>
  <ScaleCrop>false</ScaleCrop>
  <LinksUpToDate>false</LinksUpToDate>
  <CharactersWithSpaces>17999</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2025-05-02T10:37:00Z</dcterms:created>
  <dc:creator>KumarAjay</dc:creator>
  <cp:lastModifiedBy>KumarAjay</cp:lastModifiedBy>
  <dcterms:modified xsi:type="dcterms:W3CDTF">2025-05-05T23:23:28Z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F7F49E6DBD1BD8CB502C196850F7883D_42</vt:lpwstr>
  </property>
</Properties>
</file>