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6AC20FC0"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b/>
          <w:bCs/>
          <w:lang w:val="en-GB"/>
        </w:rPr>
        <w:lastRenderedPageBreak/>
        <w:t>Heritage Management Plan Analysis: The Taj Mahal Conservation and Management Plan (India)</w:t>
      </w:r>
    </w:p>
    <w:p w14:paraId="31E31DD4"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The Taj Mahal, a UNESCO World Heritage Site, is one of the most iconic cultural heritage monuments in the world. Managed primarily by the Archaeological Survey of India (ASI), its conservation and management plan aims to preserve its architectural integrity, historical significance, and environmental context while accommodating large-scale tourism. This essay critically analyses three key components of the plan: the Vision Statement, Objectives, and Value Statement, evaluating their effectiveness and limitations within contemporary heritage management discourse.</w:t>
      </w:r>
    </w:p>
    <w:p w14:paraId="70FC2920" w14:textId="09720B26" w:rsidR="000E2BEF" w:rsidRPr="000E2BEF" w:rsidRDefault="000E2BEF" w:rsidP="000E2BEF">
      <w:pPr>
        <w:spacing w:line="360" w:lineRule="auto"/>
        <w:rPr>
          <w:rFonts w:ascii="Times New Roman" w:hAnsi="Times New Roman" w:cs="Times New Roman"/>
          <w:lang w:val="en-GB"/>
        </w:rPr>
      </w:pPr>
    </w:p>
    <w:p w14:paraId="14C2AC09" w14:textId="77777777" w:rsidR="000E2BEF" w:rsidRPr="000E2BEF" w:rsidRDefault="000E2BEF" w:rsidP="000E2BEF">
      <w:pPr>
        <w:spacing w:line="360" w:lineRule="auto"/>
        <w:rPr>
          <w:rFonts w:ascii="Times New Roman" w:hAnsi="Times New Roman" w:cs="Times New Roman"/>
          <w:b/>
          <w:bCs/>
          <w:lang w:val="en-GB"/>
        </w:rPr>
      </w:pPr>
      <w:r w:rsidRPr="000E2BEF">
        <w:rPr>
          <w:rFonts w:ascii="Times New Roman" w:hAnsi="Times New Roman" w:cs="Times New Roman"/>
          <w:b/>
          <w:bCs/>
          <w:lang w:val="en-GB"/>
        </w:rPr>
        <w:t>Vision Statement</w:t>
      </w:r>
    </w:p>
    <w:p w14:paraId="0B4E8F0B"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 xml:space="preserve">The vision of the Taj Mahal’s management plan </w:t>
      </w:r>
      <w:proofErr w:type="spellStart"/>
      <w:r w:rsidRPr="000E2BEF">
        <w:rPr>
          <w:rFonts w:ascii="Times New Roman" w:hAnsi="Times New Roman" w:cs="Times New Roman"/>
          <w:lang w:val="en-GB"/>
        </w:rPr>
        <w:t>centers</w:t>
      </w:r>
      <w:proofErr w:type="spellEnd"/>
      <w:r w:rsidRPr="000E2BEF">
        <w:rPr>
          <w:rFonts w:ascii="Times New Roman" w:hAnsi="Times New Roman" w:cs="Times New Roman"/>
          <w:lang w:val="en-GB"/>
        </w:rPr>
        <w:t xml:space="preserve"> on preserving the monument as a symbol of India’s cultural heritage and ensuring its protection for future generations. It emphasizes maintaining structural integrity, environmental sustainability, and enhancing visitor experience without compromising authenticity.</w:t>
      </w:r>
    </w:p>
    <w:p w14:paraId="5FD24E32" w14:textId="3DCD563C"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 xml:space="preserve">A key strength of this vision is its strong conservation focus. Given the Taj Mahal’s vulnerability to environmental degradation—particularly air pollution and river ecosystem changes—the emphasis on preservation is essential. The inclusion of environmental sustainability reflects an understanding of external threats, such as industrial emissions and declining water levels in the Yamuna River, which have been shown to affect the monument’s marble </w:t>
      </w:r>
      <w:proofErr w:type="gramStart"/>
      <w:r w:rsidRPr="000E2BEF">
        <w:rPr>
          <w:rFonts w:ascii="Times New Roman" w:hAnsi="Times New Roman" w:cs="Times New Roman"/>
          <w:lang w:val="en-GB"/>
        </w:rPr>
        <w:t xml:space="preserve">structure </w:t>
      </w:r>
      <w:r>
        <w:rPr>
          <w:rFonts w:ascii="Times New Roman" w:hAnsi="Times New Roman" w:cs="Times New Roman"/>
          <w:lang w:val="en-GB"/>
        </w:rPr>
        <w:t>.</w:t>
      </w:r>
      <w:proofErr w:type="gramEnd"/>
    </w:p>
    <w:p w14:paraId="220EACA8"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However, the vision can be critiqued for being somewhat conservation-centric at the expense of broader social engagement. While it acknowledges visitor experience, it does not sufficiently emphasize community involvement or participatory governance. Modern heritage management increasingly recognizes the importance of including local stakeholders in decision-making processes (Waterton &amp; Watson, 2015). The absence of a strong community-oriented perspective may limit the inclusivity and long-term sustainability of the plan.</w:t>
      </w:r>
    </w:p>
    <w:p w14:paraId="2802705D"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Additionally, the vision does not explicitly address climate change, despite growing evidence that climate-related factors such as temperature fluctuations and humidity can impact stone conservation. Integrating climate resilience strategies would strengthen the vision’s relevance in a rapidly changing environmental context.</w:t>
      </w:r>
    </w:p>
    <w:p w14:paraId="009D76A2" w14:textId="2D5987F8" w:rsidR="000E2BEF" w:rsidRPr="000E2BEF" w:rsidRDefault="000E2BEF" w:rsidP="000E2BEF">
      <w:pPr>
        <w:spacing w:line="360" w:lineRule="auto"/>
        <w:rPr>
          <w:rFonts w:ascii="Times New Roman" w:hAnsi="Times New Roman" w:cs="Times New Roman"/>
          <w:lang w:val="en-GB"/>
        </w:rPr>
      </w:pPr>
    </w:p>
    <w:p w14:paraId="33DCC5F9" w14:textId="77777777" w:rsidR="000E2BEF" w:rsidRPr="000E2BEF" w:rsidRDefault="000E2BEF" w:rsidP="000E2BEF">
      <w:pPr>
        <w:spacing w:line="360" w:lineRule="auto"/>
        <w:rPr>
          <w:rFonts w:ascii="Times New Roman" w:hAnsi="Times New Roman" w:cs="Times New Roman"/>
          <w:b/>
          <w:bCs/>
          <w:lang w:val="en-GB"/>
        </w:rPr>
      </w:pPr>
      <w:r w:rsidRPr="000E2BEF">
        <w:rPr>
          <w:rFonts w:ascii="Times New Roman" w:hAnsi="Times New Roman" w:cs="Times New Roman"/>
          <w:b/>
          <w:bCs/>
          <w:lang w:val="en-GB"/>
        </w:rPr>
        <w:lastRenderedPageBreak/>
        <w:t>Objectives</w:t>
      </w:r>
    </w:p>
    <w:p w14:paraId="37A39FE0"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The objectives of the Taj Mahal management plan include conserving the monument’s physical structure, controlling pollution, regulating tourism, and improving infrastructure for visitors. These objectives aim to operationalize the broader vision into measurable actions.</w:t>
      </w:r>
    </w:p>
    <w:p w14:paraId="1B391F1E"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One of the most significant strengths of these objectives is their focus on environmental management. Initiatives such as the Taj Trapezium Zone (TTZ), which restricts industrial activity and promotes cleaner fuels, demonstrate a proactive approach to mitigating pollution. This reflects an understanding that heritage conservation extends beyond the monument itself to its surrounding environment (Singh, 2014).</w:t>
      </w:r>
    </w:p>
    <w:p w14:paraId="796B8FAC"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 xml:space="preserve">Another strength is the emphasis on visitor management. With millions of tourists visiting annually, measures such as limiting entry numbers, introducing timed </w:t>
      </w:r>
      <w:r w:rsidRPr="000E2BEF">
        <w:rPr>
          <w:rFonts w:ascii="Times New Roman" w:hAnsi="Times New Roman" w:cs="Kokila" w:hint="cs"/>
          <w:cs/>
          <w:lang w:val="en-US" w:bidi="hi-IN"/>
        </w:rPr>
        <w:t>टिकट</w:t>
      </w:r>
      <w:proofErr w:type="spellStart"/>
      <w:r w:rsidRPr="000E2BEF">
        <w:rPr>
          <w:rFonts w:ascii="Times New Roman" w:hAnsi="Times New Roman" w:cs="Times New Roman"/>
          <w:lang w:val="en-GB"/>
        </w:rPr>
        <w:t>ing</w:t>
      </w:r>
      <w:proofErr w:type="spellEnd"/>
      <w:r w:rsidRPr="000E2BEF">
        <w:rPr>
          <w:rFonts w:ascii="Times New Roman" w:hAnsi="Times New Roman" w:cs="Times New Roman"/>
          <w:lang w:val="en-GB"/>
        </w:rPr>
        <w:t>, and developing visitor facilities help reduce overcrowding and physical stress on the monument. Effective visitor management is widely recognized as crucial for balancing conservation and tourism (Timothy &amp; Boyd, 2003).</w:t>
      </w:r>
    </w:p>
    <w:p w14:paraId="2E73A828"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Despite these strengths, several challenges remain. Enforcement of environmental regulations within the TTZ has been inconsistent, with ongoing concerns about pollution from nearby urban and industrial activities. This highlights a gap between policy formulation and implementation, a common issue in heritage management (Aas et al., 2005, https://doi.org/10.1016/j.tourman.2003.12.005).</w:t>
      </w:r>
    </w:p>
    <w:p w14:paraId="2606C4F3"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Furthermore, while tourism regulation is addressed, the objectives may not fully account for the socio-economic implications of restrictions on local communities. Many residents depend on tourism for their livelihoods, and strict controls can create tensions if alternative economic opportunities are not provided. This underscores the need for more integrated socio-economic planning within heritage management frameworks.</w:t>
      </w:r>
    </w:p>
    <w:p w14:paraId="6CBE5D84"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The objectives also focus heavily on tangible conservation, with less attention given to intangible heritage aspects, such as the cultural narratives and craftsmanship traditions associated with the Taj Mahal. Incorporating these dimensions could enhance the site’s interpretive value and cultural richness.</w:t>
      </w:r>
    </w:p>
    <w:p w14:paraId="5E16767B" w14:textId="772271FD" w:rsidR="000E2BEF" w:rsidRPr="000E2BEF" w:rsidRDefault="000E2BEF" w:rsidP="000E2BEF">
      <w:pPr>
        <w:spacing w:line="360" w:lineRule="auto"/>
        <w:rPr>
          <w:rFonts w:ascii="Times New Roman" w:hAnsi="Times New Roman" w:cs="Times New Roman"/>
          <w:lang w:val="en-GB"/>
        </w:rPr>
      </w:pPr>
    </w:p>
    <w:p w14:paraId="1ECC2B52" w14:textId="77777777" w:rsidR="000E2BEF" w:rsidRPr="000E2BEF" w:rsidRDefault="000E2BEF" w:rsidP="000E2BEF">
      <w:pPr>
        <w:spacing w:line="360" w:lineRule="auto"/>
        <w:rPr>
          <w:rFonts w:ascii="Times New Roman" w:hAnsi="Times New Roman" w:cs="Times New Roman"/>
          <w:b/>
          <w:bCs/>
          <w:lang w:val="en-GB"/>
        </w:rPr>
      </w:pPr>
      <w:r w:rsidRPr="000E2BEF">
        <w:rPr>
          <w:rFonts w:ascii="Times New Roman" w:hAnsi="Times New Roman" w:cs="Times New Roman"/>
          <w:b/>
          <w:bCs/>
          <w:lang w:val="en-GB"/>
        </w:rPr>
        <w:t>Value Statement</w:t>
      </w:r>
    </w:p>
    <w:p w14:paraId="19A6AC14"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lastRenderedPageBreak/>
        <w:t>The Value Statement of the Taj Mahal emphasizes its Outstanding Universal Value as a masterpiece of Mughal architecture and a symbol of love. It highlights its aesthetic beauty, historical significance, and technical excellence, particularly in its symmetrical design, intricate carvings, and use of white marble.</w:t>
      </w:r>
    </w:p>
    <w:p w14:paraId="2A243317"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A major strength of this statement is its clarity and global resonance. The Taj Mahal’s symbolic and aesthetic appeal makes it universally recognizable, which supports its status as a World Heritage Site. The focus on architectural and artistic excellence aligns well with UNESCO’s criteria for cultural heritage.</w:t>
      </w:r>
    </w:p>
    <w:p w14:paraId="49C8B932"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Additionally, the value statement acknowledges both tangible and intangible aspects, such as its cultural symbolism and historical narrative. This broader perspective enhances the site’s interpretive depth and relevance to diverse audiences.</w:t>
      </w:r>
    </w:p>
    <w:p w14:paraId="347583B7"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 xml:space="preserve">However, the value statement can be critiqued for its dominant focus on elite historical narratives, particularly the Mughal imperial perspective. It pays limited attention to the </w:t>
      </w:r>
      <w:proofErr w:type="spellStart"/>
      <w:r w:rsidRPr="000E2BEF">
        <w:rPr>
          <w:rFonts w:ascii="Times New Roman" w:hAnsi="Times New Roman" w:cs="Times New Roman"/>
          <w:lang w:val="en-GB"/>
        </w:rPr>
        <w:t>labor</w:t>
      </w:r>
      <w:proofErr w:type="spellEnd"/>
      <w:r w:rsidRPr="000E2BEF">
        <w:rPr>
          <w:rFonts w:ascii="Times New Roman" w:hAnsi="Times New Roman" w:cs="Times New Roman"/>
          <w:lang w:val="en-GB"/>
        </w:rPr>
        <w:t>, craftsmanship, and diverse cultural influences that contributed to the monument’s construction. Heritage scholars argue that such narratives can marginalize alternative histories and perspectives (Smith, 2006).</w:t>
      </w:r>
    </w:p>
    <w:p w14:paraId="1B4AC113"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Moreover, while the concept of “universal value” is central to UNESCO frameworks, it can sometimes overshadow local meanings and connections. For local communities, the Taj Mahal may hold different forms of significance—economic, social, or cultural—that are not fully captured in the official value statement. A more inclusive approach would incorporate these varied perspectives.</w:t>
      </w:r>
    </w:p>
    <w:p w14:paraId="1DDDB538" w14:textId="2233DDC5" w:rsidR="000E2BEF" w:rsidRPr="000E2BEF" w:rsidRDefault="000E2BEF" w:rsidP="000E2BEF">
      <w:pPr>
        <w:spacing w:line="360" w:lineRule="auto"/>
        <w:rPr>
          <w:rFonts w:ascii="Times New Roman" w:hAnsi="Times New Roman" w:cs="Times New Roman"/>
          <w:lang w:val="en-GB"/>
        </w:rPr>
      </w:pPr>
    </w:p>
    <w:p w14:paraId="5D7DEB7A" w14:textId="77777777" w:rsidR="000E2BEF" w:rsidRPr="000E2BEF" w:rsidRDefault="000E2BEF" w:rsidP="000E2BEF">
      <w:pPr>
        <w:spacing w:line="360" w:lineRule="auto"/>
        <w:rPr>
          <w:rFonts w:ascii="Times New Roman" w:hAnsi="Times New Roman" w:cs="Times New Roman"/>
          <w:b/>
          <w:bCs/>
          <w:lang w:val="en-GB"/>
        </w:rPr>
      </w:pPr>
      <w:r w:rsidRPr="000E2BEF">
        <w:rPr>
          <w:rFonts w:ascii="Times New Roman" w:hAnsi="Times New Roman" w:cs="Times New Roman"/>
          <w:b/>
          <w:bCs/>
          <w:lang w:val="en-GB"/>
        </w:rPr>
        <w:t>Conclusion</w:t>
      </w:r>
    </w:p>
    <w:p w14:paraId="42BF81C2"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t xml:space="preserve">The Taj Mahal Conservation and Management Plan </w:t>
      </w:r>
      <w:proofErr w:type="gramStart"/>
      <w:r w:rsidRPr="000E2BEF">
        <w:rPr>
          <w:rFonts w:ascii="Times New Roman" w:hAnsi="Times New Roman" w:cs="Times New Roman"/>
          <w:lang w:val="en-GB"/>
        </w:rPr>
        <w:t>provides</w:t>
      </w:r>
      <w:proofErr w:type="gramEnd"/>
      <w:r w:rsidRPr="000E2BEF">
        <w:rPr>
          <w:rFonts w:ascii="Times New Roman" w:hAnsi="Times New Roman" w:cs="Times New Roman"/>
          <w:lang w:val="en-GB"/>
        </w:rPr>
        <w:t xml:space="preserve"> a robust framework for preserving one of the world’s most significant cultural landmarks. Its vision statement effectively prioritizes conservation and environmental sustainability, though it could be strengthened by greater emphasis on community engagement and climate resilience. The objectives demonstrate a comprehensive approach to environmental protection and visitor </w:t>
      </w:r>
      <w:proofErr w:type="gramStart"/>
      <w:r w:rsidRPr="000E2BEF">
        <w:rPr>
          <w:rFonts w:ascii="Times New Roman" w:hAnsi="Times New Roman" w:cs="Times New Roman"/>
          <w:lang w:val="en-GB"/>
        </w:rPr>
        <w:t>management, yet</w:t>
      </w:r>
      <w:proofErr w:type="gramEnd"/>
      <w:r w:rsidRPr="000E2BEF">
        <w:rPr>
          <w:rFonts w:ascii="Times New Roman" w:hAnsi="Times New Roman" w:cs="Times New Roman"/>
          <w:lang w:val="en-GB"/>
        </w:rPr>
        <w:t xml:space="preserve"> face challenges in implementation and socio-economic integration. The value statement successfully articulates the monument’s global significance but would benefit from a more inclusive and multi-vocal perspective.</w:t>
      </w:r>
    </w:p>
    <w:p w14:paraId="47E1D288" w14:textId="77777777" w:rsidR="000E2BEF" w:rsidRPr="000E2BEF" w:rsidRDefault="000E2BEF" w:rsidP="000E2BEF">
      <w:pPr>
        <w:spacing w:line="360" w:lineRule="auto"/>
        <w:rPr>
          <w:rFonts w:ascii="Times New Roman" w:hAnsi="Times New Roman" w:cs="Times New Roman"/>
          <w:lang w:val="en-GB"/>
        </w:rPr>
      </w:pPr>
      <w:r w:rsidRPr="000E2BEF">
        <w:rPr>
          <w:rFonts w:ascii="Times New Roman" w:hAnsi="Times New Roman" w:cs="Times New Roman"/>
          <w:lang w:val="en-GB"/>
        </w:rPr>
        <w:lastRenderedPageBreak/>
        <w:t>Overall, the plan reflects many principles of modern heritage management, particularly in its integration of conservation and tourism. However, its long-term success will depend on its ability to adapt to emerging challenges, including environmental change, stakeholder inclusion, and the need for more holistic interpretations of heritage value.</w:t>
      </w:r>
    </w:p>
    <w:p w14:paraId="3D568A31" w14:textId="63654669" w:rsidR="000E2BEF" w:rsidRPr="000E2BEF" w:rsidRDefault="000E2BEF" w:rsidP="000E2BEF">
      <w:pPr>
        <w:spacing w:line="360" w:lineRule="auto"/>
        <w:rPr>
          <w:rFonts w:ascii="Times New Roman" w:hAnsi="Times New Roman" w:cs="Times New Roman"/>
          <w:lang w:val="en-GB"/>
        </w:rPr>
      </w:pPr>
    </w:p>
    <w:p w14:paraId="3C004B06" w14:textId="77777777" w:rsidR="000E2BEF" w:rsidRPr="000E2BEF" w:rsidRDefault="000E2BEF" w:rsidP="000E2BEF">
      <w:pPr>
        <w:spacing w:line="360" w:lineRule="auto"/>
        <w:rPr>
          <w:rFonts w:ascii="Times New Roman" w:hAnsi="Times New Roman" w:cs="Times New Roman"/>
          <w:b/>
          <w:bCs/>
          <w:lang w:val="en-GB"/>
        </w:rPr>
      </w:pPr>
      <w:r w:rsidRPr="000E2BEF">
        <w:rPr>
          <w:rFonts w:ascii="Times New Roman" w:hAnsi="Times New Roman" w:cs="Times New Roman"/>
          <w:b/>
          <w:bCs/>
          <w:lang w:val="en-GB"/>
        </w:rPr>
        <w:t>References</w:t>
      </w:r>
    </w:p>
    <w:p w14:paraId="724AFB1F" w14:textId="77777777" w:rsidR="000E2BEF" w:rsidRPr="000E2BEF" w:rsidRDefault="000E2BEF" w:rsidP="000E2BEF">
      <w:pPr>
        <w:numPr>
          <w:ilvl w:val="0"/>
          <w:numId w:val="2"/>
        </w:numPr>
        <w:spacing w:line="360" w:lineRule="auto"/>
        <w:rPr>
          <w:rFonts w:ascii="Times New Roman" w:hAnsi="Times New Roman" w:cs="Times New Roman"/>
          <w:lang w:val="en-GB"/>
        </w:rPr>
      </w:pPr>
      <w:r w:rsidRPr="000E2BEF">
        <w:rPr>
          <w:rFonts w:ascii="Times New Roman" w:hAnsi="Times New Roman" w:cs="Times New Roman"/>
          <w:lang w:val="en-GB"/>
        </w:rPr>
        <w:t xml:space="preserve">Aas, C., </w:t>
      </w:r>
      <w:proofErr w:type="spellStart"/>
      <w:r w:rsidRPr="000E2BEF">
        <w:rPr>
          <w:rFonts w:ascii="Times New Roman" w:hAnsi="Times New Roman" w:cs="Times New Roman"/>
          <w:lang w:val="en-GB"/>
        </w:rPr>
        <w:t>Ladkin</w:t>
      </w:r>
      <w:proofErr w:type="spellEnd"/>
      <w:r w:rsidRPr="000E2BEF">
        <w:rPr>
          <w:rFonts w:ascii="Times New Roman" w:hAnsi="Times New Roman" w:cs="Times New Roman"/>
          <w:lang w:val="en-GB"/>
        </w:rPr>
        <w:t xml:space="preserve">, A., &amp; Fletcher, J. (2005). Stakeholder collaboration and heritage management. </w:t>
      </w:r>
      <w:r w:rsidRPr="000E2BEF">
        <w:rPr>
          <w:rFonts w:ascii="Times New Roman" w:hAnsi="Times New Roman" w:cs="Times New Roman"/>
          <w:i/>
          <w:iCs/>
          <w:lang w:val="en-GB"/>
        </w:rPr>
        <w:t>Tourism Management</w:t>
      </w:r>
      <w:r w:rsidRPr="000E2BEF">
        <w:rPr>
          <w:rFonts w:ascii="Times New Roman" w:hAnsi="Times New Roman" w:cs="Times New Roman"/>
          <w:lang w:val="en-GB"/>
        </w:rPr>
        <w:t xml:space="preserve">, 26(1), 28–37. https://doi.org/10.1016/j.tourman.2003.12.005 </w:t>
      </w:r>
    </w:p>
    <w:p w14:paraId="4190BB37" w14:textId="77777777" w:rsidR="000E2BEF" w:rsidRPr="000E2BEF" w:rsidRDefault="000E2BEF" w:rsidP="000E2BEF">
      <w:pPr>
        <w:numPr>
          <w:ilvl w:val="0"/>
          <w:numId w:val="2"/>
        </w:numPr>
        <w:spacing w:line="360" w:lineRule="auto"/>
        <w:rPr>
          <w:rFonts w:ascii="Times New Roman" w:hAnsi="Times New Roman" w:cs="Times New Roman"/>
          <w:lang w:val="en-GB"/>
        </w:rPr>
      </w:pPr>
      <w:r w:rsidRPr="000E2BEF">
        <w:rPr>
          <w:rFonts w:ascii="Times New Roman" w:hAnsi="Times New Roman" w:cs="Times New Roman"/>
          <w:lang w:val="en-GB"/>
        </w:rPr>
        <w:t xml:space="preserve">Brimblecombe, P., &amp; Grossi, C. M. (2009). Millennium-long damage to building materials in London. </w:t>
      </w:r>
      <w:r w:rsidRPr="000E2BEF">
        <w:rPr>
          <w:rFonts w:ascii="Times New Roman" w:hAnsi="Times New Roman" w:cs="Times New Roman"/>
          <w:i/>
          <w:iCs/>
          <w:lang w:val="en-GB"/>
        </w:rPr>
        <w:t>Environmental Pollution</w:t>
      </w:r>
      <w:r w:rsidRPr="000E2BEF">
        <w:rPr>
          <w:rFonts w:ascii="Times New Roman" w:hAnsi="Times New Roman" w:cs="Times New Roman"/>
          <w:lang w:val="en-GB"/>
        </w:rPr>
        <w:t xml:space="preserve">, 157(4), 1354–1361. https://doi.org/10.1016/j.envpol.2009.05.013 </w:t>
      </w:r>
    </w:p>
    <w:p w14:paraId="686AF6A2" w14:textId="77777777" w:rsidR="000E2BEF" w:rsidRPr="000E2BEF" w:rsidRDefault="000E2BEF" w:rsidP="000E2BEF">
      <w:pPr>
        <w:numPr>
          <w:ilvl w:val="0"/>
          <w:numId w:val="2"/>
        </w:numPr>
        <w:spacing w:line="360" w:lineRule="auto"/>
        <w:rPr>
          <w:rFonts w:ascii="Times New Roman" w:hAnsi="Times New Roman" w:cs="Times New Roman"/>
          <w:lang w:val="en-GB"/>
        </w:rPr>
      </w:pPr>
      <w:r w:rsidRPr="000E2BEF">
        <w:rPr>
          <w:rFonts w:ascii="Times New Roman" w:hAnsi="Times New Roman" w:cs="Times New Roman"/>
          <w:lang w:val="en-GB"/>
        </w:rPr>
        <w:t xml:space="preserve">Singh, R. (2014). Environmental management of the Taj Trapezium Zone. </w:t>
      </w:r>
      <w:r w:rsidRPr="000E2BEF">
        <w:rPr>
          <w:rFonts w:ascii="Times New Roman" w:hAnsi="Times New Roman" w:cs="Times New Roman"/>
          <w:i/>
          <w:iCs/>
          <w:lang w:val="en-GB"/>
        </w:rPr>
        <w:t>International Journal of Environmental Studies</w:t>
      </w:r>
      <w:r w:rsidRPr="000E2BEF">
        <w:rPr>
          <w:rFonts w:ascii="Times New Roman" w:hAnsi="Times New Roman" w:cs="Times New Roman"/>
          <w:lang w:val="en-GB"/>
        </w:rPr>
        <w:t xml:space="preserve">. </w:t>
      </w:r>
    </w:p>
    <w:p w14:paraId="6A8493E5" w14:textId="77777777" w:rsidR="000E2BEF" w:rsidRPr="000E2BEF" w:rsidRDefault="000E2BEF" w:rsidP="000E2BEF">
      <w:pPr>
        <w:numPr>
          <w:ilvl w:val="0"/>
          <w:numId w:val="2"/>
        </w:numPr>
        <w:spacing w:line="360" w:lineRule="auto"/>
        <w:rPr>
          <w:rFonts w:ascii="Times New Roman" w:hAnsi="Times New Roman" w:cs="Times New Roman"/>
          <w:lang w:val="en-GB"/>
        </w:rPr>
      </w:pPr>
      <w:r w:rsidRPr="000E2BEF">
        <w:rPr>
          <w:rFonts w:ascii="Times New Roman" w:hAnsi="Times New Roman" w:cs="Times New Roman"/>
          <w:lang w:val="en-GB"/>
        </w:rPr>
        <w:t xml:space="preserve">Smith, L. (2006). </w:t>
      </w:r>
      <w:r w:rsidRPr="000E2BEF">
        <w:rPr>
          <w:rFonts w:ascii="Times New Roman" w:hAnsi="Times New Roman" w:cs="Times New Roman"/>
          <w:i/>
          <w:iCs/>
          <w:lang w:val="en-GB"/>
        </w:rPr>
        <w:t>Uses of Heritage</w:t>
      </w:r>
      <w:r w:rsidRPr="000E2BEF">
        <w:rPr>
          <w:rFonts w:ascii="Times New Roman" w:hAnsi="Times New Roman" w:cs="Times New Roman"/>
          <w:lang w:val="en-GB"/>
        </w:rPr>
        <w:t xml:space="preserve">. Routledge. </w:t>
      </w:r>
    </w:p>
    <w:p w14:paraId="7B2A995F" w14:textId="77777777" w:rsidR="000E2BEF" w:rsidRPr="000E2BEF" w:rsidRDefault="000E2BEF" w:rsidP="000E2BEF">
      <w:pPr>
        <w:numPr>
          <w:ilvl w:val="0"/>
          <w:numId w:val="2"/>
        </w:numPr>
        <w:spacing w:line="360" w:lineRule="auto"/>
        <w:rPr>
          <w:rFonts w:ascii="Times New Roman" w:hAnsi="Times New Roman" w:cs="Times New Roman"/>
          <w:lang w:val="en-GB"/>
        </w:rPr>
      </w:pPr>
      <w:r w:rsidRPr="000E2BEF">
        <w:rPr>
          <w:rFonts w:ascii="Times New Roman" w:hAnsi="Times New Roman" w:cs="Times New Roman"/>
          <w:lang w:val="en-GB"/>
        </w:rPr>
        <w:t xml:space="preserve">Timothy, D. J., &amp; Boyd, S. W. (2003). </w:t>
      </w:r>
      <w:r w:rsidRPr="000E2BEF">
        <w:rPr>
          <w:rFonts w:ascii="Times New Roman" w:hAnsi="Times New Roman" w:cs="Times New Roman"/>
          <w:i/>
          <w:iCs/>
          <w:lang w:val="en-GB"/>
        </w:rPr>
        <w:t>Heritage Tourism</w:t>
      </w:r>
      <w:r w:rsidRPr="000E2BEF">
        <w:rPr>
          <w:rFonts w:ascii="Times New Roman" w:hAnsi="Times New Roman" w:cs="Times New Roman"/>
          <w:lang w:val="en-GB"/>
        </w:rPr>
        <w:t xml:space="preserve">. Pearson Education. </w:t>
      </w:r>
    </w:p>
    <w:p w14:paraId="2C4AC1E8" w14:textId="77777777" w:rsidR="000E2BEF" w:rsidRPr="000E2BEF" w:rsidRDefault="000E2BEF" w:rsidP="000E2BEF">
      <w:pPr>
        <w:numPr>
          <w:ilvl w:val="0"/>
          <w:numId w:val="2"/>
        </w:numPr>
        <w:spacing w:line="360" w:lineRule="auto"/>
        <w:rPr>
          <w:rFonts w:ascii="Times New Roman" w:hAnsi="Times New Roman" w:cs="Times New Roman"/>
          <w:lang w:val="en-GB"/>
        </w:rPr>
      </w:pPr>
      <w:r w:rsidRPr="000E2BEF">
        <w:rPr>
          <w:rFonts w:ascii="Times New Roman" w:hAnsi="Times New Roman" w:cs="Times New Roman"/>
          <w:lang w:val="en-GB"/>
        </w:rPr>
        <w:t xml:space="preserve">Waterton, E., &amp; Watson, S. (2015). </w:t>
      </w:r>
      <w:r w:rsidRPr="000E2BEF">
        <w:rPr>
          <w:rFonts w:ascii="Times New Roman" w:hAnsi="Times New Roman" w:cs="Times New Roman"/>
          <w:i/>
          <w:iCs/>
          <w:lang w:val="en-GB"/>
        </w:rPr>
        <w:t>The Palgrave Handbook of Contemporary Heritage Research</w:t>
      </w:r>
      <w:r w:rsidRPr="000E2BEF">
        <w:rPr>
          <w:rFonts w:ascii="Times New Roman" w:hAnsi="Times New Roman" w:cs="Times New Roman"/>
          <w:lang w:val="en-GB"/>
        </w:rPr>
        <w:t>. Palgrave Macmillan.</w:t>
      </w:r>
    </w:p>
    <w:p w14:paraId="342AAB30" w14:textId="77777777" w:rsidR="000E2BEF" w:rsidRPr="000E2BEF" w:rsidRDefault="000E2BEF" w:rsidP="000E2BEF">
      <w:pPr>
        <w:spacing w:line="360" w:lineRule="auto"/>
        <w:rPr>
          <w:rFonts w:ascii="Times New Roman" w:hAnsi="Times New Roman" w:cs="Times New Roman"/>
          <w:lang w:val="en-US"/>
        </w:rPr>
      </w:pPr>
    </w:p>
    <w:p w14:paraId="0BE6DF52" w14:textId="77777777" w:rsidR="000E2BEF" w:rsidRPr="000E2BEF" w:rsidRDefault="000E2BEF" w:rsidP="000E2BEF">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Kokila">
    <w:panose1 w:val="01010601010101010101"/>
    <w:charset w:val="01"/>
    <w:family w:val="auto"/>
    <w:pitch w:val="variable"/>
    <w:sig w:usb0="00008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0"/>
  </w:num>
  <w:num w:numId="2" w16cid:durableId="1180856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E2BEF"/>
    <w:rsid w:val="0010151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1223</Words>
  <Characters>6976</Characters>
  <Application>Microsoft Office Word</Application>
  <DocSecurity>0</DocSecurity>
  <Lines>58</Lines>
  <Paragraphs>16</Paragraphs>
  <ScaleCrop>false</ScaleCrop>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2026-04-27T11:15:00Z</dcterms:created>
  <dcterms:modified xsi:type="dcterms:W3CDTF">2026-04-27T11:16:00Z</dcterms:modified>
</cp:coreProperties>
</file>