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F8CAD3" w14:textId="77777777" w:rsidR="0019504D" w:rsidRDefault="0019504D" w:rsidP="0019504D">
      <w:pPr>
        <w:rPr>
          <w:lang w:val="en-US"/>
        </w:rPr>
      </w:pPr>
      <w:r w:rsidRPr="0019504D">
        <w:rPr>
          <w:lang w:val="en-US"/>
        </w:rPr>
        <w:t>Ass</w:t>
      </w:r>
      <w:r>
        <w:rPr>
          <w:lang w:val="en-US"/>
        </w:rPr>
        <w:t xml:space="preserve">ignment </w:t>
      </w:r>
      <w:r w:rsidR="00716E23">
        <w:rPr>
          <w:lang w:val="en-US"/>
        </w:rPr>
        <w:t>2</w:t>
      </w:r>
    </w:p>
    <w:p w14:paraId="3589F145" w14:textId="77777777" w:rsidR="0019504D" w:rsidRPr="0019504D" w:rsidRDefault="00716E23" w:rsidP="0019504D">
      <w:pPr>
        <w:rPr>
          <w:lang w:val="en-US"/>
        </w:rPr>
      </w:pPr>
      <w:r>
        <w:rPr>
          <w:lang w:val="en-US"/>
        </w:rPr>
        <w:t>14</w:t>
      </w:r>
      <w:r w:rsidR="0019504D">
        <w:rPr>
          <w:lang w:val="en-US"/>
        </w:rPr>
        <w:t>.0</w:t>
      </w:r>
      <w:r w:rsidR="00481859">
        <w:rPr>
          <w:lang w:val="en-US"/>
        </w:rPr>
        <w:t>1</w:t>
      </w:r>
      <w:r w:rsidR="0019504D">
        <w:rPr>
          <w:lang w:val="en-US"/>
        </w:rPr>
        <w:t>.2025</w:t>
      </w:r>
    </w:p>
    <w:p w14:paraId="07F9BE35" w14:textId="77777777" w:rsidR="0019504D" w:rsidRDefault="0019504D"/>
    <w:p w14:paraId="1302BE70" w14:textId="30375123" w:rsidR="0019504D" w:rsidRPr="00C70025" w:rsidRDefault="00C70025">
      <w:pPr>
        <w:rPr>
          <w:lang w:val="en-US"/>
        </w:rPr>
      </w:pPr>
      <w:r>
        <w:rPr>
          <w:lang w:val="en-US"/>
        </w:rPr>
        <w:t>Sumit kumar</w:t>
      </w:r>
    </w:p>
    <w:p w14:paraId="6B509797" w14:textId="77777777" w:rsidR="0019504D" w:rsidRDefault="0019504D"/>
    <w:p w14:paraId="0DD471F2" w14:textId="77777777" w:rsidR="0019504D" w:rsidRDefault="0019504D"/>
    <w:p w14:paraId="2A240E95" w14:textId="77777777" w:rsidR="0019504D" w:rsidRDefault="0019504D"/>
    <w:p w14:paraId="44503069" w14:textId="77777777" w:rsidR="00CD620A" w:rsidRDefault="00CD620A"/>
    <w:p w14:paraId="535E1485" w14:textId="77777777" w:rsidR="00CD620A" w:rsidRDefault="00CD620A"/>
    <w:p w14:paraId="5B460D21" w14:textId="77777777" w:rsidR="00CD620A" w:rsidRDefault="00CD620A"/>
    <w:p w14:paraId="29728A86" w14:textId="77777777" w:rsidR="00CD620A" w:rsidRDefault="00CD620A"/>
    <w:p w14:paraId="2A3900DC" w14:textId="77777777" w:rsidR="00CD620A" w:rsidRDefault="00CD620A"/>
    <w:p w14:paraId="67E2CB04" w14:textId="77777777" w:rsidR="00EA737F" w:rsidRDefault="00EA737F"/>
    <w:p w14:paraId="02934328" w14:textId="77777777" w:rsidR="0019504D" w:rsidRDefault="0019504D"/>
    <w:p w14:paraId="6683FBD1" w14:textId="77777777" w:rsidR="0019504D" w:rsidRDefault="0019504D"/>
    <w:p w14:paraId="70607A29" w14:textId="77777777" w:rsidR="00EA737F" w:rsidRP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403B63B1" w14:textId="77777777" w:rsidR="00EA737F" w:rsidRDefault="00EA737F" w:rsidP="00EA737F">
      <w:pPr>
        <w:spacing w:line="276" w:lineRule="auto"/>
        <w:rPr>
          <w:lang w:val="en-US"/>
        </w:rPr>
      </w:pPr>
    </w:p>
    <w:p w14:paraId="416C4D40" w14:textId="77777777" w:rsidR="00716E23" w:rsidRPr="00716E23" w:rsidRDefault="00EA737F" w:rsidP="00716E23">
      <w:pPr>
        <w:spacing w:line="276" w:lineRule="auto"/>
        <w:rPr>
          <w:lang w:val="en-US"/>
        </w:rPr>
      </w:pPr>
      <w:r>
        <w:rPr>
          <w:lang w:val="en-US"/>
        </w:rPr>
        <w:t xml:space="preserve">1- </w:t>
      </w:r>
      <w:r w:rsidR="00716E23" w:rsidRPr="00716E23">
        <w:rPr>
          <w:lang w:val="en-US"/>
        </w:rPr>
        <w:t>What are subsidiary bodies in international tourism governance? Explain their general role within UNWTO.</w:t>
      </w:r>
    </w:p>
    <w:p w14:paraId="1EC152CA" w14:textId="77777777" w:rsidR="00C70025" w:rsidRPr="00C70025" w:rsidRDefault="00C70025" w:rsidP="00C70025">
      <w:pPr>
        <w:spacing w:line="276" w:lineRule="auto"/>
        <w:rPr>
          <w:lang w:val="en-GB"/>
        </w:rPr>
      </w:pPr>
      <w:proofErr w:type="gramStart"/>
      <w:r>
        <w:rPr>
          <w:lang w:val="en-US"/>
        </w:rPr>
        <w:t>Answer :</w:t>
      </w:r>
      <w:proofErr w:type="gramEnd"/>
      <w:r>
        <w:rPr>
          <w:lang w:val="en-US"/>
        </w:rPr>
        <w:t xml:space="preserve"> </w:t>
      </w:r>
      <w:r w:rsidRPr="00C70025">
        <w:rPr>
          <w:lang w:val="en-GB"/>
        </w:rPr>
        <w:t xml:space="preserve">Subsidiary bodies in international tourism governance are specialized committees, councils, commissions, and working groups established to support the decision-making, policy formulation, and technical work of global tourism institutions. Within the </w:t>
      </w:r>
      <w:r w:rsidRPr="00C70025">
        <w:rPr>
          <w:b/>
          <w:bCs/>
          <w:lang w:val="en-GB"/>
        </w:rPr>
        <w:t>World Tourism Organization (UNWTO)</w:t>
      </w:r>
      <w:r w:rsidRPr="00C70025">
        <w:rPr>
          <w:lang w:val="en-GB"/>
        </w:rPr>
        <w:t>, subsidiary bodies play a critical role in ensuring that tourism governance is inclusive, evidence-based, and regionally responsive.</w:t>
      </w:r>
    </w:p>
    <w:p w14:paraId="7991C7CD" w14:textId="77777777" w:rsidR="00C70025" w:rsidRPr="00C70025" w:rsidRDefault="00C70025" w:rsidP="00C70025">
      <w:pPr>
        <w:spacing w:line="276" w:lineRule="auto"/>
        <w:rPr>
          <w:lang w:val="en-GB"/>
        </w:rPr>
      </w:pPr>
      <w:r w:rsidRPr="00C70025">
        <w:rPr>
          <w:lang w:val="en-GB"/>
        </w:rPr>
        <w:t>These bodies operate under the authority of the UNWTO’s main governing organs, such as the General Assembly and the Executive Council. Examples include Regional Commissions (for Africa, the Americas, Europe, East Asia and the Pacific, South Asia, and the Middle East), the Programme and Budget Committee, the Committee on Tourism and Sustainability, and technical working groups on ethics, statistics, education, and innovation. Each subsidiary body focuses on a specific thematic or geographic area, allowing the organization to address the complexity and diversity of global tourism systems more effectively.</w:t>
      </w:r>
    </w:p>
    <w:p w14:paraId="68AAFB0E" w14:textId="77777777" w:rsidR="00C70025" w:rsidRPr="00C70025" w:rsidRDefault="00C70025" w:rsidP="00C70025">
      <w:pPr>
        <w:spacing w:line="276" w:lineRule="auto"/>
        <w:rPr>
          <w:lang w:val="en-GB"/>
        </w:rPr>
      </w:pPr>
      <w:r w:rsidRPr="00C70025">
        <w:rPr>
          <w:lang w:val="en-GB"/>
        </w:rPr>
        <w:t xml:space="preserve">The general role of subsidiary bodies within UNWTO is fourfold. First, they provide </w:t>
      </w:r>
      <w:r w:rsidRPr="00C70025">
        <w:rPr>
          <w:b/>
          <w:bCs/>
          <w:lang w:val="en-GB"/>
        </w:rPr>
        <w:t>technical expertise and policy advice</w:t>
      </w:r>
      <w:r w:rsidRPr="00C70025">
        <w:rPr>
          <w:lang w:val="en-GB"/>
        </w:rPr>
        <w:t xml:space="preserve">. By bringing together government officials, experts, and stakeholders, these bodies </w:t>
      </w:r>
      <w:proofErr w:type="spellStart"/>
      <w:r w:rsidRPr="00C70025">
        <w:rPr>
          <w:lang w:val="en-GB"/>
        </w:rPr>
        <w:t>analyze</w:t>
      </w:r>
      <w:proofErr w:type="spellEnd"/>
      <w:r w:rsidRPr="00C70025">
        <w:rPr>
          <w:lang w:val="en-GB"/>
        </w:rPr>
        <w:t xml:space="preserve"> emerging issues such as sustainable tourism, digital transformation, climate change, and crisis recovery, and propose policy recommendations aligned with UNWTO’s strategic priorities. Second, they facilitate </w:t>
      </w:r>
      <w:r w:rsidRPr="00C70025">
        <w:rPr>
          <w:b/>
          <w:bCs/>
          <w:lang w:val="en-GB"/>
        </w:rPr>
        <w:t>regional coordination and representation</w:t>
      </w:r>
      <w:r w:rsidRPr="00C70025">
        <w:rPr>
          <w:lang w:val="en-GB"/>
        </w:rPr>
        <w:t>. Regional Commissions ensure that the interests and challenges of different parts of the world are reflected in global tourism policies, promoting balanced and equitable development.</w:t>
      </w:r>
    </w:p>
    <w:p w14:paraId="026E4465" w14:textId="77777777" w:rsidR="00C70025" w:rsidRPr="00C70025" w:rsidRDefault="00C70025" w:rsidP="00C70025">
      <w:pPr>
        <w:spacing w:line="276" w:lineRule="auto"/>
        <w:rPr>
          <w:lang w:val="en-GB"/>
        </w:rPr>
      </w:pPr>
      <w:r w:rsidRPr="00C70025">
        <w:rPr>
          <w:lang w:val="en-GB"/>
        </w:rPr>
        <w:t xml:space="preserve">Third, subsidiary bodies support </w:t>
      </w:r>
      <w:r w:rsidRPr="00C70025">
        <w:rPr>
          <w:b/>
          <w:bCs/>
          <w:lang w:val="en-GB"/>
        </w:rPr>
        <w:t>implementation and monitoring</w:t>
      </w:r>
      <w:r w:rsidRPr="00C70025">
        <w:rPr>
          <w:lang w:val="en-GB"/>
        </w:rPr>
        <w:t xml:space="preserve">. They help translate global declarations, frameworks, and action plans into practical guidelines and monitor progress </w:t>
      </w:r>
      <w:r w:rsidRPr="00C70025">
        <w:rPr>
          <w:lang w:val="en-GB"/>
        </w:rPr>
        <w:lastRenderedPageBreak/>
        <w:t xml:space="preserve">among member states. This includes tracking tourism statistics, promoting best practices, and assessing compliance with ethical and sustainability principles. Finally, they enhance </w:t>
      </w:r>
      <w:r w:rsidRPr="00C70025">
        <w:rPr>
          <w:b/>
          <w:bCs/>
          <w:lang w:val="en-GB"/>
        </w:rPr>
        <w:t>participation and legitimacy</w:t>
      </w:r>
      <w:r w:rsidRPr="00C70025">
        <w:rPr>
          <w:lang w:val="en-GB"/>
        </w:rPr>
        <w:t xml:space="preserve"> in global tourism governance by involving a wide range of actors, including member states, affiliate members, and experts, in consultative and collaborative processes.</w:t>
      </w:r>
    </w:p>
    <w:p w14:paraId="5B429747" w14:textId="77777777" w:rsidR="00C70025" w:rsidRPr="00C70025" w:rsidRDefault="00C70025" w:rsidP="00C70025">
      <w:pPr>
        <w:spacing w:line="276" w:lineRule="auto"/>
        <w:rPr>
          <w:lang w:val="en-GB"/>
        </w:rPr>
      </w:pPr>
      <w:r w:rsidRPr="00C70025">
        <w:rPr>
          <w:lang w:val="en-GB"/>
        </w:rPr>
        <w:t>Overall, subsidiary bodies strengthen UNWTO’s capacity to govern tourism at the international level by combining strategic oversight with specialized knowledge and regional engagement. They ensure that tourism policies are not only globally coherent but also adaptable to local realities and evolving global challenges.</w:t>
      </w:r>
    </w:p>
    <w:p w14:paraId="72DC62D1" w14:textId="24B26EAA" w:rsidR="00716E23" w:rsidRDefault="00716E23" w:rsidP="00716E23">
      <w:pPr>
        <w:spacing w:line="276" w:lineRule="auto"/>
        <w:rPr>
          <w:lang w:val="en-US"/>
        </w:rPr>
      </w:pPr>
    </w:p>
    <w:p w14:paraId="29B73880" w14:textId="77777777" w:rsidR="00C70025" w:rsidRPr="00716E23" w:rsidRDefault="00C70025" w:rsidP="00716E23">
      <w:pPr>
        <w:spacing w:line="276" w:lineRule="auto"/>
        <w:rPr>
          <w:lang w:val="en-US"/>
        </w:rPr>
      </w:pPr>
    </w:p>
    <w:p w14:paraId="0BC7F293" w14:textId="77777777" w:rsidR="00EA737F" w:rsidRDefault="00716E23" w:rsidP="00716E23">
      <w:pPr>
        <w:spacing w:line="276" w:lineRule="auto"/>
        <w:rPr>
          <w:lang w:val="en-US"/>
        </w:rPr>
      </w:pPr>
      <w:r>
        <w:rPr>
          <w:lang w:val="en-US"/>
        </w:rPr>
        <w:t xml:space="preserve">2- </w:t>
      </w:r>
      <w:r w:rsidRPr="00716E23">
        <w:rPr>
          <w:lang w:val="en-US"/>
        </w:rPr>
        <w:t>What is the Manila Declaration on World Tourism (1980)? Why is it considered a milestone in tourism policy?</w:t>
      </w:r>
    </w:p>
    <w:p w14:paraId="10B1B49E" w14:textId="77777777" w:rsidR="00EA737F" w:rsidRDefault="00EA737F" w:rsidP="00EA737F">
      <w:pPr>
        <w:spacing w:line="276" w:lineRule="auto"/>
        <w:rPr>
          <w:lang w:val="en-US"/>
        </w:rPr>
      </w:pPr>
    </w:p>
    <w:p w14:paraId="432FFEA0" w14:textId="77777777" w:rsidR="00C70025" w:rsidRPr="00C70025" w:rsidRDefault="00C70025" w:rsidP="00C70025">
      <w:pPr>
        <w:spacing w:line="276" w:lineRule="auto"/>
        <w:rPr>
          <w:lang w:val="en-GB"/>
        </w:rPr>
      </w:pPr>
      <w:proofErr w:type="gramStart"/>
      <w:r>
        <w:rPr>
          <w:lang w:val="en-US"/>
        </w:rPr>
        <w:t>Answer :</w:t>
      </w:r>
      <w:proofErr w:type="gramEnd"/>
      <w:r>
        <w:rPr>
          <w:lang w:val="en-US"/>
        </w:rPr>
        <w:t xml:space="preserve"> </w:t>
      </w:r>
      <w:r w:rsidRPr="00C70025">
        <w:rPr>
          <w:lang w:val="en-GB"/>
        </w:rPr>
        <w:t>The Manila Declaration on World Tourism (1980) is a landmark international policy document adopted at the World Tourism Conference held in Manila, Philippines, under the auspices of the World Tourism Organization. The Declaration set out fundamental principles guiding the development, management, and governance of tourism at a global level, positioning tourism as a key driver of economic development, social progress, and international understanding.</w:t>
      </w:r>
    </w:p>
    <w:p w14:paraId="234809EE" w14:textId="77777777" w:rsidR="00C70025" w:rsidRPr="00C70025" w:rsidRDefault="00C70025" w:rsidP="00C70025">
      <w:pPr>
        <w:spacing w:line="276" w:lineRule="auto"/>
        <w:rPr>
          <w:lang w:val="en-GB"/>
        </w:rPr>
      </w:pPr>
      <w:r w:rsidRPr="00C70025">
        <w:rPr>
          <w:lang w:val="en-GB"/>
        </w:rPr>
        <w:t xml:space="preserve">The Declaration defines tourism not merely as an economic activity, but as a </w:t>
      </w:r>
      <w:r w:rsidRPr="00C70025">
        <w:rPr>
          <w:b/>
          <w:bCs/>
          <w:lang w:val="en-GB"/>
        </w:rPr>
        <w:t>social, cultural, and educational phenomenon</w:t>
      </w:r>
      <w:r w:rsidRPr="00C70025">
        <w:rPr>
          <w:lang w:val="en-GB"/>
        </w:rPr>
        <w:t>. It emphasizes tourism’s contribution to employment, income generation, poverty reduction, and cultural exchange, particularly in developing countries. Importantly, it highlights the responsibility of states to plan and manage tourism in ways that respect national sovereignty, cultural heritage, and the well-being of host communities.</w:t>
      </w:r>
    </w:p>
    <w:p w14:paraId="1DB1C615" w14:textId="77777777" w:rsidR="00C70025" w:rsidRPr="00C70025" w:rsidRDefault="00C70025" w:rsidP="00C70025">
      <w:pPr>
        <w:spacing w:line="276" w:lineRule="auto"/>
        <w:rPr>
          <w:lang w:val="en-GB"/>
        </w:rPr>
      </w:pPr>
      <w:r w:rsidRPr="00C70025">
        <w:rPr>
          <w:lang w:val="en-GB"/>
        </w:rPr>
        <w:t xml:space="preserve">The Manila Declaration is considered a milestone in tourism policy for several reasons. First, it was one of the earliest international instruments to explicitly recognize </w:t>
      </w:r>
      <w:r w:rsidRPr="00C70025">
        <w:rPr>
          <w:b/>
          <w:bCs/>
          <w:lang w:val="en-GB"/>
        </w:rPr>
        <w:t>tourism as a right</w:t>
      </w:r>
      <w:r w:rsidRPr="00C70025">
        <w:rPr>
          <w:lang w:val="en-GB"/>
        </w:rPr>
        <w:t>, linking it to the right to rest, leisure, and freedom of movement as articulated in broader human rights frameworks. This normative framing elevated tourism from a market-driven activity to a legitimate public policy concern.</w:t>
      </w:r>
    </w:p>
    <w:p w14:paraId="4808C635" w14:textId="77777777" w:rsidR="00C70025" w:rsidRPr="00C70025" w:rsidRDefault="00C70025" w:rsidP="00C70025">
      <w:pPr>
        <w:spacing w:line="276" w:lineRule="auto"/>
        <w:rPr>
          <w:lang w:val="en-GB"/>
        </w:rPr>
      </w:pPr>
      <w:r w:rsidRPr="00C70025">
        <w:rPr>
          <w:lang w:val="en-GB"/>
        </w:rPr>
        <w:t xml:space="preserve">Second, the Declaration laid the groundwork for </w:t>
      </w:r>
      <w:r w:rsidRPr="00C70025">
        <w:rPr>
          <w:b/>
          <w:bCs/>
          <w:lang w:val="en-GB"/>
        </w:rPr>
        <w:t>sustainable and responsible tourism</w:t>
      </w:r>
      <w:r w:rsidRPr="00C70025">
        <w:rPr>
          <w:lang w:val="en-GB"/>
        </w:rPr>
        <w:t xml:space="preserve"> long before sustainability became a dominant global policy agenda. It stressed the need to protect the environment, preserve cultural identity, and ensure that tourism development benefits local populations. These principles later influenced major policy frameworks such as the Global Code of Ethics for Tourism (1999) and the Sustainable Development Goals.</w:t>
      </w:r>
    </w:p>
    <w:p w14:paraId="13A8AA09" w14:textId="77777777" w:rsidR="00C70025" w:rsidRPr="00C70025" w:rsidRDefault="00C70025" w:rsidP="00C70025">
      <w:pPr>
        <w:spacing w:line="276" w:lineRule="auto"/>
        <w:rPr>
          <w:lang w:val="en-GB"/>
        </w:rPr>
      </w:pPr>
      <w:r w:rsidRPr="00C70025">
        <w:rPr>
          <w:lang w:val="en-GB"/>
        </w:rPr>
        <w:t xml:space="preserve">Third, the Manila Declaration reinforced the role of </w:t>
      </w:r>
      <w:r w:rsidRPr="00C70025">
        <w:rPr>
          <w:b/>
          <w:bCs/>
          <w:lang w:val="en-GB"/>
        </w:rPr>
        <w:t>international cooperation in tourism governance</w:t>
      </w:r>
      <w:r w:rsidRPr="00C70025">
        <w:rPr>
          <w:lang w:val="en-GB"/>
        </w:rPr>
        <w:t>. It called for collaboration between states, international organizations, and the private sector to address inequalities in tourism development and to support capacity building in less developed destinations.</w:t>
      </w:r>
    </w:p>
    <w:p w14:paraId="488FD963" w14:textId="77777777" w:rsidR="00C70025" w:rsidRPr="00C70025" w:rsidRDefault="00C70025" w:rsidP="00C70025">
      <w:pPr>
        <w:spacing w:line="276" w:lineRule="auto"/>
        <w:rPr>
          <w:lang w:val="en-GB"/>
        </w:rPr>
      </w:pPr>
      <w:r w:rsidRPr="00C70025">
        <w:rPr>
          <w:lang w:val="en-GB"/>
        </w:rPr>
        <w:lastRenderedPageBreak/>
        <w:t>In summary, the Manila Declaration on World Tourism is a foundational document that reshaped how tourism is understood and governed globally. Its holistic, rights-based, and development-oriented approach continues to influence international tourism policy and ethical standards decades after its adoption.</w:t>
      </w:r>
    </w:p>
    <w:p w14:paraId="0398A15C" w14:textId="519374B2" w:rsidR="00C70025" w:rsidRDefault="00C70025" w:rsidP="00EA737F">
      <w:pPr>
        <w:spacing w:line="276" w:lineRule="auto"/>
        <w:rPr>
          <w:lang w:val="en-US"/>
        </w:rPr>
      </w:pPr>
    </w:p>
    <w:p w14:paraId="5F1B6CDA" w14:textId="77777777" w:rsidR="00C70025" w:rsidRDefault="00C70025" w:rsidP="00EA737F">
      <w:pPr>
        <w:spacing w:line="276" w:lineRule="auto"/>
        <w:rPr>
          <w:lang w:val="en-US"/>
        </w:rPr>
      </w:pPr>
    </w:p>
    <w:p w14:paraId="3BCD059D" w14:textId="4787E3BB" w:rsidR="00C70025" w:rsidRPr="00C70025" w:rsidRDefault="00C70025" w:rsidP="00EA737F">
      <w:pPr>
        <w:spacing w:line="276" w:lineRule="auto"/>
        <w:rPr>
          <w:b/>
          <w:bCs/>
          <w:lang w:val="en-US"/>
        </w:rPr>
      </w:pPr>
      <w:r w:rsidRPr="00C70025">
        <w:rPr>
          <w:b/>
          <w:bCs/>
          <w:lang w:val="en-US"/>
        </w:rPr>
        <w:t>References</w:t>
      </w:r>
    </w:p>
    <w:p w14:paraId="64994DC3" w14:textId="77777777" w:rsidR="00C70025" w:rsidRDefault="00C70025" w:rsidP="00EA737F">
      <w:pPr>
        <w:spacing w:line="276" w:lineRule="auto"/>
        <w:rPr>
          <w:lang w:val="en-US"/>
        </w:rPr>
      </w:pPr>
    </w:p>
    <w:p w14:paraId="106C5565" w14:textId="77777777" w:rsidR="00C70025" w:rsidRPr="00C70025" w:rsidRDefault="00C70025" w:rsidP="00C70025">
      <w:pPr>
        <w:numPr>
          <w:ilvl w:val="0"/>
          <w:numId w:val="1"/>
        </w:numPr>
        <w:spacing w:line="276" w:lineRule="auto"/>
        <w:rPr>
          <w:lang w:val="en-GB"/>
        </w:rPr>
      </w:pPr>
      <w:r w:rsidRPr="00C70025">
        <w:rPr>
          <w:lang w:val="en-GB"/>
        </w:rPr>
        <w:t xml:space="preserve">Hall, C. M. (2011). Tourism and public policy: Contemporary debates and future directions. </w:t>
      </w:r>
      <w:r w:rsidRPr="00C70025">
        <w:rPr>
          <w:i/>
          <w:iCs/>
          <w:lang w:val="en-GB"/>
        </w:rPr>
        <w:t>Tourism Management, 32</w:t>
      </w:r>
      <w:r w:rsidRPr="00C70025">
        <w:rPr>
          <w:lang w:val="en-GB"/>
        </w:rPr>
        <w:t>(6), 1173–1184. https://doi.org/10.1016/j.tourman.2011.01.003</w:t>
      </w:r>
    </w:p>
    <w:p w14:paraId="2714B260" w14:textId="77777777" w:rsidR="00C70025" w:rsidRPr="00C70025" w:rsidRDefault="00C70025" w:rsidP="00C70025">
      <w:pPr>
        <w:numPr>
          <w:ilvl w:val="0"/>
          <w:numId w:val="1"/>
        </w:numPr>
        <w:spacing w:line="276" w:lineRule="auto"/>
        <w:rPr>
          <w:lang w:val="en-GB"/>
        </w:rPr>
      </w:pPr>
      <w:r w:rsidRPr="00C70025">
        <w:rPr>
          <w:lang w:val="en-GB"/>
        </w:rPr>
        <w:t xml:space="preserve">Holden, A. (2016). </w:t>
      </w:r>
      <w:r w:rsidRPr="00C70025">
        <w:rPr>
          <w:i/>
          <w:iCs/>
          <w:lang w:val="en-GB"/>
        </w:rPr>
        <w:t>Environment and tourism</w:t>
      </w:r>
      <w:r w:rsidRPr="00C70025">
        <w:rPr>
          <w:lang w:val="en-GB"/>
        </w:rPr>
        <w:t xml:space="preserve"> (3rd ed.). Routledge. https://doi.org/10.4324/9781315768864</w:t>
      </w:r>
    </w:p>
    <w:p w14:paraId="600BC691" w14:textId="77777777" w:rsidR="00C70025" w:rsidRPr="00C70025" w:rsidRDefault="00C70025" w:rsidP="00C70025">
      <w:pPr>
        <w:numPr>
          <w:ilvl w:val="0"/>
          <w:numId w:val="1"/>
        </w:numPr>
        <w:spacing w:line="276" w:lineRule="auto"/>
        <w:rPr>
          <w:lang w:val="en-GB"/>
        </w:rPr>
      </w:pPr>
      <w:r w:rsidRPr="00C70025">
        <w:rPr>
          <w:lang w:val="en-GB"/>
        </w:rPr>
        <w:t xml:space="preserve">Sharpley, R. (2009). </w:t>
      </w:r>
      <w:r w:rsidRPr="00C70025">
        <w:rPr>
          <w:i/>
          <w:iCs/>
          <w:lang w:val="en-GB"/>
        </w:rPr>
        <w:t>Tourism development and the environment: Beyond sustainability?</w:t>
      </w:r>
      <w:r w:rsidRPr="00C70025">
        <w:rPr>
          <w:lang w:val="en-GB"/>
        </w:rPr>
        <w:t xml:space="preserve"> Earthscan.</w:t>
      </w:r>
    </w:p>
    <w:p w14:paraId="3ECDA3A2"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(1980). </w:t>
      </w:r>
      <w:r w:rsidRPr="00C70025">
        <w:rPr>
          <w:i/>
          <w:iCs/>
          <w:lang w:val="en-GB"/>
        </w:rPr>
        <w:t>Manila Declaration on World Tourism</w:t>
      </w:r>
      <w:r w:rsidRPr="00C70025">
        <w:rPr>
          <w:lang w:val="en-GB"/>
        </w:rPr>
        <w:t>. Madrid: UNWTO.</w:t>
      </w:r>
    </w:p>
    <w:p w14:paraId="720B5A76" w14:textId="77777777" w:rsidR="00C70025" w:rsidRPr="00C70025" w:rsidRDefault="00C70025" w:rsidP="00C70025">
      <w:pPr>
        <w:numPr>
          <w:ilvl w:val="0"/>
          <w:numId w:val="1"/>
        </w:numPr>
        <w:spacing w:line="276" w:lineRule="auto"/>
        <w:rPr>
          <w:lang w:val="en-GB"/>
        </w:rPr>
      </w:pPr>
      <w:r w:rsidRPr="00C70025">
        <w:rPr>
          <w:lang w:val="en-GB"/>
        </w:rPr>
        <w:t xml:space="preserve">United Nations World Tourism Organization (UNWTO). (2023). </w:t>
      </w:r>
      <w:r w:rsidRPr="00C70025">
        <w:rPr>
          <w:i/>
          <w:iCs/>
          <w:lang w:val="en-GB"/>
        </w:rPr>
        <w:t>Basic Texts of the World Tourism Organization</w:t>
      </w:r>
      <w:r w:rsidRPr="00C70025">
        <w:rPr>
          <w:lang w:val="en-GB"/>
        </w:rPr>
        <w:t>. Madrid: UNWTO.</w:t>
      </w:r>
    </w:p>
    <w:p w14:paraId="389A4E30" w14:textId="77777777" w:rsidR="00C70025" w:rsidRPr="00C70025" w:rsidRDefault="00C70025" w:rsidP="00C70025">
      <w:pPr>
        <w:numPr>
          <w:ilvl w:val="0"/>
          <w:numId w:val="1"/>
        </w:numPr>
        <w:spacing w:line="276" w:lineRule="auto"/>
        <w:rPr>
          <w:lang w:val="en-GB"/>
        </w:rPr>
      </w:pPr>
      <w:r w:rsidRPr="00C70025">
        <w:rPr>
          <w:lang w:val="en-GB"/>
        </w:rPr>
        <w:t xml:space="preserve">United Nations. (2022). </w:t>
      </w:r>
      <w:r w:rsidRPr="00C70025">
        <w:rPr>
          <w:i/>
          <w:iCs/>
          <w:lang w:val="en-GB"/>
        </w:rPr>
        <w:t>Global governance and the role of specialized agencies</w:t>
      </w:r>
      <w:r w:rsidRPr="00C70025">
        <w:rPr>
          <w:lang w:val="en-GB"/>
        </w:rPr>
        <w:t>. United Nations, New York.</w:t>
      </w:r>
    </w:p>
    <w:p w14:paraId="5829232A" w14:textId="77777777" w:rsidR="00C70025" w:rsidRPr="00903466" w:rsidRDefault="00C70025" w:rsidP="00EA737F">
      <w:pPr>
        <w:spacing w:line="276" w:lineRule="auto"/>
        <w:rPr>
          <w:lang w:val="en-US"/>
        </w:rPr>
      </w:pPr>
    </w:p>
    <w:sectPr w:rsidR="00C70025"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1A8445B-DC7F-4EDC-B490-59B4CF6ACD70}"/>
    <w:embedBold r:id="rId2" w:fontKey="{80397928-B4B6-4C8F-A36F-34B33296CD36}"/>
    <w:embedItalic r:id="rId3" w:fontKey="{4C0819C2-0A9A-45BA-A6CD-81F7C5FE4F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10BBCA6-58AD-4FC0-851F-68A167B9DEBB}"/>
  </w:font>
  <w:font w:name="Calibri Light">
    <w:panose1 w:val="020F0302020204030204"/>
    <w:charset w:val="00"/>
    <w:family w:val="swiss"/>
    <w:pitch w:val="variable"/>
    <w:sig w:usb0="E4002EFF" w:usb1="C000247B" w:usb2="00000009" w:usb3="00000000" w:csb0="000001FF" w:csb1="00000000"/>
    <w:embedRegular r:id="rId5" w:fontKey="{7C6C7978-141F-4694-955C-7C01A388297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25072"/>
    <w:rsid w:val="005E458B"/>
    <w:rsid w:val="00661030"/>
    <w:rsid w:val="00716E23"/>
    <w:rsid w:val="00844EC2"/>
    <w:rsid w:val="008516FE"/>
    <w:rsid w:val="00903466"/>
    <w:rsid w:val="009C1D0A"/>
    <w:rsid w:val="00A044F7"/>
    <w:rsid w:val="00A8150E"/>
    <w:rsid w:val="00B20343"/>
    <w:rsid w:val="00B85EA7"/>
    <w:rsid w:val="00BE65DD"/>
    <w:rsid w:val="00C21EBA"/>
    <w:rsid w:val="00C612A4"/>
    <w:rsid w:val="00C70025"/>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902</Words>
  <Characters>5147</Characters>
  <Application>Microsoft Office Word</Application>
  <DocSecurity>0</DocSecurity>
  <Lines>42</Lines>
  <Paragraphs>12</Paragraphs>
  <ScaleCrop>false</ScaleCrop>
  <Company/>
  <LinksUpToDate>false</LinksUpToDate>
  <CharactersWithSpaces>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2026-01-20T12:57:00Z</dcterms:created>
  <dcterms:modified xsi:type="dcterms:W3CDTF">2026-01-20T12:57:00Z</dcterms:modified>
</cp:coreProperties>
</file>