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212020731" w:displacedByCustomXml="next"/>
    <w:sdt>
      <w:sdtPr>
        <w:id w:val="1354766572"/>
        <w:docPartObj>
          <w:docPartGallery w:val="Cover Pages"/>
          <w:docPartUnique/>
        </w:docPartObj>
      </w:sdtPr>
      <w:sdtEndPr>
        <w:rPr>
          <w:rStyle w:val="Strong"/>
          <w:rFonts w:ascii="Times New Roman" w:hAnsi="Times New Roman" w:cs="Times New Roman"/>
          <w:b/>
          <w:bCs/>
          <w:sz w:val="24"/>
          <w:szCs w:val="24"/>
        </w:rPr>
      </w:sdtEndPr>
      <w:sdtContent>
        <w:p w14:paraId="449743DA" w14:textId="363AFE1C" w:rsidR="001223F9" w:rsidRDefault="001223F9">
          <w:r>
            <w:rPr>
              <w:noProof/>
            </w:rPr>
            <mc:AlternateContent>
              <mc:Choice Requires="wpg">
                <w:drawing>
                  <wp:anchor distT="0" distB="0" distL="114300" distR="114300" simplePos="0" relativeHeight="251662336" behindDoc="0" locked="0" layoutInCell="1" allowOverlap="1" wp14:anchorId="7A12D30A" wp14:editId="3F37267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3"/>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EF0BDA" id="Group 3"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CB5236" wp14:editId="301DB73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4"/>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39003" w14:textId="39A4A11E" w:rsidR="001223F9" w:rsidRDefault="001223F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CB5236" id="_x0000_t202" coordsize="21600,21600" o:spt="202" path="m,l,21600r21600,l21600,xe">
                    <v:stroke joinstyle="miter"/>
                    <v:path gradientshapeok="t" o:connecttype="rect"/>
                  </v:shapetype>
                  <v:shape id="Text Box 4"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3039003" w14:textId="39A4A11E" w:rsidR="001223F9" w:rsidRDefault="001223F9">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09708B" wp14:editId="282F88F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69B00BC" w14:textId="6F2945BE" w:rsidR="001223F9" w:rsidRDefault="001223F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09708B" id="Text Box 5"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69B00BC" w14:textId="6F2945BE" w:rsidR="001223F9" w:rsidRDefault="001223F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A42E9BF" w14:textId="7A1B4208" w:rsidR="001223F9" w:rsidRPr="00EA6149" w:rsidRDefault="00AF2FE6">
          <w:pPr>
            <w:rPr>
              <w:rStyle w:val="Strong"/>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42A67154" wp14:editId="0CEE3856">
                    <wp:simplePos x="0" y="0"/>
                    <wp:positionH relativeFrom="margin">
                      <wp:align>center</wp:align>
                    </wp:positionH>
                    <wp:positionV relativeFrom="page">
                      <wp:posOffset>1828800</wp:posOffset>
                    </wp:positionV>
                    <wp:extent cx="7414260" cy="3764280"/>
                    <wp:effectExtent l="0" t="0" r="0" b="7620"/>
                    <wp:wrapSquare wrapText="bothSides"/>
                    <wp:docPr id="154" name="Text Box 6"/>
                    <wp:cNvGraphicFramePr/>
                    <a:graphic xmlns:a="http://schemas.openxmlformats.org/drawingml/2006/main">
                      <a:graphicData uri="http://schemas.microsoft.com/office/word/2010/wordprocessingShape">
                        <wps:wsp>
                          <wps:cNvSpPr txBox="1"/>
                          <wps:spPr>
                            <a:xfrm>
                              <a:off x="0" y="0"/>
                              <a:ext cx="7414260" cy="3764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2048D" w14:textId="77777777" w:rsidR="00EA6149" w:rsidRDefault="00EA6149" w:rsidP="00285CAB">
                                <w:pPr>
                                  <w:rPr>
                                    <w:caps/>
                                    <w:color w:val="4472C4" w:themeColor="accent1"/>
                                    <w:sz w:val="44"/>
                                    <w:szCs w:val="44"/>
                                  </w:rPr>
                                </w:pPr>
                                <w:r>
                                  <w:rPr>
                                    <w:noProof/>
                                  </w:rPr>
                                  <w:drawing>
                                    <wp:inline distT="0" distB="0" distL="0" distR="0" wp14:anchorId="3E4505EA" wp14:editId="7900B686">
                                      <wp:extent cx="4580952" cy="809524"/>
                                      <wp:effectExtent l="0" t="0" r="0" b="0"/>
                                      <wp:docPr id="1167960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0958" name=""/>
                                              <pic:cNvPicPr/>
                                            </pic:nvPicPr>
                                            <pic:blipFill>
                                              <a:blip r:embed="rId8"/>
                                              <a:stretch>
                                                <a:fillRect/>
                                              </a:stretch>
                                            </pic:blipFill>
                                            <pic:spPr>
                                              <a:xfrm>
                                                <a:off x="0" y="0"/>
                                                <a:ext cx="4580952" cy="809524"/>
                                              </a:xfrm>
                                              <a:prstGeom prst="rect">
                                                <a:avLst/>
                                              </a:prstGeom>
                                            </pic:spPr>
                                          </pic:pic>
                                        </a:graphicData>
                                      </a:graphic>
                                    </wp:inline>
                                  </w:drawing>
                                </w:r>
                              </w:p>
                              <w:p w14:paraId="6DC35C22" w14:textId="77777777" w:rsidR="00EA6149" w:rsidRDefault="00EA6149" w:rsidP="00285CAB">
                                <w:pPr>
                                  <w:rPr>
                                    <w:caps/>
                                    <w:color w:val="4472C4" w:themeColor="accent1"/>
                                    <w:sz w:val="44"/>
                                    <w:szCs w:val="44"/>
                                  </w:rPr>
                                </w:pPr>
                              </w:p>
                              <w:p w14:paraId="28ABE5ED" w14:textId="77777777" w:rsidR="00EA6149" w:rsidRDefault="00EA6149" w:rsidP="00285CAB">
                                <w:pPr>
                                  <w:rPr>
                                    <w:caps/>
                                    <w:color w:val="4472C4" w:themeColor="accent1"/>
                                    <w:sz w:val="44"/>
                                    <w:szCs w:val="44"/>
                                  </w:rPr>
                                </w:pPr>
                              </w:p>
                              <w:p w14:paraId="1BB74B55" w14:textId="47B02023" w:rsidR="001223F9" w:rsidRDefault="00285CAB" w:rsidP="00285CAB">
                                <w:pPr>
                                  <w:rPr>
                                    <w:color w:val="404040" w:themeColor="text1" w:themeTint="BF"/>
                                  </w:rPr>
                                </w:pPr>
                                <w:r w:rsidRPr="00285CAB">
                                  <w:rPr>
                                    <w:caps/>
                                    <w:color w:val="4472C4" w:themeColor="accent1"/>
                                    <w:sz w:val="44"/>
                                    <w:szCs w:val="44"/>
                                  </w:rPr>
                                  <w:t xml:space="preserve">Title: </w:t>
                                </w:r>
                                <w:r w:rsidR="00AF2FE6" w:rsidRPr="00285CAB">
                                  <w:rPr>
                                    <w:caps/>
                                    <w:color w:val="4472C4" w:themeColor="accent1"/>
                                    <w:sz w:val="44"/>
                                    <w:szCs w:val="44"/>
                                  </w:rPr>
                                  <w:t>Quality and Sustainability in Tourism and Hospitality</w:t>
                                </w:r>
                                <w:sdt>
                                  <w:sdtPr>
                                    <w:rPr>
                                      <w:color w:val="404040" w:themeColor="text1" w:themeTint="BF"/>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AF2FE6" w:rsidRPr="00285CAB">
                                      <w:rPr>
                                        <w:color w:val="404040" w:themeColor="text1" w:themeTint="BF"/>
                                      </w:rPr>
                                      <w:t xml:space="preserve">     </w:t>
                                    </w:r>
                                  </w:sdtContent>
                                </w:sdt>
                              </w:p>
                              <w:p w14:paraId="4ACDC272" w14:textId="7CC42123" w:rsidR="00EA6149" w:rsidRPr="001C3ABD" w:rsidRDefault="00EA6149" w:rsidP="00285CAB">
                                <w:pPr>
                                  <w:rPr>
                                    <w:b/>
                                    <w:bCs/>
                                    <w:color w:val="404040" w:themeColor="text1" w:themeTint="BF"/>
                                  </w:rPr>
                                </w:pPr>
                              </w:p>
                              <w:p w14:paraId="3DBEEA5F" w14:textId="77777777" w:rsidR="00EF508F" w:rsidRPr="001C3ABD" w:rsidRDefault="00EA6149" w:rsidP="00285CAB">
                                <w:pPr>
                                  <w:rPr>
                                    <w:b/>
                                    <w:bCs/>
                                    <w:color w:val="404040" w:themeColor="text1" w:themeTint="BF"/>
                                    <w:sz w:val="28"/>
                                    <w:szCs w:val="28"/>
                                  </w:rPr>
                                </w:pPr>
                                <w:r w:rsidRPr="001C3ABD">
                                  <w:rPr>
                                    <w:b/>
                                    <w:bCs/>
                                    <w:color w:val="404040" w:themeColor="text1" w:themeTint="BF"/>
                                    <w:sz w:val="28"/>
                                    <w:szCs w:val="28"/>
                                  </w:rPr>
                                  <w:t xml:space="preserve">Name: </w:t>
                                </w:r>
                                <w:r w:rsidR="001F19DC" w:rsidRPr="001C3ABD">
                                  <w:rPr>
                                    <w:b/>
                                    <w:bCs/>
                                    <w:color w:val="404040" w:themeColor="text1" w:themeTint="BF"/>
                                    <w:sz w:val="28"/>
                                    <w:szCs w:val="28"/>
                                  </w:rPr>
                                  <w:t xml:space="preserve"> </w:t>
                                </w:r>
                                <w:r w:rsidR="00EF508F" w:rsidRPr="001C3ABD">
                                  <w:rPr>
                                    <w:b/>
                                    <w:bCs/>
                                    <w:color w:val="404040" w:themeColor="text1" w:themeTint="BF"/>
                                    <w:sz w:val="28"/>
                                    <w:szCs w:val="28"/>
                                  </w:rPr>
                                  <w:t xml:space="preserve">Shubham </w:t>
                                </w:r>
                                <w:proofErr w:type="spellStart"/>
                                <w:r w:rsidR="00EF508F" w:rsidRPr="001C3ABD">
                                  <w:rPr>
                                    <w:b/>
                                    <w:bCs/>
                                    <w:color w:val="404040" w:themeColor="text1" w:themeTint="BF"/>
                                    <w:sz w:val="28"/>
                                    <w:szCs w:val="28"/>
                                  </w:rPr>
                                  <w:t>Shubham</w:t>
                                </w:r>
                                <w:proofErr w:type="spellEnd"/>
                              </w:p>
                              <w:p w14:paraId="0B382957" w14:textId="2FE3633C" w:rsidR="00EA6149" w:rsidRDefault="00EF508F" w:rsidP="00285CAB">
                                <w:pPr>
                                  <w:rPr>
                                    <w:color w:val="404040" w:themeColor="text1" w:themeTint="BF"/>
                                  </w:rPr>
                                </w:pPr>
                                <w:r w:rsidRPr="001C3ABD">
                                  <w:rPr>
                                    <w:b/>
                                    <w:bCs/>
                                    <w:color w:val="404040" w:themeColor="text1" w:themeTint="BF"/>
                                    <w:sz w:val="28"/>
                                    <w:szCs w:val="28"/>
                                  </w:rPr>
                                  <w:t xml:space="preserve">Course: </w:t>
                                </w:r>
                                <w:r w:rsidR="00C27ABE" w:rsidRPr="001C3ABD">
                                  <w:rPr>
                                    <w:b/>
                                    <w:bCs/>
                                    <w:color w:val="404040" w:themeColor="text1" w:themeTint="BF"/>
                                    <w:sz w:val="28"/>
                                    <w:szCs w:val="28"/>
                                  </w:rPr>
                                  <w:t>Master's in Tourism and Recreation</w:t>
                                </w:r>
                                <w:r w:rsidR="00C27ABE" w:rsidRPr="001C3ABD">
                                  <w:rPr>
                                    <w:b/>
                                    <w:bCs/>
                                    <w:color w:val="404040" w:themeColor="text1" w:themeTint="BF"/>
                                    <w:sz w:val="28"/>
                                    <w:szCs w:val="28"/>
                                  </w:rPr>
                                  <w:br/>
                                  <w:t>Submission Date : 2</w:t>
                                </w:r>
                                <w:r w:rsidR="001C3ABD" w:rsidRPr="001C3ABD">
                                  <w:rPr>
                                    <w:b/>
                                    <w:bCs/>
                                    <w:color w:val="404040" w:themeColor="text1" w:themeTint="BF"/>
                                    <w:sz w:val="28"/>
                                    <w:szCs w:val="28"/>
                                  </w:rPr>
                                  <w:t>2</w:t>
                                </w:r>
                                <w:r w:rsidR="001C3ABD" w:rsidRPr="001C3ABD">
                                  <w:rPr>
                                    <w:b/>
                                    <w:bCs/>
                                    <w:color w:val="404040" w:themeColor="text1" w:themeTint="BF"/>
                                    <w:sz w:val="28"/>
                                    <w:szCs w:val="28"/>
                                    <w:vertAlign w:val="superscript"/>
                                  </w:rPr>
                                  <w:t>nd</w:t>
                                </w:r>
                                <w:r w:rsidR="001C3ABD" w:rsidRPr="001C3ABD">
                                  <w:rPr>
                                    <w:b/>
                                    <w:bCs/>
                                    <w:color w:val="404040" w:themeColor="text1" w:themeTint="BF"/>
                                    <w:sz w:val="28"/>
                                    <w:szCs w:val="28"/>
                                  </w:rPr>
                                  <w:t xml:space="preserve"> October, 2025</w:t>
                                </w:r>
                                <w:r>
                                  <w:rPr>
                                    <w:color w:val="404040" w:themeColor="text1" w:themeTint="BF"/>
                                  </w:rPr>
                                  <w:br/>
                                </w:r>
                              </w:p>
                              <w:p w14:paraId="73D3E2BF" w14:textId="77777777" w:rsidR="00EF508F" w:rsidRPr="00285CAB" w:rsidRDefault="00EF508F" w:rsidP="00285CAB">
                                <w:pPr>
                                  <w:rPr>
                                    <w:smallCaps/>
                                    <w:color w:val="404040" w:themeColor="text1" w:themeTint="BF"/>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A67154" id="Text Box 6" o:spid="_x0000_s1028" type="#_x0000_t202" style="position:absolute;margin-left:0;margin-top:2in;width:583.8pt;height:296.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" filled="f" stroked="f" strokeweight=".5pt">
                    <v:textbox inset="126pt,0,54pt,0">
                      <w:txbxContent>
                        <w:p w14:paraId="74C2048D" w14:textId="77777777" w:rsidR="00EA6149" w:rsidRDefault="00EA6149" w:rsidP="00285CAB">
                          <w:pPr>
                            <w:rPr>
                              <w:caps/>
                              <w:color w:val="4472C4" w:themeColor="accent1"/>
                              <w:sz w:val="44"/>
                              <w:szCs w:val="44"/>
                            </w:rPr>
                          </w:pPr>
                          <w:r>
                            <w:rPr>
                              <w:noProof/>
                            </w:rPr>
                            <w:drawing>
                              <wp:inline distT="0" distB="0" distL="0" distR="0" wp14:anchorId="3E4505EA" wp14:editId="7900B686">
                                <wp:extent cx="4580952" cy="809524"/>
                                <wp:effectExtent l="0" t="0" r="0" b="0"/>
                                <wp:docPr id="1167960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0958" name=""/>
                                        <pic:cNvPicPr/>
                                      </pic:nvPicPr>
                                      <pic:blipFill>
                                        <a:blip r:embed="rId8"/>
                                        <a:stretch>
                                          <a:fillRect/>
                                        </a:stretch>
                                      </pic:blipFill>
                                      <pic:spPr>
                                        <a:xfrm>
                                          <a:off x="0" y="0"/>
                                          <a:ext cx="4580952" cy="809524"/>
                                        </a:xfrm>
                                        <a:prstGeom prst="rect">
                                          <a:avLst/>
                                        </a:prstGeom>
                                      </pic:spPr>
                                    </pic:pic>
                                  </a:graphicData>
                                </a:graphic>
                              </wp:inline>
                            </w:drawing>
                          </w:r>
                        </w:p>
                        <w:p w14:paraId="6DC35C22" w14:textId="77777777" w:rsidR="00EA6149" w:rsidRDefault="00EA6149" w:rsidP="00285CAB">
                          <w:pPr>
                            <w:rPr>
                              <w:caps/>
                              <w:color w:val="4472C4" w:themeColor="accent1"/>
                              <w:sz w:val="44"/>
                              <w:szCs w:val="44"/>
                            </w:rPr>
                          </w:pPr>
                        </w:p>
                        <w:p w14:paraId="28ABE5ED" w14:textId="77777777" w:rsidR="00EA6149" w:rsidRDefault="00EA6149" w:rsidP="00285CAB">
                          <w:pPr>
                            <w:rPr>
                              <w:caps/>
                              <w:color w:val="4472C4" w:themeColor="accent1"/>
                              <w:sz w:val="44"/>
                              <w:szCs w:val="44"/>
                            </w:rPr>
                          </w:pPr>
                        </w:p>
                        <w:p w14:paraId="1BB74B55" w14:textId="47B02023" w:rsidR="001223F9" w:rsidRDefault="00285CAB" w:rsidP="00285CAB">
                          <w:pPr>
                            <w:rPr>
                              <w:color w:val="404040" w:themeColor="text1" w:themeTint="BF"/>
                            </w:rPr>
                          </w:pPr>
                          <w:r w:rsidRPr="00285CAB">
                            <w:rPr>
                              <w:caps/>
                              <w:color w:val="4472C4" w:themeColor="accent1"/>
                              <w:sz w:val="44"/>
                              <w:szCs w:val="44"/>
                            </w:rPr>
                            <w:t xml:space="preserve">Title: </w:t>
                          </w:r>
                          <w:r w:rsidR="00AF2FE6" w:rsidRPr="00285CAB">
                            <w:rPr>
                              <w:caps/>
                              <w:color w:val="4472C4" w:themeColor="accent1"/>
                              <w:sz w:val="44"/>
                              <w:szCs w:val="44"/>
                            </w:rPr>
                            <w:t>Quality and Sustainability in Tourism and Hospitality</w:t>
                          </w:r>
                          <w:sdt>
                            <w:sdtPr>
                              <w:rPr>
                                <w:color w:val="404040" w:themeColor="text1" w:themeTint="BF"/>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AF2FE6" w:rsidRPr="00285CAB">
                                <w:rPr>
                                  <w:color w:val="404040" w:themeColor="text1" w:themeTint="BF"/>
                                </w:rPr>
                                <w:t xml:space="preserve">     </w:t>
                              </w:r>
                            </w:sdtContent>
                          </w:sdt>
                        </w:p>
                        <w:p w14:paraId="4ACDC272" w14:textId="7CC42123" w:rsidR="00EA6149" w:rsidRPr="001C3ABD" w:rsidRDefault="00EA6149" w:rsidP="00285CAB">
                          <w:pPr>
                            <w:rPr>
                              <w:b/>
                              <w:bCs/>
                              <w:color w:val="404040" w:themeColor="text1" w:themeTint="BF"/>
                            </w:rPr>
                          </w:pPr>
                        </w:p>
                        <w:p w14:paraId="3DBEEA5F" w14:textId="77777777" w:rsidR="00EF508F" w:rsidRPr="001C3ABD" w:rsidRDefault="00EA6149" w:rsidP="00285CAB">
                          <w:pPr>
                            <w:rPr>
                              <w:b/>
                              <w:bCs/>
                              <w:color w:val="404040" w:themeColor="text1" w:themeTint="BF"/>
                              <w:sz w:val="28"/>
                              <w:szCs w:val="28"/>
                            </w:rPr>
                          </w:pPr>
                          <w:r w:rsidRPr="001C3ABD">
                            <w:rPr>
                              <w:b/>
                              <w:bCs/>
                              <w:color w:val="404040" w:themeColor="text1" w:themeTint="BF"/>
                              <w:sz w:val="28"/>
                              <w:szCs w:val="28"/>
                            </w:rPr>
                            <w:t xml:space="preserve">Name: </w:t>
                          </w:r>
                          <w:r w:rsidR="001F19DC" w:rsidRPr="001C3ABD">
                            <w:rPr>
                              <w:b/>
                              <w:bCs/>
                              <w:color w:val="404040" w:themeColor="text1" w:themeTint="BF"/>
                              <w:sz w:val="28"/>
                              <w:szCs w:val="28"/>
                            </w:rPr>
                            <w:t xml:space="preserve"> </w:t>
                          </w:r>
                          <w:r w:rsidR="00EF508F" w:rsidRPr="001C3ABD">
                            <w:rPr>
                              <w:b/>
                              <w:bCs/>
                              <w:color w:val="404040" w:themeColor="text1" w:themeTint="BF"/>
                              <w:sz w:val="28"/>
                              <w:szCs w:val="28"/>
                            </w:rPr>
                            <w:t xml:space="preserve">Shubham </w:t>
                          </w:r>
                          <w:proofErr w:type="spellStart"/>
                          <w:r w:rsidR="00EF508F" w:rsidRPr="001C3ABD">
                            <w:rPr>
                              <w:b/>
                              <w:bCs/>
                              <w:color w:val="404040" w:themeColor="text1" w:themeTint="BF"/>
                              <w:sz w:val="28"/>
                              <w:szCs w:val="28"/>
                            </w:rPr>
                            <w:t>Shubham</w:t>
                          </w:r>
                          <w:proofErr w:type="spellEnd"/>
                        </w:p>
                        <w:p w14:paraId="0B382957" w14:textId="2FE3633C" w:rsidR="00EA6149" w:rsidRDefault="00EF508F" w:rsidP="00285CAB">
                          <w:pPr>
                            <w:rPr>
                              <w:color w:val="404040" w:themeColor="text1" w:themeTint="BF"/>
                            </w:rPr>
                          </w:pPr>
                          <w:r w:rsidRPr="001C3ABD">
                            <w:rPr>
                              <w:b/>
                              <w:bCs/>
                              <w:color w:val="404040" w:themeColor="text1" w:themeTint="BF"/>
                              <w:sz w:val="28"/>
                              <w:szCs w:val="28"/>
                            </w:rPr>
                            <w:t xml:space="preserve">Course: </w:t>
                          </w:r>
                          <w:r w:rsidR="00C27ABE" w:rsidRPr="001C3ABD">
                            <w:rPr>
                              <w:b/>
                              <w:bCs/>
                              <w:color w:val="404040" w:themeColor="text1" w:themeTint="BF"/>
                              <w:sz w:val="28"/>
                              <w:szCs w:val="28"/>
                            </w:rPr>
                            <w:t>Master's in Tourism and Recreation</w:t>
                          </w:r>
                          <w:r w:rsidR="00C27ABE" w:rsidRPr="001C3ABD">
                            <w:rPr>
                              <w:b/>
                              <w:bCs/>
                              <w:color w:val="404040" w:themeColor="text1" w:themeTint="BF"/>
                              <w:sz w:val="28"/>
                              <w:szCs w:val="28"/>
                            </w:rPr>
                            <w:br/>
                            <w:t>Submission Date : 2</w:t>
                          </w:r>
                          <w:r w:rsidR="001C3ABD" w:rsidRPr="001C3ABD">
                            <w:rPr>
                              <w:b/>
                              <w:bCs/>
                              <w:color w:val="404040" w:themeColor="text1" w:themeTint="BF"/>
                              <w:sz w:val="28"/>
                              <w:szCs w:val="28"/>
                            </w:rPr>
                            <w:t>2</w:t>
                          </w:r>
                          <w:r w:rsidR="001C3ABD" w:rsidRPr="001C3ABD">
                            <w:rPr>
                              <w:b/>
                              <w:bCs/>
                              <w:color w:val="404040" w:themeColor="text1" w:themeTint="BF"/>
                              <w:sz w:val="28"/>
                              <w:szCs w:val="28"/>
                              <w:vertAlign w:val="superscript"/>
                            </w:rPr>
                            <w:t>nd</w:t>
                          </w:r>
                          <w:r w:rsidR="001C3ABD" w:rsidRPr="001C3ABD">
                            <w:rPr>
                              <w:b/>
                              <w:bCs/>
                              <w:color w:val="404040" w:themeColor="text1" w:themeTint="BF"/>
                              <w:sz w:val="28"/>
                              <w:szCs w:val="28"/>
                            </w:rPr>
                            <w:t xml:space="preserve"> October, 2025</w:t>
                          </w:r>
                          <w:r>
                            <w:rPr>
                              <w:color w:val="404040" w:themeColor="text1" w:themeTint="BF"/>
                            </w:rPr>
                            <w:br/>
                          </w:r>
                        </w:p>
                        <w:p w14:paraId="73D3E2BF" w14:textId="77777777" w:rsidR="00EF508F" w:rsidRPr="00285CAB" w:rsidRDefault="00EF508F" w:rsidP="00285CAB">
                          <w:pPr>
                            <w:rPr>
                              <w:smallCaps/>
                              <w:color w:val="404040" w:themeColor="text1" w:themeTint="BF"/>
                            </w:rPr>
                          </w:pPr>
                        </w:p>
                      </w:txbxContent>
                    </v:textbox>
                    <w10:wrap type="square" anchorx="margin" anchory="page"/>
                  </v:shape>
                </w:pict>
              </mc:Fallback>
            </mc:AlternateContent>
          </w:r>
          <w:r w:rsidR="001223F9">
            <w:rPr>
              <w:rStyle w:val="Strong"/>
              <w:rFonts w:ascii="Times New Roman" w:hAnsi="Times New Roman" w:cs="Times New Roman"/>
              <w:sz w:val="24"/>
              <w:szCs w:val="24"/>
            </w:rPr>
            <w:br w:type="page"/>
          </w:r>
        </w:p>
      </w:sdtContent>
    </w:sdt>
    <w:p w14:paraId="723FD298" w14:textId="03E31901" w:rsidR="0074529D" w:rsidRPr="00B6504B" w:rsidRDefault="0074529D" w:rsidP="00B6504B">
      <w:pPr>
        <w:pStyle w:val="Heading1"/>
        <w:spacing w:line="480" w:lineRule="auto"/>
        <w:rPr>
          <w:rStyle w:val="Strong"/>
          <w:rFonts w:ascii="Times New Roman" w:hAnsi="Times New Roman" w:cs="Times New Roman"/>
          <w:sz w:val="24"/>
          <w:szCs w:val="24"/>
        </w:rPr>
      </w:pPr>
      <w:r w:rsidRPr="00B6504B">
        <w:rPr>
          <w:rStyle w:val="Strong"/>
          <w:rFonts w:ascii="Times New Roman" w:hAnsi="Times New Roman" w:cs="Times New Roman"/>
          <w:sz w:val="24"/>
          <w:szCs w:val="24"/>
        </w:rPr>
        <w:lastRenderedPageBreak/>
        <w:t>Abstract</w:t>
      </w:r>
      <w:bookmarkEnd w:id="0"/>
    </w:p>
    <w:p w14:paraId="157EF8D9" w14:textId="6A922724" w:rsidR="007D7C92"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concentrated environmental, social, and economic effects of mega tourism events require stringent systems, clear reporting and operational remedies that ensure the achievement of net-positive effects and long-term legacies to host cities and communities. In the present paper, a sustainable event management framework based on the event sustainability management system (ESMS) of ISO 20121:2024 and the GRI Event Organizers Sector Supplement (EOSS) is suggested and its goal is to harmonize governance, materiality, target setting, lifecycle controls, key performance indicators (KPI), audit, and disclosure processes throughout the bid-to-legacy spectrum. The examples used are the use of 95 percent existing and temporary facilities by the Paris 2024 Olympics and a 50 percent footprint reduction strategy and comprehensive carbon accounting, and that the significant project on the use of the ISO 20121 standard as a precursor to scaling, as well as learning in the sector by the London 2012 Olympics, hence evidence-based programs can be found on the connections between scale impact reductions and stakeholder confidence. The framework combines the environmental, social and economic </w:t>
      </w:r>
      <w:proofErr w:type="spellStart"/>
      <w:r w:rsidRPr="00B6504B">
        <w:rPr>
          <w:rFonts w:ascii="Times New Roman" w:hAnsi="Times New Roman" w:cs="Times New Roman"/>
          <w:sz w:val="24"/>
          <w:szCs w:val="24"/>
        </w:rPr>
        <w:t>programmes</w:t>
      </w:r>
      <w:proofErr w:type="spellEnd"/>
      <w:r w:rsidRPr="00B6504B">
        <w:rPr>
          <w:rFonts w:ascii="Times New Roman" w:hAnsi="Times New Roman" w:cs="Times New Roman"/>
          <w:sz w:val="24"/>
          <w:szCs w:val="24"/>
        </w:rPr>
        <w:t xml:space="preserve"> with the continuous improvement and sector specific reporting to match the strategy, quality assurance and stakeholder expectations.</w:t>
      </w:r>
    </w:p>
    <w:p w14:paraId="03F48665" w14:textId="77777777" w:rsidR="007D7C92" w:rsidRDefault="007D7C92">
      <w:pPr>
        <w:rPr>
          <w:rFonts w:ascii="Times New Roman" w:hAnsi="Times New Roman" w:cs="Times New Roman"/>
          <w:sz w:val="24"/>
          <w:szCs w:val="24"/>
        </w:rPr>
      </w:pPr>
      <w:r>
        <w:rPr>
          <w:rFonts w:ascii="Times New Roman" w:hAnsi="Times New Roman" w:cs="Times New Roman"/>
          <w:sz w:val="24"/>
          <w:szCs w:val="24"/>
        </w:rPr>
        <w:br w:type="page"/>
      </w:r>
    </w:p>
    <w:p w14:paraId="7AC4CA4F" w14:textId="77777777" w:rsidR="0074529D" w:rsidRDefault="0074529D" w:rsidP="00B6504B">
      <w:pPr>
        <w:spacing w:line="480" w:lineRule="auto"/>
        <w:rPr>
          <w:rFonts w:ascii="Times New Roman" w:hAnsi="Times New Roman" w:cs="Times New Roman"/>
          <w:sz w:val="24"/>
          <w:szCs w:val="24"/>
        </w:rPr>
      </w:pPr>
    </w:p>
    <w:sdt>
      <w:sdtPr>
        <w:id w:val="19049485"/>
        <w:docPartObj>
          <w:docPartGallery w:val="Table of Contents"/>
          <w:docPartUnique/>
        </w:docPartObj>
      </w:sdtPr>
      <w:sdtEndPr>
        <w:rPr>
          <w:rFonts w:asciiTheme="minorHAnsi" w:eastAsiaTheme="minorEastAsia" w:hAnsiTheme="minorHAnsi" w:cstheme="minorBidi"/>
          <w:b/>
          <w:bCs/>
          <w:noProof/>
          <w:color w:val="auto"/>
          <w:sz w:val="22"/>
          <w:szCs w:val="22"/>
          <w:lang w:eastAsia="zh-CN"/>
        </w:rPr>
      </w:sdtEndPr>
      <w:sdtContent>
        <w:p w14:paraId="6E84F059" w14:textId="31C7ABD9" w:rsidR="007D7C92" w:rsidRDefault="007D7C92">
          <w:pPr>
            <w:pStyle w:val="TOCHeading"/>
          </w:pPr>
          <w:r>
            <w:t>Table of Content</w:t>
          </w:r>
        </w:p>
        <w:p w14:paraId="54186325" w14:textId="77777777" w:rsidR="007D7C92" w:rsidRPr="007D7C92" w:rsidRDefault="007D7C92" w:rsidP="007D7C92">
          <w:pPr>
            <w:rPr>
              <w:lang w:eastAsia="en-US"/>
            </w:rPr>
          </w:pPr>
        </w:p>
        <w:p w14:paraId="781FD15C" w14:textId="135801AC" w:rsidR="007D7C92" w:rsidRDefault="007D7C92">
          <w:pPr>
            <w:pStyle w:val="TOC1"/>
            <w:tabs>
              <w:tab w:val="right" w:leader="dot" w:pos="9350"/>
            </w:tabs>
            <w:rPr>
              <w:noProof/>
            </w:rPr>
          </w:pPr>
          <w:r>
            <w:fldChar w:fldCharType="begin"/>
          </w:r>
          <w:r>
            <w:instrText xml:space="preserve"> TOC \o "1-3" \h \z \u </w:instrText>
          </w:r>
          <w:r>
            <w:fldChar w:fldCharType="separate"/>
          </w:r>
          <w:hyperlink w:anchor="_Toc212020731" w:history="1">
            <w:r w:rsidRPr="00DE6652">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_Toc212020731 \h </w:instrText>
            </w:r>
            <w:r>
              <w:rPr>
                <w:noProof/>
                <w:webHidden/>
              </w:rPr>
            </w:r>
            <w:r>
              <w:rPr>
                <w:noProof/>
                <w:webHidden/>
              </w:rPr>
              <w:fldChar w:fldCharType="separate"/>
            </w:r>
            <w:r>
              <w:rPr>
                <w:noProof/>
                <w:webHidden/>
              </w:rPr>
              <w:t>1</w:t>
            </w:r>
            <w:r>
              <w:rPr>
                <w:noProof/>
                <w:webHidden/>
              </w:rPr>
              <w:fldChar w:fldCharType="end"/>
            </w:r>
          </w:hyperlink>
        </w:p>
        <w:p w14:paraId="77AFA0F8" w14:textId="12DA2B04" w:rsidR="007D7C92" w:rsidRPr="007D7C92" w:rsidRDefault="007D7C92">
          <w:pPr>
            <w:pStyle w:val="TOC1"/>
            <w:tabs>
              <w:tab w:val="right" w:leader="dot" w:pos="9350"/>
            </w:tabs>
            <w:rPr>
              <w:noProof/>
              <w:sz w:val="24"/>
              <w:szCs w:val="24"/>
            </w:rPr>
          </w:pPr>
          <w:hyperlink w:anchor="_Toc212020732" w:history="1">
            <w:r w:rsidRPr="007D7C92">
              <w:rPr>
                <w:rStyle w:val="Hyperlink"/>
                <w:rFonts w:ascii="Times New Roman" w:hAnsi="Times New Roman" w:cs="Times New Roman"/>
                <w:b/>
                <w:bCs/>
                <w:noProof/>
                <w:sz w:val="24"/>
                <w:szCs w:val="24"/>
              </w:rPr>
              <w:t>Introduction</w:t>
            </w:r>
            <w:r w:rsidRPr="007D7C92">
              <w:rPr>
                <w:noProof/>
                <w:webHidden/>
                <w:sz w:val="24"/>
                <w:szCs w:val="24"/>
              </w:rPr>
              <w:tab/>
            </w:r>
            <w:r w:rsidRPr="007D7C92">
              <w:rPr>
                <w:noProof/>
                <w:webHidden/>
                <w:sz w:val="24"/>
                <w:szCs w:val="24"/>
              </w:rPr>
              <w:fldChar w:fldCharType="begin"/>
            </w:r>
            <w:r w:rsidRPr="007D7C92">
              <w:rPr>
                <w:noProof/>
                <w:webHidden/>
                <w:sz w:val="24"/>
                <w:szCs w:val="24"/>
              </w:rPr>
              <w:instrText xml:space="preserve"> PAGEREF _Toc212020732 \h </w:instrText>
            </w:r>
            <w:r w:rsidRPr="007D7C92">
              <w:rPr>
                <w:noProof/>
                <w:webHidden/>
                <w:sz w:val="24"/>
                <w:szCs w:val="24"/>
              </w:rPr>
            </w:r>
            <w:r w:rsidRPr="007D7C92">
              <w:rPr>
                <w:noProof/>
                <w:webHidden/>
                <w:sz w:val="24"/>
                <w:szCs w:val="24"/>
              </w:rPr>
              <w:fldChar w:fldCharType="separate"/>
            </w:r>
            <w:r w:rsidRPr="007D7C92">
              <w:rPr>
                <w:noProof/>
                <w:webHidden/>
                <w:sz w:val="24"/>
                <w:szCs w:val="24"/>
              </w:rPr>
              <w:t>2</w:t>
            </w:r>
            <w:r w:rsidRPr="007D7C92">
              <w:rPr>
                <w:noProof/>
                <w:webHidden/>
                <w:sz w:val="24"/>
                <w:szCs w:val="24"/>
              </w:rPr>
              <w:fldChar w:fldCharType="end"/>
            </w:r>
          </w:hyperlink>
        </w:p>
        <w:p w14:paraId="27BF2F53" w14:textId="2DB0B89D" w:rsidR="007D7C92" w:rsidRPr="007D7C92" w:rsidRDefault="007D7C92">
          <w:pPr>
            <w:pStyle w:val="TOC1"/>
            <w:tabs>
              <w:tab w:val="right" w:leader="dot" w:pos="9350"/>
            </w:tabs>
            <w:rPr>
              <w:noProof/>
              <w:sz w:val="24"/>
              <w:szCs w:val="24"/>
            </w:rPr>
          </w:pPr>
          <w:hyperlink w:anchor="_Toc212020733" w:history="1">
            <w:r w:rsidRPr="007D7C92">
              <w:rPr>
                <w:rStyle w:val="Hyperlink"/>
                <w:rFonts w:ascii="Times New Roman" w:hAnsi="Times New Roman" w:cs="Times New Roman"/>
                <w:b/>
                <w:bCs/>
                <w:noProof/>
                <w:sz w:val="24"/>
                <w:szCs w:val="24"/>
              </w:rPr>
              <w:t>Literature review</w:t>
            </w:r>
            <w:r w:rsidRPr="007D7C92">
              <w:rPr>
                <w:noProof/>
                <w:webHidden/>
                <w:sz w:val="24"/>
                <w:szCs w:val="24"/>
              </w:rPr>
              <w:tab/>
            </w:r>
            <w:r w:rsidRPr="007D7C92">
              <w:rPr>
                <w:noProof/>
                <w:webHidden/>
                <w:sz w:val="24"/>
                <w:szCs w:val="24"/>
              </w:rPr>
              <w:fldChar w:fldCharType="begin"/>
            </w:r>
            <w:r w:rsidRPr="007D7C92">
              <w:rPr>
                <w:noProof/>
                <w:webHidden/>
                <w:sz w:val="24"/>
                <w:szCs w:val="24"/>
              </w:rPr>
              <w:instrText xml:space="preserve"> PAGEREF _Toc212020733 \h </w:instrText>
            </w:r>
            <w:r w:rsidRPr="007D7C92">
              <w:rPr>
                <w:noProof/>
                <w:webHidden/>
                <w:sz w:val="24"/>
                <w:szCs w:val="24"/>
              </w:rPr>
            </w:r>
            <w:r w:rsidRPr="007D7C92">
              <w:rPr>
                <w:noProof/>
                <w:webHidden/>
                <w:sz w:val="24"/>
                <w:szCs w:val="24"/>
              </w:rPr>
              <w:fldChar w:fldCharType="separate"/>
            </w:r>
            <w:r w:rsidRPr="007D7C92">
              <w:rPr>
                <w:noProof/>
                <w:webHidden/>
                <w:sz w:val="24"/>
                <w:szCs w:val="24"/>
              </w:rPr>
              <w:t>3</w:t>
            </w:r>
            <w:r w:rsidRPr="007D7C92">
              <w:rPr>
                <w:noProof/>
                <w:webHidden/>
                <w:sz w:val="24"/>
                <w:szCs w:val="24"/>
              </w:rPr>
              <w:fldChar w:fldCharType="end"/>
            </w:r>
          </w:hyperlink>
        </w:p>
        <w:p w14:paraId="6C8745E9" w14:textId="796A5726" w:rsidR="007D7C92" w:rsidRDefault="007D7C92">
          <w:pPr>
            <w:pStyle w:val="TOC1"/>
            <w:tabs>
              <w:tab w:val="right" w:leader="dot" w:pos="9350"/>
            </w:tabs>
            <w:rPr>
              <w:noProof/>
            </w:rPr>
          </w:pPr>
          <w:hyperlink w:anchor="_Toc212020734" w:history="1">
            <w:r w:rsidRPr="00DE6652">
              <w:rPr>
                <w:rStyle w:val="Hyperlink"/>
                <w:rFonts w:ascii="Times New Roman" w:hAnsi="Times New Roman" w:cs="Times New Roman"/>
                <w:b/>
                <w:bCs/>
                <w:noProof/>
              </w:rPr>
              <w:t>Methodology</w:t>
            </w:r>
            <w:r>
              <w:rPr>
                <w:noProof/>
                <w:webHidden/>
              </w:rPr>
              <w:tab/>
            </w:r>
            <w:r>
              <w:rPr>
                <w:noProof/>
                <w:webHidden/>
              </w:rPr>
              <w:fldChar w:fldCharType="begin"/>
            </w:r>
            <w:r>
              <w:rPr>
                <w:noProof/>
                <w:webHidden/>
              </w:rPr>
              <w:instrText xml:space="preserve"> PAGEREF _Toc212020734 \h </w:instrText>
            </w:r>
            <w:r>
              <w:rPr>
                <w:noProof/>
                <w:webHidden/>
              </w:rPr>
            </w:r>
            <w:r>
              <w:rPr>
                <w:noProof/>
                <w:webHidden/>
              </w:rPr>
              <w:fldChar w:fldCharType="separate"/>
            </w:r>
            <w:r>
              <w:rPr>
                <w:noProof/>
                <w:webHidden/>
              </w:rPr>
              <w:t>7</w:t>
            </w:r>
            <w:r>
              <w:rPr>
                <w:noProof/>
                <w:webHidden/>
              </w:rPr>
              <w:fldChar w:fldCharType="end"/>
            </w:r>
          </w:hyperlink>
        </w:p>
        <w:p w14:paraId="1C91F5C8" w14:textId="2992EDB3" w:rsidR="007D7C92" w:rsidRDefault="007D7C92">
          <w:pPr>
            <w:pStyle w:val="TOC1"/>
            <w:tabs>
              <w:tab w:val="right" w:leader="dot" w:pos="9350"/>
            </w:tabs>
            <w:rPr>
              <w:noProof/>
            </w:rPr>
          </w:pPr>
          <w:hyperlink w:anchor="_Toc212020735" w:history="1">
            <w:r w:rsidRPr="00DE6652">
              <w:rPr>
                <w:rStyle w:val="Hyperlink"/>
                <w:rFonts w:ascii="Times New Roman" w:hAnsi="Times New Roman" w:cs="Times New Roman"/>
                <w:b/>
                <w:bCs/>
                <w:noProof/>
              </w:rPr>
              <w:t>Findings</w:t>
            </w:r>
            <w:r>
              <w:rPr>
                <w:noProof/>
                <w:webHidden/>
              </w:rPr>
              <w:tab/>
            </w:r>
            <w:r>
              <w:rPr>
                <w:noProof/>
                <w:webHidden/>
              </w:rPr>
              <w:fldChar w:fldCharType="begin"/>
            </w:r>
            <w:r>
              <w:rPr>
                <w:noProof/>
                <w:webHidden/>
              </w:rPr>
              <w:instrText xml:space="preserve"> PAGEREF _Toc212020735 \h </w:instrText>
            </w:r>
            <w:r>
              <w:rPr>
                <w:noProof/>
                <w:webHidden/>
              </w:rPr>
            </w:r>
            <w:r>
              <w:rPr>
                <w:noProof/>
                <w:webHidden/>
              </w:rPr>
              <w:fldChar w:fldCharType="separate"/>
            </w:r>
            <w:r>
              <w:rPr>
                <w:noProof/>
                <w:webHidden/>
              </w:rPr>
              <w:t>11</w:t>
            </w:r>
            <w:r>
              <w:rPr>
                <w:noProof/>
                <w:webHidden/>
              </w:rPr>
              <w:fldChar w:fldCharType="end"/>
            </w:r>
          </w:hyperlink>
        </w:p>
        <w:p w14:paraId="268EB022" w14:textId="16AA6C6F" w:rsidR="007D7C92" w:rsidRDefault="007D7C92">
          <w:pPr>
            <w:pStyle w:val="TOC1"/>
            <w:tabs>
              <w:tab w:val="right" w:leader="dot" w:pos="9350"/>
            </w:tabs>
            <w:rPr>
              <w:noProof/>
            </w:rPr>
          </w:pPr>
          <w:hyperlink w:anchor="_Toc212020736" w:history="1">
            <w:r w:rsidRPr="00DE6652">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_Toc212020736 \h </w:instrText>
            </w:r>
            <w:r>
              <w:rPr>
                <w:noProof/>
                <w:webHidden/>
              </w:rPr>
            </w:r>
            <w:r>
              <w:rPr>
                <w:noProof/>
                <w:webHidden/>
              </w:rPr>
              <w:fldChar w:fldCharType="separate"/>
            </w:r>
            <w:r>
              <w:rPr>
                <w:noProof/>
                <w:webHidden/>
              </w:rPr>
              <w:t>15</w:t>
            </w:r>
            <w:r>
              <w:rPr>
                <w:noProof/>
                <w:webHidden/>
              </w:rPr>
              <w:fldChar w:fldCharType="end"/>
            </w:r>
          </w:hyperlink>
        </w:p>
        <w:p w14:paraId="4B07BDDA" w14:textId="183B5A09" w:rsidR="007D7C92" w:rsidRDefault="007D7C92">
          <w:pPr>
            <w:pStyle w:val="TOC1"/>
            <w:tabs>
              <w:tab w:val="right" w:leader="dot" w:pos="9350"/>
            </w:tabs>
            <w:rPr>
              <w:noProof/>
            </w:rPr>
          </w:pPr>
          <w:hyperlink w:anchor="_Toc212020737" w:history="1">
            <w:r w:rsidRPr="00DE6652">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_Toc212020737 \h </w:instrText>
            </w:r>
            <w:r>
              <w:rPr>
                <w:noProof/>
                <w:webHidden/>
              </w:rPr>
            </w:r>
            <w:r>
              <w:rPr>
                <w:noProof/>
                <w:webHidden/>
              </w:rPr>
              <w:fldChar w:fldCharType="separate"/>
            </w:r>
            <w:r>
              <w:rPr>
                <w:noProof/>
                <w:webHidden/>
              </w:rPr>
              <w:t>18</w:t>
            </w:r>
            <w:r>
              <w:rPr>
                <w:noProof/>
                <w:webHidden/>
              </w:rPr>
              <w:fldChar w:fldCharType="end"/>
            </w:r>
          </w:hyperlink>
        </w:p>
        <w:p w14:paraId="030B2233" w14:textId="77731106" w:rsidR="007D7C92" w:rsidRDefault="007D7C92">
          <w:pPr>
            <w:pStyle w:val="TOC1"/>
            <w:tabs>
              <w:tab w:val="right" w:leader="dot" w:pos="9350"/>
            </w:tabs>
            <w:rPr>
              <w:noProof/>
            </w:rPr>
          </w:pPr>
          <w:hyperlink w:anchor="_Toc212020738" w:history="1">
            <w:r w:rsidRPr="00DE6652">
              <w:rPr>
                <w:rStyle w:val="Hyperlink"/>
                <w:rFonts w:ascii="Times New Roman" w:hAnsi="Times New Roman" w:cs="Times New Roman"/>
                <w:b/>
                <w:bCs/>
                <w:noProof/>
              </w:rPr>
              <w:t>Recommendation</w:t>
            </w:r>
            <w:r>
              <w:rPr>
                <w:noProof/>
                <w:webHidden/>
              </w:rPr>
              <w:tab/>
            </w:r>
            <w:r>
              <w:rPr>
                <w:noProof/>
                <w:webHidden/>
              </w:rPr>
              <w:fldChar w:fldCharType="begin"/>
            </w:r>
            <w:r>
              <w:rPr>
                <w:noProof/>
                <w:webHidden/>
              </w:rPr>
              <w:instrText xml:space="preserve"> PAGEREF _Toc212020738 \h </w:instrText>
            </w:r>
            <w:r>
              <w:rPr>
                <w:noProof/>
                <w:webHidden/>
              </w:rPr>
            </w:r>
            <w:r>
              <w:rPr>
                <w:noProof/>
                <w:webHidden/>
              </w:rPr>
              <w:fldChar w:fldCharType="separate"/>
            </w:r>
            <w:r>
              <w:rPr>
                <w:noProof/>
                <w:webHidden/>
              </w:rPr>
              <w:t>18</w:t>
            </w:r>
            <w:r>
              <w:rPr>
                <w:noProof/>
                <w:webHidden/>
              </w:rPr>
              <w:fldChar w:fldCharType="end"/>
            </w:r>
          </w:hyperlink>
        </w:p>
        <w:p w14:paraId="5D2BB560" w14:textId="0085F8DF" w:rsidR="007D7C92" w:rsidRDefault="007D7C92">
          <w:pPr>
            <w:pStyle w:val="TOC1"/>
            <w:tabs>
              <w:tab w:val="right" w:leader="dot" w:pos="9350"/>
            </w:tabs>
            <w:rPr>
              <w:noProof/>
            </w:rPr>
          </w:pPr>
          <w:hyperlink w:anchor="_Toc212020739" w:history="1">
            <w:r w:rsidRPr="00DE6652">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_Toc212020739 \h </w:instrText>
            </w:r>
            <w:r>
              <w:rPr>
                <w:noProof/>
                <w:webHidden/>
              </w:rPr>
            </w:r>
            <w:r>
              <w:rPr>
                <w:noProof/>
                <w:webHidden/>
              </w:rPr>
              <w:fldChar w:fldCharType="separate"/>
            </w:r>
            <w:r>
              <w:rPr>
                <w:noProof/>
                <w:webHidden/>
              </w:rPr>
              <w:t>21</w:t>
            </w:r>
            <w:r>
              <w:rPr>
                <w:noProof/>
                <w:webHidden/>
              </w:rPr>
              <w:fldChar w:fldCharType="end"/>
            </w:r>
          </w:hyperlink>
        </w:p>
        <w:p w14:paraId="7D056D6E" w14:textId="2EA925B4" w:rsidR="007D7C92" w:rsidRDefault="007D7C92">
          <w:r>
            <w:rPr>
              <w:b/>
              <w:bCs/>
              <w:noProof/>
            </w:rPr>
            <w:fldChar w:fldCharType="end"/>
          </w:r>
        </w:p>
      </w:sdtContent>
    </w:sdt>
    <w:p w14:paraId="4478EF66" w14:textId="77777777" w:rsidR="007D7C92" w:rsidRPr="00B6504B" w:rsidRDefault="007D7C92" w:rsidP="00B6504B">
      <w:pPr>
        <w:spacing w:line="480" w:lineRule="auto"/>
        <w:rPr>
          <w:rFonts w:ascii="Times New Roman" w:hAnsi="Times New Roman" w:cs="Times New Roman"/>
          <w:sz w:val="24"/>
          <w:szCs w:val="24"/>
        </w:rPr>
      </w:pPr>
    </w:p>
    <w:p w14:paraId="431D5866" w14:textId="77777777" w:rsidR="0074529D" w:rsidRPr="00B6504B" w:rsidRDefault="0074529D" w:rsidP="00B6504B">
      <w:pPr>
        <w:spacing w:line="480" w:lineRule="auto"/>
        <w:rPr>
          <w:rFonts w:ascii="Times New Roman" w:hAnsi="Times New Roman" w:cs="Times New Roman"/>
          <w:sz w:val="24"/>
          <w:szCs w:val="24"/>
        </w:rPr>
      </w:pPr>
    </w:p>
    <w:p w14:paraId="1BCD840C" w14:textId="77777777" w:rsidR="0074529D" w:rsidRPr="00B6504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57D52A67" w14:textId="7CA3C9DF" w:rsidR="0074529D" w:rsidRPr="00CA530F" w:rsidRDefault="0074529D" w:rsidP="00B6504B">
      <w:pPr>
        <w:pStyle w:val="Heading1"/>
        <w:spacing w:line="480" w:lineRule="auto"/>
        <w:rPr>
          <w:rFonts w:ascii="Times New Roman" w:hAnsi="Times New Roman" w:cs="Times New Roman"/>
          <w:b/>
          <w:bCs/>
          <w:sz w:val="24"/>
          <w:szCs w:val="24"/>
        </w:rPr>
      </w:pPr>
      <w:bookmarkStart w:id="1" w:name="_Toc212020732"/>
      <w:r w:rsidRPr="00CA530F">
        <w:rPr>
          <w:rFonts w:ascii="Times New Roman" w:hAnsi="Times New Roman" w:cs="Times New Roman"/>
          <w:b/>
          <w:bCs/>
          <w:sz w:val="24"/>
          <w:szCs w:val="24"/>
        </w:rPr>
        <w:t>Introduction</w:t>
      </w:r>
      <w:bookmarkEnd w:id="1"/>
    </w:p>
    <w:p w14:paraId="6C3AD618" w14:textId="417DC616" w:rsidR="008E145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Mega events both increase the opportunity and risk level because they quickly assemble the infrastructural facilities, human resources, and financial resources within thick urban spaces, global supply chains, and thus make the sustainability performance a decisive factor in determining reputational legitimacy, community acceptance, and long-term legacy value. The backbone of ISO 20121:2024 provides the management system that incorporates sustainability policy, planning, risk management, operational control, monitoring, review, and continuous improvement into the event delivery, the last version of which includes an extended focus on the social legacies and human rights</w:t>
      </w:r>
      <w:r w:rsidR="008E145B">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Pr="00B6504B">
        <w:rPr>
          <w:rFonts w:ascii="Times New Roman" w:hAnsi="Times New Roman" w:cs="Times New Roman"/>
          <w:sz w:val="24"/>
          <w:szCs w:val="24"/>
        </w:rPr>
        <w:t xml:space="preserve"> </w:t>
      </w:r>
    </w:p>
    <w:p w14:paraId="7774D1C6" w14:textId="2B72BFF5" w:rsidR="0074529D" w:rsidRPr="00B6504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GRI Event Organizers Sector Supplement offers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guidance on lifecycle reporting that is specific to event reality, including site selection, mobility, sourcing, accessibility, health and safety, volunteer management, community impacts and legacy and therefore allows comparability and accountability necessary to stakeholder confidence as well as cross-edition and cross-host learning. Paris2024 </w:t>
      </w:r>
      <w:proofErr w:type="spellStart"/>
      <w:r w:rsidRPr="00B6504B">
        <w:rPr>
          <w:rFonts w:ascii="Times New Roman" w:hAnsi="Times New Roman" w:cs="Times New Roman"/>
          <w:sz w:val="24"/>
          <w:szCs w:val="24"/>
        </w:rPr>
        <w:t>realises</w:t>
      </w:r>
      <w:proofErr w:type="spellEnd"/>
      <w:r w:rsidRPr="00B6504B">
        <w:rPr>
          <w:rFonts w:ascii="Times New Roman" w:hAnsi="Times New Roman" w:cs="Times New Roman"/>
          <w:sz w:val="24"/>
          <w:szCs w:val="24"/>
        </w:rPr>
        <w:t xml:space="preserve"> a </w:t>
      </w:r>
      <w:proofErr w:type="spellStart"/>
      <w:r w:rsidRPr="00B6504B">
        <w:rPr>
          <w:rFonts w:ascii="Times New Roman" w:hAnsi="Times New Roman" w:cs="Times New Roman"/>
          <w:sz w:val="24"/>
          <w:szCs w:val="24"/>
        </w:rPr>
        <w:t>decarbonisation</w:t>
      </w:r>
      <w:proofErr w:type="spellEnd"/>
      <w:r w:rsidRPr="00B6504B">
        <w:rPr>
          <w:rFonts w:ascii="Times New Roman" w:hAnsi="Times New Roman" w:cs="Times New Roman"/>
          <w:sz w:val="24"/>
          <w:szCs w:val="24"/>
        </w:rPr>
        <w:t xml:space="preserve">-first approach- using more than 95% existing or temporary facilities and taking into account scopes 1-3, such as spectator travel will show how initial design and procure decisions can reduce environmental footprints by half without compromising on event quality or inclusivity. The early adoption of London 2012 led to the creation of ISO 20121 and a legacy of practices that could be adjusted later in the cycle thus becoming a significant aspect of the constant improvement of the event sector through </w:t>
      </w:r>
      <w:proofErr w:type="spellStart"/>
      <w:r w:rsidRPr="00B6504B">
        <w:rPr>
          <w:rFonts w:ascii="Times New Roman" w:hAnsi="Times New Roman" w:cs="Times New Roman"/>
          <w:sz w:val="24"/>
          <w:szCs w:val="24"/>
        </w:rPr>
        <w:t>standardised</w:t>
      </w:r>
      <w:proofErr w:type="spellEnd"/>
      <w:r w:rsidRPr="00B6504B">
        <w:rPr>
          <w:rFonts w:ascii="Times New Roman" w:hAnsi="Times New Roman" w:cs="Times New Roman"/>
          <w:sz w:val="24"/>
          <w:szCs w:val="24"/>
        </w:rPr>
        <w:t xml:space="preserve"> governance and knowledge transfer.</w:t>
      </w:r>
    </w:p>
    <w:p w14:paraId="0A15D3D9" w14:textId="77777777" w:rsidR="0074529D" w:rsidRPr="00B6504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204596D7" w14:textId="16853B24" w:rsidR="00D617AC" w:rsidRPr="00CA530F" w:rsidRDefault="00D617AC" w:rsidP="00B6504B">
      <w:pPr>
        <w:pStyle w:val="Heading1"/>
        <w:spacing w:line="480" w:lineRule="auto"/>
        <w:rPr>
          <w:rFonts w:ascii="Times New Roman" w:hAnsi="Times New Roman" w:cs="Times New Roman"/>
          <w:b/>
          <w:bCs/>
          <w:sz w:val="24"/>
          <w:szCs w:val="24"/>
        </w:rPr>
      </w:pPr>
      <w:bookmarkStart w:id="2" w:name="_Toc212020733"/>
      <w:r w:rsidRPr="00CA530F">
        <w:rPr>
          <w:rFonts w:ascii="Times New Roman" w:hAnsi="Times New Roman" w:cs="Times New Roman"/>
          <w:b/>
          <w:bCs/>
          <w:sz w:val="24"/>
          <w:szCs w:val="24"/>
        </w:rPr>
        <w:t>Literature review</w:t>
      </w:r>
      <w:bookmarkEnd w:id="2"/>
      <w:r w:rsidRPr="00CA530F">
        <w:rPr>
          <w:rFonts w:ascii="Times New Roman" w:hAnsi="Times New Roman" w:cs="Times New Roman"/>
          <w:b/>
          <w:bCs/>
          <w:sz w:val="24"/>
          <w:szCs w:val="24"/>
        </w:rPr>
        <w:t xml:space="preserve">  </w:t>
      </w:r>
    </w:p>
    <w:p w14:paraId="3D1A9ADE" w14:textId="57065D95"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literature review confirms that ISO 20121:2024 outlines what an Event Sustainability Management System (ESMS) should require, which is relevant to events and also event-related activities of any scale. The conventional frameworks maintain sustainability as a managerial challenge that can be met by policy formulation, planning, control over operations, monitoring, and continuous improvement loops, which are consistent with Plan-Do-Check-Act (PDCA) concepts</w:t>
      </w:r>
      <w:r w:rsidR="006B2FE5">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006B2FE5" w:rsidRPr="00B6504B">
        <w:rPr>
          <w:rFonts w:ascii="Times New Roman" w:hAnsi="Times New Roman" w:cs="Times New Roman"/>
          <w:sz w:val="24"/>
          <w:szCs w:val="24"/>
        </w:rPr>
        <w:t xml:space="preserve"> </w:t>
      </w:r>
      <w:r w:rsidRPr="00B6504B">
        <w:rPr>
          <w:rFonts w:ascii="Times New Roman" w:hAnsi="Times New Roman" w:cs="Times New Roman"/>
          <w:sz w:val="24"/>
          <w:szCs w:val="24"/>
        </w:rPr>
        <w:t>.</w:t>
      </w:r>
    </w:p>
    <w:p w14:paraId="5756982B" w14:textId="1CDBB0E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revision of ISO 20121:2024 explains that conformity is a concept that applies to the entire management system and not to an individual event. The standard focuses on governance, scope, stakeholder involvement as well as risks and opportunities management, including documented procedures that can be modified according to the </w:t>
      </w:r>
      <w:proofErr w:type="spellStart"/>
      <w:r w:rsidRPr="00B6504B">
        <w:rPr>
          <w:rFonts w:ascii="Times New Roman" w:hAnsi="Times New Roman" w:cs="Times New Roman"/>
          <w:sz w:val="24"/>
          <w:szCs w:val="24"/>
        </w:rPr>
        <w:t>organisational</w:t>
      </w:r>
      <w:proofErr w:type="spellEnd"/>
      <w:r w:rsidRPr="00B6504B">
        <w:rPr>
          <w:rFonts w:ascii="Times New Roman" w:hAnsi="Times New Roman" w:cs="Times New Roman"/>
          <w:sz w:val="24"/>
          <w:szCs w:val="24"/>
        </w:rPr>
        <w:t xml:space="preserve"> setting and risk profile</w:t>
      </w:r>
      <w:r w:rsidR="006B2FE5">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006B2FE5" w:rsidRPr="00B6504B">
        <w:rPr>
          <w:rFonts w:ascii="Times New Roman" w:hAnsi="Times New Roman" w:cs="Times New Roman"/>
          <w:sz w:val="24"/>
          <w:szCs w:val="24"/>
        </w:rPr>
        <w:t xml:space="preserve"> </w:t>
      </w:r>
      <w:r w:rsidRPr="00B6504B">
        <w:rPr>
          <w:rFonts w:ascii="Times New Roman" w:hAnsi="Times New Roman" w:cs="Times New Roman"/>
          <w:sz w:val="24"/>
          <w:szCs w:val="24"/>
        </w:rPr>
        <w:t>.</w:t>
      </w:r>
    </w:p>
    <w:p w14:paraId="36EE1DBF" w14:textId="0C5C28A5"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main change in ISO 20121:2024 is the increased focus on social legacies, inclusivity, and safeguarding human and children rights. This is an acceptance of the fact that occurrences drive societal outcomes on a large scale and that protection should be instilled in the contractor governance, volunteer </w:t>
      </w:r>
      <w:proofErr w:type="spellStart"/>
      <w:r w:rsidRPr="00B6504B">
        <w:rPr>
          <w:rFonts w:ascii="Times New Roman" w:hAnsi="Times New Roman" w:cs="Times New Roman"/>
          <w:sz w:val="24"/>
          <w:szCs w:val="24"/>
        </w:rPr>
        <w:t>programmes</w:t>
      </w:r>
      <w:proofErr w:type="spellEnd"/>
      <w:r w:rsidRPr="00B6504B">
        <w:rPr>
          <w:rFonts w:ascii="Times New Roman" w:hAnsi="Times New Roman" w:cs="Times New Roman"/>
          <w:sz w:val="24"/>
          <w:szCs w:val="24"/>
        </w:rPr>
        <w:t xml:space="preserve"> and participant-experience design</w:t>
      </w:r>
      <w:r w:rsidR="006B2FE5">
        <w:rPr>
          <w:rFonts w:ascii="Times New Roman" w:hAnsi="Times New Roman" w:cs="Times New Roman"/>
          <w:sz w:val="24"/>
          <w:szCs w:val="24"/>
        </w:rPr>
        <w:t xml:space="preserve"> </w:t>
      </w:r>
      <w:r w:rsidR="006B2FE5" w:rsidRPr="006B2FE5">
        <w:rPr>
          <w:rFonts w:ascii="Times New Roman" w:hAnsi="Times New Roman" w:cs="Times New Roman"/>
          <w:sz w:val="24"/>
          <w:szCs w:val="24"/>
        </w:rPr>
        <w:t>(GRI Event Organizers, 2012)</w:t>
      </w:r>
      <w:r w:rsidRPr="00B6504B">
        <w:rPr>
          <w:rFonts w:ascii="Times New Roman" w:hAnsi="Times New Roman" w:cs="Times New Roman"/>
          <w:sz w:val="24"/>
          <w:szCs w:val="24"/>
        </w:rPr>
        <w:t>.</w:t>
      </w:r>
    </w:p>
    <w:p w14:paraId="314EF32C"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Official implementation advice proves that ISO 20121 can be combined with ISO 9001 and ISO 14001, as a result of which the governance, audits, corrective measures, and performance review of quality and environmental and sustainability areas become common. The integration removes redundancy of systems and brings about efficiency.</w:t>
      </w:r>
    </w:p>
    <w:p w14:paraId="219FC5BD"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practical advantages of ISO 20121 are highlighted through training and advisory materials of the industry. These advantages involve cost savings in terms of better performance, better identification of risks, openness of the results and greater confidence among the stakeholders. These benefits are experienced when the ESMS is regularly implemented throughout the bid-to-legacy life cycle.</w:t>
      </w:r>
    </w:p>
    <w:p w14:paraId="6A93F3C6" w14:textId="50E6D921"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According to commentaries documented by global conformity bodies concerning the 2024 revision, there is an extended scope of social inclusion and diversified ways of showing compliance. These changes increase the access without weakening responsibility on results</w:t>
      </w:r>
      <w:r w:rsidR="00952333" w:rsidRPr="00952333">
        <w:rPr>
          <w:rFonts w:ascii="Times New Roman" w:hAnsi="Times New Roman" w:cs="Times New Roman"/>
          <w:sz w:val="24"/>
          <w:szCs w:val="24"/>
        </w:rPr>
        <w:t>(Create Sensational, Sustainable Events with ISO 20121:2024, 2024)</w:t>
      </w:r>
      <w:r w:rsidRPr="00B6504B">
        <w:rPr>
          <w:rFonts w:ascii="Times New Roman" w:hAnsi="Times New Roman" w:cs="Times New Roman"/>
          <w:sz w:val="24"/>
          <w:szCs w:val="24"/>
        </w:rPr>
        <w:t>.</w:t>
      </w:r>
    </w:p>
    <w:p w14:paraId="03803E7A"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Both the GRI Event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Sector Supplement (EDSS) and the GRI management standards provide event-specific guidance and indicators of reporting. It allows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to state qualitative and quantitative performance within event lifecycles in a material and comparable manner to the stakeholders.</w:t>
      </w:r>
    </w:p>
    <w:p w14:paraId="3F10F62D"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EOSS will transform generic sustainability reporting to sector realities by considering the event as the product. It includes such topics as site selection and mobility, accessibility, health and safety, sourcing, expressions of dissent, and legacy knowledge transfer.</w:t>
      </w:r>
    </w:p>
    <w:p w14:paraId="6EB9D535" w14:textId="34FC11F9"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GRI EOSS documentation provide sector specific indicators and disclosure requirements, helps communicate the strategies, KPIs, methodologies and outcomes of planning through to learning in a transparent manner. Additional quick-reference literature and industry-disclosure reports enhance the architecture of the mandated and other disclosures and promote assurance and external audit to enhance the credibility of reports</w:t>
      </w:r>
      <w:r w:rsidR="00601892">
        <w:rPr>
          <w:rFonts w:ascii="Times New Roman" w:hAnsi="Times New Roman" w:cs="Times New Roman"/>
          <w:sz w:val="24"/>
          <w:szCs w:val="24"/>
        </w:rPr>
        <w:t xml:space="preserve"> </w:t>
      </w:r>
      <w:r w:rsidR="00601892" w:rsidRPr="00601892">
        <w:rPr>
          <w:rFonts w:ascii="Times New Roman" w:hAnsi="Times New Roman" w:cs="Times New Roman"/>
          <w:sz w:val="24"/>
          <w:szCs w:val="24"/>
        </w:rPr>
        <w:t>(GRI, 2012)</w:t>
      </w:r>
      <w:r w:rsidRPr="00B6504B">
        <w:rPr>
          <w:rFonts w:ascii="Times New Roman" w:hAnsi="Times New Roman" w:cs="Times New Roman"/>
          <w:sz w:val="24"/>
          <w:szCs w:val="24"/>
        </w:rPr>
        <w:t>.</w:t>
      </w:r>
    </w:p>
    <w:p w14:paraId="1B445D45"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literature on the case illustrates the practical importance of early decisions in reducing the lifecycle effects. An example is Paris 2024 who pledged 95 percent existing or temporary facilities and aimed at a 50 percent carbon reduction compared to the recent Games, and scopes 1-3, such as spectator travel. This strategy will be an example of the role of venue portfolios, logistics design, and proximity planning in facilitating </w:t>
      </w:r>
      <w:proofErr w:type="spellStart"/>
      <w:r w:rsidRPr="00B6504B">
        <w:rPr>
          <w:rFonts w:ascii="Times New Roman" w:hAnsi="Times New Roman" w:cs="Times New Roman"/>
          <w:sz w:val="24"/>
          <w:szCs w:val="24"/>
        </w:rPr>
        <w:t>decarbonisation</w:t>
      </w:r>
      <w:proofErr w:type="spellEnd"/>
      <w:r w:rsidRPr="00B6504B">
        <w:rPr>
          <w:rFonts w:ascii="Times New Roman" w:hAnsi="Times New Roman" w:cs="Times New Roman"/>
          <w:sz w:val="24"/>
          <w:szCs w:val="24"/>
        </w:rPr>
        <w:t xml:space="preserve"> and circularity alongside the quality of events and reach to the audience in complex urban settings.</w:t>
      </w:r>
    </w:p>
    <w:p w14:paraId="247194BA"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institutional history also has the appearance of ISO 20121 being tied to the London 2012 Olympic setting, meaning that the initial version was printed in time to push those Games and spark a new wave of systemic approach towards sustainable event management. The value of this lineage to knowledge transfer is the fact that </w:t>
      </w:r>
      <w:proofErr w:type="spellStart"/>
      <w:r w:rsidRPr="00B6504B">
        <w:rPr>
          <w:rFonts w:ascii="Times New Roman" w:hAnsi="Times New Roman" w:cs="Times New Roman"/>
          <w:sz w:val="24"/>
          <w:szCs w:val="24"/>
        </w:rPr>
        <w:t>standardisation</w:t>
      </w:r>
      <w:proofErr w:type="spellEnd"/>
      <w:r w:rsidRPr="00B6504B">
        <w:rPr>
          <w:rFonts w:ascii="Times New Roman" w:hAnsi="Times New Roman" w:cs="Times New Roman"/>
          <w:sz w:val="24"/>
          <w:szCs w:val="24"/>
        </w:rPr>
        <w:t xml:space="preserve"> imparts a one-time innovation into </w:t>
      </w:r>
      <w:proofErr w:type="spellStart"/>
      <w:r w:rsidRPr="00B6504B">
        <w:rPr>
          <w:rFonts w:ascii="Times New Roman" w:hAnsi="Times New Roman" w:cs="Times New Roman"/>
          <w:sz w:val="24"/>
          <w:szCs w:val="24"/>
        </w:rPr>
        <w:t>formalised</w:t>
      </w:r>
      <w:proofErr w:type="spellEnd"/>
      <w:r w:rsidRPr="00B6504B">
        <w:rPr>
          <w:rFonts w:ascii="Times New Roman" w:hAnsi="Times New Roman" w:cs="Times New Roman"/>
          <w:sz w:val="24"/>
          <w:szCs w:val="24"/>
        </w:rPr>
        <w:t xml:space="preserve"> practice that continues even after the </w:t>
      </w:r>
      <w:proofErr w:type="spellStart"/>
      <w:r w:rsidRPr="00B6504B">
        <w:rPr>
          <w:rFonts w:ascii="Times New Roman" w:hAnsi="Times New Roman" w:cs="Times New Roman"/>
          <w:sz w:val="24"/>
          <w:szCs w:val="24"/>
        </w:rPr>
        <w:t>organising</w:t>
      </w:r>
      <w:proofErr w:type="spellEnd"/>
      <w:r w:rsidRPr="00B6504B">
        <w:rPr>
          <w:rFonts w:ascii="Times New Roman" w:hAnsi="Times New Roman" w:cs="Times New Roman"/>
          <w:sz w:val="24"/>
          <w:szCs w:val="24"/>
        </w:rPr>
        <w:t xml:space="preserve"> committees and host situations have passed.</w:t>
      </w:r>
    </w:p>
    <w:p w14:paraId="66002BA3"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Further examples are football mega-events portraying the change in reporting practice. FIFA also published Final Sustainability Report 2022 Qatar, indicating that it was done in compliance with GRI Standards, which further solidifies </w:t>
      </w:r>
      <w:proofErr w:type="spellStart"/>
      <w:r w:rsidRPr="00B6504B">
        <w:rPr>
          <w:rFonts w:ascii="Times New Roman" w:hAnsi="Times New Roman" w:cs="Times New Roman"/>
          <w:sz w:val="24"/>
          <w:szCs w:val="24"/>
        </w:rPr>
        <w:t>normalisation</w:t>
      </w:r>
      <w:proofErr w:type="spellEnd"/>
      <w:r w:rsidRPr="00B6504B">
        <w:rPr>
          <w:rFonts w:ascii="Times New Roman" w:hAnsi="Times New Roman" w:cs="Times New Roman"/>
          <w:sz w:val="24"/>
          <w:szCs w:val="24"/>
        </w:rPr>
        <w:t xml:space="preserve"> in the sector in terms of transparent and indicator-based reporting. The sustainability portal of the tournament unites governance, environmental, social and economic topics with a GRI Content Index and assurance statement to aid the readability and credibility, despite arguments on the boundaries and methodologies of major-event carbon accounting.</w:t>
      </w:r>
    </w:p>
    <w:p w14:paraId="4CA54601"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Toolkits like the UNDP guideline on sustainable event supplement standards and disclosures with the checklists on mobility, catering, energy, water, communications and waste. These toolkits can help the operational teams to transform principles into venue-level processes and minimum requirements at scale. They also enable </w:t>
      </w:r>
      <w:proofErr w:type="spellStart"/>
      <w:r w:rsidRPr="00B6504B">
        <w:rPr>
          <w:rFonts w:ascii="Times New Roman" w:hAnsi="Times New Roman" w:cs="Times New Roman"/>
          <w:sz w:val="24"/>
          <w:szCs w:val="24"/>
        </w:rPr>
        <w:t>harmonised</w:t>
      </w:r>
      <w:proofErr w:type="spellEnd"/>
      <w:r w:rsidRPr="00B6504B">
        <w:rPr>
          <w:rFonts w:ascii="Times New Roman" w:hAnsi="Times New Roman" w:cs="Times New Roman"/>
          <w:sz w:val="24"/>
          <w:szCs w:val="24"/>
        </w:rPr>
        <w:t xml:space="preserve"> operating practices where multi-venue portfolios are concerned, enhance the quality of data and support comparative performance reporting to feed into GRI EOSS aligned reporting cycles.</w:t>
      </w:r>
    </w:p>
    <w:p w14:paraId="000091FF" w14:textId="4B9E1746" w:rsidR="00D617AC"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Standards-based governance and integrated with sector-specific disclosure and implemented toolkits is, therefore, the essence of modern literature on sustainable mega-events. This knowledge base is a bridge between policy and practice since these bodies are auditable and have a clear communication process. The case studies of Paris 2024 experience, the legacy of London 2012, and FIFA reporting pattern show how the discipline of management, early design choices and significant expectations of public responsibility co-evolve to address the climate alignment, social inclusion and economic value in high stakes environments.</w:t>
      </w:r>
    </w:p>
    <w:p w14:paraId="0C38102B" w14:textId="77777777" w:rsidR="0025483B" w:rsidRPr="00B6504B" w:rsidRDefault="0025483B"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30ED9F22" w14:textId="1F7D31DB" w:rsidR="00D617AC" w:rsidRPr="00CA530F" w:rsidRDefault="00D617AC" w:rsidP="00B6504B">
      <w:pPr>
        <w:pStyle w:val="Heading1"/>
        <w:spacing w:line="480" w:lineRule="auto"/>
        <w:rPr>
          <w:rFonts w:ascii="Times New Roman" w:hAnsi="Times New Roman" w:cs="Times New Roman"/>
          <w:b/>
          <w:bCs/>
          <w:sz w:val="24"/>
          <w:szCs w:val="24"/>
        </w:rPr>
      </w:pPr>
      <w:bookmarkStart w:id="3" w:name="_Toc212020734"/>
      <w:r w:rsidRPr="00CA530F">
        <w:rPr>
          <w:rFonts w:ascii="Times New Roman" w:hAnsi="Times New Roman" w:cs="Times New Roman"/>
          <w:b/>
          <w:bCs/>
          <w:sz w:val="24"/>
          <w:szCs w:val="24"/>
        </w:rPr>
        <w:t>Methodology</w:t>
      </w:r>
      <w:bookmarkEnd w:id="3"/>
      <w:r w:rsidRPr="00CA530F">
        <w:rPr>
          <w:rFonts w:ascii="Times New Roman" w:hAnsi="Times New Roman" w:cs="Times New Roman"/>
          <w:b/>
          <w:bCs/>
          <w:sz w:val="24"/>
          <w:szCs w:val="24"/>
        </w:rPr>
        <w:t xml:space="preserve">  </w:t>
      </w:r>
    </w:p>
    <w:p w14:paraId="0609F8C6" w14:textId="30CB6BEB"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approach to the implementation and realization of a sustainable event management model of the large-scale tourism events is based on a paradigm of standards-synthesis and lifecycle-mapping, and the governance of which is regulated by ISO 20121 and disclosure by GRI EOSS. The above paradigm would see to it that sustainability is both administered and made visible through procedural mechanisms and material, which are easily comparable and in turn, that stakeholder concerns that are unique to major events are addressed</w:t>
      </w:r>
      <w:r w:rsidR="00FB1768">
        <w:rPr>
          <w:rFonts w:ascii="Times New Roman" w:hAnsi="Times New Roman" w:cs="Times New Roman"/>
          <w:sz w:val="24"/>
          <w:szCs w:val="24"/>
        </w:rPr>
        <w:t xml:space="preserve"> </w:t>
      </w:r>
      <w:r w:rsidR="00D17996" w:rsidRPr="00D17996">
        <w:rPr>
          <w:rFonts w:ascii="Times New Roman" w:hAnsi="Times New Roman" w:cs="Times New Roman"/>
          <w:sz w:val="24"/>
          <w:szCs w:val="24"/>
        </w:rPr>
        <w:t>(Guideline for sustainable events, 2023)</w:t>
      </w:r>
      <w:r w:rsidR="00D17996">
        <w:rPr>
          <w:rFonts w:ascii="Times New Roman" w:hAnsi="Times New Roman" w:cs="Times New Roman"/>
          <w:sz w:val="24"/>
          <w:szCs w:val="24"/>
        </w:rPr>
        <w:t xml:space="preserve"> </w:t>
      </w:r>
      <w:r w:rsidRPr="00B6504B">
        <w:rPr>
          <w:rFonts w:ascii="Times New Roman" w:hAnsi="Times New Roman" w:cs="Times New Roman"/>
          <w:sz w:val="24"/>
          <w:szCs w:val="24"/>
        </w:rPr>
        <w:t>.</w:t>
      </w:r>
    </w:p>
    <w:p w14:paraId="6721AFF5"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standards-synthesis phase, which begins with the creation of an ISO 20121 -compliant ESMS that expresses scope, policy commitment, leadership roles, stakeholder engagement protocols, risk and opportunity management, operational controls, monitoring procedures, internal audit regimes, management review processes and expectations of continuous improvement. The ESMS will also be designed to integrate with ISO 9001 and ISO 14001 to allow the convergence of quality, environmental and sustainable controls in shared documentation, audit processes and corrective-action processes, to facilitate the assurance processes and reduce administration overheads to the delivery partners and suppliers.</w:t>
      </w:r>
    </w:p>
    <w:p w14:paraId="43CE9DA1"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Coexisting with the standards-synthesis, the disclosure synthesis is a mapping of GRIÉSS indicators to the individual lifecycle phases, namely, bid, planning, staging, and legacy, and thus, organizers can plan proactive disclosures before lock-in decisions and report the results that reflect not only operational performance but also post-event legacy effects. Mapping includes sectorial themes such as site-selection criteria, transport implications on attendees and participants, accessibility, volunteer management, sourcing performance, dissent expression, community engagement and knowledge transfer to the legacy and defined and delimited indicators.</w:t>
      </w:r>
    </w:p>
    <w:p w14:paraId="5BEF3FE8" w14:textId="0D8FE96F"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case triangulation uses modern models of major events to give precedence to decisions carrying the highest impact; a relevant example is the use of 95 percent existing/temporary events and 50 percent footprint-reduction goal by Paris2024, supported by an extensive model of emissions accountancy including spectator travel. These exemplars serve as methodological pivot, and they demonstrate the causal relationship between pre-existing infrastructure and logistics design and subsequent downstream operational parameters, in terms of energy consumption, mobility, material consumption, accessibility, and community effects</w:t>
      </w:r>
      <w:r w:rsidR="00FB1768">
        <w:rPr>
          <w:rFonts w:ascii="Times New Roman" w:hAnsi="Times New Roman" w:cs="Times New Roman"/>
          <w:sz w:val="24"/>
          <w:szCs w:val="24"/>
        </w:rPr>
        <w:t xml:space="preserve"> </w:t>
      </w:r>
      <w:r w:rsidR="00FB1768" w:rsidRPr="00FB1768">
        <w:rPr>
          <w:rFonts w:ascii="Times New Roman" w:hAnsi="Times New Roman" w:cs="Times New Roman"/>
          <w:sz w:val="24"/>
          <w:szCs w:val="24"/>
        </w:rPr>
        <w:t>(BSI Group, 2012)</w:t>
      </w:r>
      <w:r w:rsidR="00FB1768">
        <w:rPr>
          <w:rFonts w:ascii="Times New Roman" w:hAnsi="Times New Roman" w:cs="Times New Roman"/>
          <w:sz w:val="24"/>
          <w:szCs w:val="24"/>
        </w:rPr>
        <w:t>.</w:t>
      </w:r>
    </w:p>
    <w:p w14:paraId="5F21A8F0"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risk-based areas of control are outlined in line with considerations of materiality and sectoral precedent, which include construction and fit-out, energy and carbon, mobility and logistics, water efficiency, waste and circularity, accessibility and inclusion, workforce and volunteer management, and sustainable sourcing and supplier assurance. Every domain has ESMS provisions that are detailed, which specify the key performance indicators, monitoring protocols, corrective-action triggers, and have the controls that are liable to audit and may be refined and improved through the analysis of plans, Do, Check and Act circles.</w:t>
      </w:r>
    </w:p>
    <w:p w14:paraId="22329A71"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stakeholder engagement is structured in the form of EOSS thematic framework that allows gathering the inputs on the material topics provided by communities, participants, volunteers, employees, sponsors, and municipal authorities in a systematic manner. This engagement is documented to formulate responses and commitments used to set targets and design programs. The engagement is re-enacted at critical milestones to ensure the contemporaneity of materiality as design iterations evolve and constraints come to play thus maintaining legitimacy with the ongoing alignment with the affected stakeholders.</w:t>
      </w:r>
    </w:p>
    <w:p w14:paraId="7B2379BF"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These targets and indicators are also set to be time bound, measurable and auditable with baselines and assumptions reported in line with the requirements of the EOSS and methodologies to carbon accounting and waste tracking that is in line with the norms of the sector to establish comparability. Management reviews bring together indicator performance, audit results, nonconformities, and even stakeholder feedback to guide corrective actions and redistribute resources where necessary and therefore bring the PDCA loop back together and allow improvement to cumulate across successive cycles and event editions.</w:t>
      </w:r>
    </w:p>
    <w:p w14:paraId="4EF6C090" w14:textId="77777777"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Reporting is done on a periodic public update rhythm in compliance with EOSS and it reports governance structures, material topics, targets, methodological frameworks, progress metrics, incidents, lessons learned and the legacy plan. The introduction of a GRI content index and optional key indicator assurance is a way to increase credibility. The adherence to GRI standards and the use of content indicators enables the benchmarking of mega events and increase the confidence of the stakeholders when mega events present detailed sustainability reports, as seen in the architectural and communicative modalities of the final Qatar 2022 report of FIFA.</w:t>
      </w:r>
    </w:p>
    <w:p w14:paraId="7E4B8100" w14:textId="6B3C6CA4"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application is supported with practical toolkits such as the guideline to sustainable events by UNDP, which provides venue-level procedures associated with energy, mobility, catering, water, communications, and waste separation. Such resources make strategy readable to large scale daily operations. This stage of </w:t>
      </w:r>
      <w:proofErr w:type="spellStart"/>
      <w:r w:rsidRPr="00B6504B">
        <w:rPr>
          <w:rFonts w:ascii="Times New Roman" w:hAnsi="Times New Roman" w:cs="Times New Roman"/>
          <w:sz w:val="24"/>
          <w:szCs w:val="24"/>
        </w:rPr>
        <w:t>operationalisation</w:t>
      </w:r>
      <w:proofErr w:type="spellEnd"/>
      <w:r w:rsidRPr="00B6504B">
        <w:rPr>
          <w:rFonts w:ascii="Times New Roman" w:hAnsi="Times New Roman" w:cs="Times New Roman"/>
          <w:sz w:val="24"/>
          <w:szCs w:val="24"/>
        </w:rPr>
        <w:t xml:space="preserve"> is important to guarantee the quality of data, as well as the fulfilment of the conditions under which the benefits associated with the ISO 20121 certification are provided, including the performance transparency and the avoidance of risks</w:t>
      </w:r>
      <w:r w:rsidR="004E1EE5" w:rsidRPr="004E1EE5">
        <w:rPr>
          <w:rFonts w:ascii="Times New Roman" w:hAnsi="Times New Roman" w:cs="Times New Roman"/>
          <w:sz w:val="24"/>
          <w:szCs w:val="24"/>
        </w:rPr>
        <w:t>(UNDP Serbia, 2023)</w:t>
      </w:r>
      <w:r w:rsidRPr="00B6504B">
        <w:rPr>
          <w:rFonts w:ascii="Times New Roman" w:hAnsi="Times New Roman" w:cs="Times New Roman"/>
          <w:sz w:val="24"/>
          <w:szCs w:val="24"/>
        </w:rPr>
        <w:t>.</w:t>
      </w:r>
    </w:p>
    <w:p w14:paraId="50ABB4FC" w14:textId="07E57EAC" w:rsidR="00601347" w:rsidRPr="00B6504B" w:rsidRDefault="00601347"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Lastly, alignment to host city is </w:t>
      </w:r>
      <w:proofErr w:type="spellStart"/>
      <w:r w:rsidRPr="00B6504B">
        <w:rPr>
          <w:rFonts w:ascii="Times New Roman" w:hAnsi="Times New Roman" w:cs="Times New Roman"/>
          <w:sz w:val="24"/>
          <w:szCs w:val="24"/>
        </w:rPr>
        <w:t>institutionalised</w:t>
      </w:r>
      <w:proofErr w:type="spellEnd"/>
      <w:r w:rsidRPr="00B6504B">
        <w:rPr>
          <w:rFonts w:ascii="Times New Roman" w:hAnsi="Times New Roman" w:cs="Times New Roman"/>
          <w:sz w:val="24"/>
          <w:szCs w:val="24"/>
        </w:rPr>
        <w:t xml:space="preserve"> through establishment of connections between event strategies and local climatic action plans as well as development priorities. The Paris 2024 model is a good example of such integration where the venue choice, distance to activities and road/rail connectivity have twofold values and purposes, both improving the performance of the event and the development of the city in the long term. This kind of alignment </w:t>
      </w:r>
      <w:proofErr w:type="spellStart"/>
      <w:r w:rsidRPr="00B6504B">
        <w:rPr>
          <w:rFonts w:ascii="Times New Roman" w:hAnsi="Times New Roman" w:cs="Times New Roman"/>
          <w:sz w:val="24"/>
          <w:szCs w:val="24"/>
        </w:rPr>
        <w:t>minimises</w:t>
      </w:r>
      <w:proofErr w:type="spellEnd"/>
      <w:r w:rsidRPr="00B6504B">
        <w:rPr>
          <w:rFonts w:ascii="Times New Roman" w:hAnsi="Times New Roman" w:cs="Times New Roman"/>
          <w:sz w:val="24"/>
          <w:szCs w:val="24"/>
        </w:rPr>
        <w:t xml:space="preserve"> the chances of stranded assets, strengthens legacy value and ensures that the ESMS and EOSS reporting systems capture consequences that are not only temporary improvements of city systems but also long-term improvements in community wellbeing</w:t>
      </w:r>
      <w:r w:rsidR="000C40DF">
        <w:rPr>
          <w:rFonts w:ascii="Times New Roman" w:hAnsi="Times New Roman" w:cs="Times New Roman"/>
          <w:sz w:val="24"/>
          <w:szCs w:val="24"/>
        </w:rPr>
        <w:t xml:space="preserve"> </w:t>
      </w:r>
      <w:r w:rsidR="000C40DF" w:rsidRPr="000C40DF">
        <w:rPr>
          <w:rFonts w:ascii="Times New Roman" w:hAnsi="Times New Roman" w:cs="Times New Roman"/>
          <w:sz w:val="24"/>
          <w:szCs w:val="24"/>
        </w:rPr>
        <w:t>(Olympics.Com, 2024)</w:t>
      </w:r>
      <w:r w:rsidRPr="00B6504B">
        <w:rPr>
          <w:rFonts w:ascii="Times New Roman" w:hAnsi="Times New Roman" w:cs="Times New Roman"/>
          <w:sz w:val="24"/>
          <w:szCs w:val="24"/>
        </w:rPr>
        <w:t>.</w:t>
      </w:r>
    </w:p>
    <w:p w14:paraId="6DB18FD7" w14:textId="5146C7DC" w:rsidR="0074529D" w:rsidRPr="00B6504B" w:rsidRDefault="0074529D" w:rsidP="00B6504B">
      <w:pPr>
        <w:spacing w:line="480" w:lineRule="auto"/>
        <w:rPr>
          <w:rFonts w:ascii="Times New Roman" w:hAnsi="Times New Roman" w:cs="Times New Roman"/>
          <w:sz w:val="24"/>
          <w:szCs w:val="24"/>
        </w:rPr>
      </w:pPr>
      <w:r w:rsidRPr="00B6504B">
        <w:rPr>
          <w:rFonts w:ascii="Times New Roman" w:hAnsi="Times New Roman" w:cs="Times New Roman"/>
          <w:noProof/>
          <w:sz w:val="24"/>
          <w:szCs w:val="24"/>
        </w:rPr>
        <w:drawing>
          <wp:inline distT="0" distB="0" distL="0" distR="0" wp14:anchorId="6F107123" wp14:editId="7A5B9416">
            <wp:extent cx="6115050" cy="4076700"/>
            <wp:effectExtent l="0" t="0" r="0" b="0"/>
            <wp:docPr id="1455120502" name="Picture 2" descr="Framework flowchart aligning ISO 20121 management system with GRI Event Organizers Sector disclosures across environmental, social, and economic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mework flowchart aligning ISO 20121 management system with GRI Event Organizers Sector disclosures across environmental, social, and economic program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5050" cy="4076700"/>
                    </a:xfrm>
                    <a:prstGeom prst="rect">
                      <a:avLst/>
                    </a:prstGeom>
                    <a:noFill/>
                    <a:ln>
                      <a:noFill/>
                    </a:ln>
                  </pic:spPr>
                </pic:pic>
              </a:graphicData>
            </a:graphic>
          </wp:inline>
        </w:drawing>
      </w:r>
    </w:p>
    <w:p w14:paraId="760E6FDA" w14:textId="77777777" w:rsidR="0025483B" w:rsidRPr="00B6504B" w:rsidRDefault="0025483B"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br w:type="page"/>
      </w:r>
    </w:p>
    <w:p w14:paraId="1D6D0D2A" w14:textId="107A0170" w:rsidR="00B875AA" w:rsidRPr="00CA530F" w:rsidRDefault="00B875AA" w:rsidP="00B6504B">
      <w:pPr>
        <w:pStyle w:val="Heading1"/>
        <w:spacing w:line="480" w:lineRule="auto"/>
        <w:rPr>
          <w:rFonts w:ascii="Times New Roman" w:hAnsi="Times New Roman" w:cs="Times New Roman"/>
          <w:b/>
          <w:bCs/>
          <w:sz w:val="24"/>
          <w:szCs w:val="24"/>
        </w:rPr>
      </w:pPr>
      <w:bookmarkStart w:id="4" w:name="_Toc212020735"/>
      <w:r w:rsidRPr="00CA530F">
        <w:rPr>
          <w:rFonts w:ascii="Times New Roman" w:hAnsi="Times New Roman" w:cs="Times New Roman"/>
          <w:b/>
          <w:bCs/>
          <w:sz w:val="24"/>
          <w:szCs w:val="24"/>
        </w:rPr>
        <w:t>Findings</w:t>
      </w:r>
      <w:bookmarkEnd w:id="4"/>
      <w:r w:rsidRPr="00CA530F">
        <w:rPr>
          <w:rFonts w:ascii="Times New Roman" w:hAnsi="Times New Roman" w:cs="Times New Roman"/>
          <w:b/>
          <w:bCs/>
          <w:sz w:val="24"/>
          <w:szCs w:val="24"/>
        </w:rPr>
        <w:t xml:space="preserve">  </w:t>
      </w:r>
    </w:p>
    <w:p w14:paraId="5C370EEB" w14:textId="2AFECE85"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ISO 20121:2024 is an undisputed governance standard of mega-event sustainability, and the updated version of this standard requires a management system that translates the policy guidelines into clearly defined roles, procedures, monitoring systems, audit procedures, and continuous quality improvement processes, with particular emphasis made on social legacies and rights</w:t>
      </w:r>
      <w:r w:rsidR="00096170">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Pr="00B6504B">
        <w:rPr>
          <w:rFonts w:ascii="Times New Roman" w:hAnsi="Times New Roman" w:cs="Times New Roman"/>
          <w:sz w:val="24"/>
          <w:szCs w:val="24"/>
        </w:rPr>
        <w:t xml:space="preserve"> </w:t>
      </w:r>
    </w:p>
    <w:p w14:paraId="1F7293D5"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framework has system focus and allows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and their delivery partners to be held accountable with the performance-review cycles identifying non-conformities and implementing corrective measures within a set timeframe to reduce recurrence.  </w:t>
      </w:r>
    </w:p>
    <w:p w14:paraId="0E78D28D"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Synergistic implementation of ISO 20121 with ISO 9001 and ISO 14001 allows synergy between quality assurance, environmental management and sustainability areas; the synergy helps in sharing of documentation, audit work and corrective-actions processes and as a result, reduced duplication and increased accountability between the supply chain.  </w:t>
      </w:r>
    </w:p>
    <w:p w14:paraId="3D378384" w14:textId="315E7E51"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This type of integration is especially outcome-based when it comes to multi-venue, multi-contractor event ecosystems, in which fragmentation would otherwise ruin implementation discipline and data quality.  </w:t>
      </w:r>
    </w:p>
    <w:p w14:paraId="3801055F"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focus of EOSS on lifecycle disclosure, both during the bidding and throughout the lifecycle, encourages the pre-commitment disclosure and post-event learning, thus limiting the deferral or watering down of the commitments once the procurement and construction lock-in take place.  </w:t>
      </w:r>
    </w:p>
    <w:p w14:paraId="6D939ACA"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An example of the effect of early infrastructure planning in order to achieve massive impact reductions without impacting on event quality is the 2024 Paris Games, achieved by </w:t>
      </w:r>
      <w:proofErr w:type="spellStart"/>
      <w:r w:rsidRPr="00B6504B">
        <w:rPr>
          <w:rFonts w:ascii="Times New Roman" w:hAnsi="Times New Roman" w:cs="Times New Roman"/>
          <w:sz w:val="24"/>
          <w:szCs w:val="24"/>
        </w:rPr>
        <w:t>maximising</w:t>
      </w:r>
      <w:proofErr w:type="spellEnd"/>
      <w:r w:rsidRPr="00B6504B">
        <w:rPr>
          <w:rFonts w:ascii="Times New Roman" w:hAnsi="Times New Roman" w:cs="Times New Roman"/>
          <w:sz w:val="24"/>
          <w:szCs w:val="24"/>
        </w:rPr>
        <w:t xml:space="preserve"> current or temporary venues, and including spectator travel in the accounting boundary to fit into plausible climate stories.  </w:t>
      </w:r>
    </w:p>
    <w:p w14:paraId="48E99E47" w14:textId="5EC9505E"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It illustrates that </w:t>
      </w:r>
      <w:r w:rsidR="0025483B" w:rsidRPr="00B6504B">
        <w:rPr>
          <w:rFonts w:ascii="Times New Roman" w:hAnsi="Times New Roman" w:cs="Times New Roman"/>
          <w:sz w:val="24"/>
          <w:szCs w:val="24"/>
        </w:rPr>
        <w:t>decarbonization</w:t>
      </w:r>
      <w:r w:rsidRPr="00B6504B">
        <w:rPr>
          <w:rFonts w:ascii="Times New Roman" w:hAnsi="Times New Roman" w:cs="Times New Roman"/>
          <w:sz w:val="24"/>
          <w:szCs w:val="24"/>
        </w:rPr>
        <w:t xml:space="preserve"> and circularity are mainly design and procurement issues that have to be solved early in order to prevent embodied carbon and later stranded assets, and at the same time increase the proximity of people, transit integration, and accessibility to audiences.  </w:t>
      </w:r>
    </w:p>
    <w:p w14:paraId="0A572F24" w14:textId="4B8CBB89"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published architectural exemplar of FIFA Qatar 2022 final sustainability report highlights the normalization of sectoral reporting in structure, including governance, environmental, social, economic, GRI Content Index, and assurance aspects; however, the methodologies and limits are still debated and can be improved in mega-event carbon accounting</w:t>
      </w:r>
      <w:r w:rsidR="00D7670D" w:rsidRPr="00D7670D">
        <w:rPr>
          <w:rFonts w:ascii="Times New Roman" w:hAnsi="Times New Roman" w:cs="Times New Roman"/>
          <w:sz w:val="24"/>
          <w:szCs w:val="24"/>
        </w:rPr>
        <w:t>(Inside FIFA, 2022)</w:t>
      </w:r>
      <w:r w:rsidR="00D7670D">
        <w:rPr>
          <w:rFonts w:ascii="Times New Roman" w:hAnsi="Times New Roman" w:cs="Times New Roman"/>
          <w:sz w:val="24"/>
          <w:szCs w:val="24"/>
        </w:rPr>
        <w:t xml:space="preserve"> </w:t>
      </w:r>
      <w:r w:rsidRPr="00B6504B">
        <w:rPr>
          <w:rFonts w:ascii="Times New Roman" w:hAnsi="Times New Roman" w:cs="Times New Roman"/>
          <w:sz w:val="24"/>
          <w:szCs w:val="24"/>
        </w:rPr>
        <w:t xml:space="preserve">.  </w:t>
      </w:r>
    </w:p>
    <w:p w14:paraId="2B802E60"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 supporting communication attests that the overall report was composed according to GRI Standards and listed 79 initiatives, which indicates a maturing mindset towards disclosure in world football events.  </w:t>
      </w:r>
    </w:p>
    <w:p w14:paraId="16DD72B4" w14:textId="4F89DBA5"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Geographically dispersed mega events, with transport emissions dominating, show the importance of the siting and mobility strategy; external analyses of transport as the greatest source of emissions in Qatar 2022 and warn of the risk that the increase in events across continents without well-developed demand-management and proximity strategies will further increase the value of this risk</w:t>
      </w:r>
      <w:r w:rsidR="00EF0D4F">
        <w:rPr>
          <w:rFonts w:ascii="Times New Roman" w:hAnsi="Times New Roman" w:cs="Times New Roman"/>
          <w:sz w:val="24"/>
          <w:szCs w:val="24"/>
        </w:rPr>
        <w:t xml:space="preserve"> </w:t>
      </w:r>
      <w:r w:rsidR="00EF0D4F" w:rsidRPr="00EF0D4F">
        <w:rPr>
          <w:rFonts w:ascii="Times New Roman" w:hAnsi="Times New Roman" w:cs="Times New Roman"/>
          <w:sz w:val="24"/>
          <w:szCs w:val="24"/>
        </w:rPr>
        <w:t>(Global Strategic Communications Council, 2022)</w:t>
      </w:r>
      <w:r w:rsidRPr="00B6504B">
        <w:rPr>
          <w:rFonts w:ascii="Times New Roman" w:hAnsi="Times New Roman" w:cs="Times New Roman"/>
          <w:sz w:val="24"/>
          <w:szCs w:val="24"/>
        </w:rPr>
        <w:t xml:space="preserve">.  </w:t>
      </w:r>
    </w:p>
    <w:p w14:paraId="5D10BE55"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This fact spells out the need to have full-scope accounting to capture spectator travel and ensure the match of ticketing, scheduling and venue selection with the capacity of the public transit and the active-mobility infrastructure to limit emissions and impacts on the locals.  </w:t>
      </w:r>
    </w:p>
    <w:p w14:paraId="74506067"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consistent venue-level implementation can be supported by specific toolkits, including those of the United Nations Development </w:t>
      </w:r>
      <w:proofErr w:type="spellStart"/>
      <w:r w:rsidRPr="00B6504B">
        <w:rPr>
          <w:rFonts w:ascii="Times New Roman" w:hAnsi="Times New Roman" w:cs="Times New Roman"/>
          <w:sz w:val="24"/>
          <w:szCs w:val="24"/>
        </w:rPr>
        <w:t>Programme</w:t>
      </w:r>
      <w:proofErr w:type="spellEnd"/>
      <w:r w:rsidRPr="00B6504B">
        <w:rPr>
          <w:rFonts w:ascii="Times New Roman" w:hAnsi="Times New Roman" w:cs="Times New Roman"/>
          <w:sz w:val="24"/>
          <w:szCs w:val="24"/>
        </w:rPr>
        <w:t xml:space="preserve">, which can be used to provide checklists on mobility, catering, energy, water, and waste, etc., which are important to ensure the data integrity and the portfolio-wide results as per EOSS indicators and ISO audit requirements.  </w:t>
      </w:r>
    </w:p>
    <w:p w14:paraId="771696B2"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Onboarding Contractors and volunteers with the help of these checklists also facilitates the operational </w:t>
      </w:r>
      <w:proofErr w:type="spellStart"/>
      <w:r w:rsidRPr="00B6504B">
        <w:rPr>
          <w:rFonts w:ascii="Times New Roman" w:hAnsi="Times New Roman" w:cs="Times New Roman"/>
          <w:sz w:val="24"/>
          <w:szCs w:val="24"/>
        </w:rPr>
        <w:t>harmonisation</w:t>
      </w:r>
      <w:proofErr w:type="spellEnd"/>
      <w:r w:rsidRPr="00B6504B">
        <w:rPr>
          <w:rFonts w:ascii="Times New Roman" w:hAnsi="Times New Roman" w:cs="Times New Roman"/>
          <w:sz w:val="24"/>
          <w:szCs w:val="24"/>
        </w:rPr>
        <w:t xml:space="preserve"> so that the implementation variance is also </w:t>
      </w:r>
      <w:proofErr w:type="spellStart"/>
      <w:r w:rsidRPr="00B6504B">
        <w:rPr>
          <w:rFonts w:ascii="Times New Roman" w:hAnsi="Times New Roman" w:cs="Times New Roman"/>
          <w:sz w:val="24"/>
          <w:szCs w:val="24"/>
        </w:rPr>
        <w:t>minimised</w:t>
      </w:r>
      <w:proofErr w:type="spellEnd"/>
      <w:r w:rsidRPr="00B6504B">
        <w:rPr>
          <w:rFonts w:ascii="Times New Roman" w:hAnsi="Times New Roman" w:cs="Times New Roman"/>
          <w:sz w:val="24"/>
          <w:szCs w:val="24"/>
        </w:rPr>
        <w:t xml:space="preserve"> and also the corrective-action cycles when the monitoring reveals underperformance.  </w:t>
      </w:r>
    </w:p>
    <w:p w14:paraId="71ADCE6F"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literature suggests that </w:t>
      </w:r>
      <w:proofErr w:type="spellStart"/>
      <w:r w:rsidRPr="00B6504B">
        <w:rPr>
          <w:rFonts w:ascii="Times New Roman" w:hAnsi="Times New Roman" w:cs="Times New Roman"/>
          <w:sz w:val="24"/>
          <w:szCs w:val="24"/>
        </w:rPr>
        <w:t>organisational</w:t>
      </w:r>
      <w:proofErr w:type="spellEnd"/>
      <w:r w:rsidRPr="00B6504B">
        <w:rPr>
          <w:rFonts w:ascii="Times New Roman" w:hAnsi="Times New Roman" w:cs="Times New Roman"/>
          <w:sz w:val="24"/>
          <w:szCs w:val="24"/>
        </w:rPr>
        <w:t xml:space="preserve"> credibility is pegged on system rigor and transparency, thus the </w:t>
      </w:r>
      <w:proofErr w:type="spellStart"/>
      <w:r w:rsidRPr="00B6504B">
        <w:rPr>
          <w:rFonts w:ascii="Times New Roman" w:hAnsi="Times New Roman" w:cs="Times New Roman"/>
          <w:sz w:val="24"/>
          <w:szCs w:val="24"/>
        </w:rPr>
        <w:t>organisers</w:t>
      </w:r>
      <w:proofErr w:type="spellEnd"/>
      <w:r w:rsidRPr="00B6504B">
        <w:rPr>
          <w:rFonts w:ascii="Times New Roman" w:hAnsi="Times New Roman" w:cs="Times New Roman"/>
          <w:sz w:val="24"/>
          <w:szCs w:val="24"/>
        </w:rPr>
        <w:t xml:space="preserve"> should explicitly reveal targets, means and limits, use sector-related indicators and subject key measures to assurance to maintain stakeholder confidence in the face of high levels of public scrutiny.  </w:t>
      </w:r>
    </w:p>
    <w:p w14:paraId="1BCBEF6A"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Credibility is also an asset that forms the basis of social license and sponsor confidence, risk reduction of reputation, and the increase of innovation adoption in future editions, due to strengthened legitimacy and mutual learning.  </w:t>
      </w:r>
    </w:p>
    <w:p w14:paraId="6A40CF4E"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combination of sustainability and quality assurance not only makes organizational administration efficient, but also performance-enhancing; integrating sustainability controls into the same operational beats that enable quality of service delivery harmonize incentives and streamline conformity to the delivery partners.  </w:t>
      </w:r>
    </w:p>
    <w:p w14:paraId="531A4060"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This kind of correlation is particularly useful to small-and-medium-sized businesses in the event supply chain, who will reap proportional conformity pathways whilst functioning in a single audit and corrective-action framework that enables predictable performance.  </w:t>
      </w:r>
    </w:p>
    <w:p w14:paraId="5F754E4A" w14:textId="77777777" w:rsidR="00557AA4" w:rsidRP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Sustainable mega events are therefore the result of consistent systems based on ISO 20121, and reported using GRI EOSS, translated into early, high-impact design decisions and supported by practical toolkits which ensure consistency of the venue-level and quality of the data over the complex environment.  </w:t>
      </w:r>
    </w:p>
    <w:p w14:paraId="3F58C6C2" w14:textId="37252B11" w:rsidR="00B6504B" w:rsidRDefault="00557AA4"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As shown in the empirical reports of the 2024 Paris Games and FIFA Qatar 2022, the </w:t>
      </w:r>
      <w:r w:rsidRPr="00B6504B">
        <w:rPr>
          <w:rFonts w:ascii="Times New Roman" w:hAnsi="Times New Roman" w:cs="Times New Roman"/>
          <w:sz w:val="24"/>
          <w:szCs w:val="24"/>
        </w:rPr>
        <w:t>operationalization</w:t>
      </w:r>
      <w:r w:rsidRPr="00B6504B">
        <w:rPr>
          <w:rFonts w:ascii="Times New Roman" w:hAnsi="Times New Roman" w:cs="Times New Roman"/>
          <w:sz w:val="24"/>
          <w:szCs w:val="24"/>
        </w:rPr>
        <w:t xml:space="preserve"> of these systems is feasible, and boundaries, approaches, and strategies of mobility need to be refined to fulfill climate alignment, social inclusion, and legacy requirements in a credible and comparable way across host and cycles</w:t>
      </w:r>
      <w:r w:rsidR="00D7670D">
        <w:rPr>
          <w:rFonts w:ascii="Times New Roman" w:hAnsi="Times New Roman" w:cs="Times New Roman"/>
          <w:sz w:val="24"/>
          <w:szCs w:val="24"/>
        </w:rPr>
        <w:t xml:space="preserve"> </w:t>
      </w:r>
      <w:r w:rsidR="00D7670D" w:rsidRPr="00D7670D">
        <w:rPr>
          <w:rFonts w:ascii="Times New Roman" w:hAnsi="Times New Roman" w:cs="Times New Roman"/>
          <w:sz w:val="24"/>
          <w:szCs w:val="24"/>
        </w:rPr>
        <w:t>(Inside FIFA, 2022)</w:t>
      </w:r>
      <w:r w:rsidRPr="00B6504B">
        <w:rPr>
          <w:rFonts w:ascii="Times New Roman" w:hAnsi="Times New Roman" w:cs="Times New Roman"/>
          <w:sz w:val="24"/>
          <w:szCs w:val="24"/>
        </w:rPr>
        <w:t>.</w:t>
      </w:r>
    </w:p>
    <w:p w14:paraId="7FAECFB9" w14:textId="77777777" w:rsidR="00B6504B" w:rsidRDefault="00B6504B">
      <w:pPr>
        <w:rPr>
          <w:rFonts w:ascii="Times New Roman" w:hAnsi="Times New Roman" w:cs="Times New Roman"/>
          <w:sz w:val="24"/>
          <w:szCs w:val="24"/>
        </w:rPr>
      </w:pPr>
      <w:r>
        <w:rPr>
          <w:rFonts w:ascii="Times New Roman" w:hAnsi="Times New Roman" w:cs="Times New Roman"/>
          <w:sz w:val="24"/>
          <w:szCs w:val="24"/>
        </w:rPr>
        <w:br w:type="page"/>
      </w:r>
    </w:p>
    <w:p w14:paraId="4D9655F0" w14:textId="09AD8FEC" w:rsidR="00B875AA" w:rsidRPr="00CA530F" w:rsidRDefault="00B875AA" w:rsidP="00B6504B">
      <w:pPr>
        <w:pStyle w:val="Heading1"/>
        <w:spacing w:line="480" w:lineRule="auto"/>
        <w:rPr>
          <w:rFonts w:ascii="Times New Roman" w:hAnsi="Times New Roman" w:cs="Times New Roman"/>
          <w:b/>
          <w:bCs/>
          <w:sz w:val="24"/>
          <w:szCs w:val="24"/>
        </w:rPr>
      </w:pPr>
      <w:bookmarkStart w:id="5" w:name="_Toc212020736"/>
      <w:r w:rsidRPr="00CA530F">
        <w:rPr>
          <w:rFonts w:ascii="Times New Roman" w:hAnsi="Times New Roman" w:cs="Times New Roman"/>
          <w:b/>
          <w:bCs/>
          <w:sz w:val="24"/>
          <w:szCs w:val="24"/>
        </w:rPr>
        <w:t>Discussion</w:t>
      </w:r>
      <w:bookmarkEnd w:id="5"/>
      <w:r w:rsidRPr="00CA530F">
        <w:rPr>
          <w:rFonts w:ascii="Times New Roman" w:hAnsi="Times New Roman" w:cs="Times New Roman"/>
          <w:b/>
          <w:bCs/>
          <w:sz w:val="24"/>
          <w:szCs w:val="24"/>
        </w:rPr>
        <w:t xml:space="preserve">  </w:t>
      </w:r>
    </w:p>
    <w:p w14:paraId="1B6BAD4F" w14:textId="5AD632B6" w:rsidR="00B875AA"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It can be inferred that sustainable mega events can be viewed as a management challenge of primarily a coordination of complex actors on tight timelines that can be solved by having a disciplined ESMS that will melt policy into procedures and measures and allow constant enhancement and proportional assurance. The strength of ISO 20121 is flexibility, as it allows the </w:t>
      </w:r>
      <w:proofErr w:type="spellStart"/>
      <w:r w:rsidRPr="00B6504B">
        <w:rPr>
          <w:rFonts w:ascii="Times New Roman" w:hAnsi="Times New Roman" w:cs="Times New Roman"/>
          <w:sz w:val="24"/>
          <w:szCs w:val="24"/>
        </w:rPr>
        <w:t>organisation</w:t>
      </w:r>
      <w:proofErr w:type="spellEnd"/>
      <w:r w:rsidRPr="00B6504B">
        <w:rPr>
          <w:rFonts w:ascii="Times New Roman" w:hAnsi="Times New Roman" w:cs="Times New Roman"/>
          <w:sz w:val="24"/>
          <w:szCs w:val="24"/>
        </w:rPr>
        <w:t xml:space="preserve"> to size documentation, controls and conformity approaches to the risk and scope, whilst requiring the leadership and stakeholder involvement, risk management, operational planning, monitoring and corrective action cycles to be evident. Enhancing these demands with contracts and governance charters will make sure that delivery partners and suppliers move to the same set of controls, which will counter the fragmentation that can easily ruin performance in large, multi-venue events</w:t>
      </w:r>
      <w:r w:rsidR="00397B91">
        <w:rPr>
          <w:rFonts w:ascii="Times New Roman" w:hAnsi="Times New Roman" w:cs="Times New Roman"/>
          <w:sz w:val="24"/>
          <w:szCs w:val="24"/>
        </w:rPr>
        <w:t xml:space="preserve"> </w:t>
      </w:r>
      <w:r w:rsidR="00EF481C">
        <w:rPr>
          <w:rFonts w:ascii="Times New Roman" w:hAnsi="Times New Roman" w:cs="Times New Roman"/>
          <w:sz w:val="24"/>
          <w:szCs w:val="24"/>
        </w:rPr>
        <w:t>(SGS, 2024)</w:t>
      </w:r>
    </w:p>
    <w:p w14:paraId="32B77042" w14:textId="39D166FF" w:rsidR="00B875AA"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EOSS places its own stakeholder-facing equivalent, whereby it requires the publication of event-specific material topics, which in this case are mobility impacts on attendees and participants, accessibility, inclusive initiatives, sourcing performance, and transfer of knowledge to the broader community; therefore, transparency is not limited to what eventually became the internal audit systems. The standardized indicator set assists comparability across events and editions and enables benchmarking and learning, which are required to ensure continuous improvement and to justify the expenditure of the public to the mega events that is under intense scrutiny. This connection between internal confidence and external disclosure completes the circle between governance and accountability and makes sustainability managed and apparent</w:t>
      </w:r>
      <w:r w:rsidR="00397B91">
        <w:rPr>
          <w:rFonts w:ascii="Times New Roman" w:hAnsi="Times New Roman" w:cs="Times New Roman"/>
          <w:sz w:val="24"/>
          <w:szCs w:val="24"/>
        </w:rPr>
        <w:t xml:space="preserve"> </w:t>
      </w:r>
      <w:r w:rsidR="00397B91" w:rsidRPr="00601892">
        <w:rPr>
          <w:rFonts w:ascii="Times New Roman" w:hAnsi="Times New Roman" w:cs="Times New Roman"/>
          <w:sz w:val="24"/>
          <w:szCs w:val="24"/>
        </w:rPr>
        <w:t>(GRI, 2012)</w:t>
      </w:r>
      <w:r w:rsidR="00397B91" w:rsidRPr="00B6504B">
        <w:rPr>
          <w:rFonts w:ascii="Times New Roman" w:hAnsi="Times New Roman" w:cs="Times New Roman"/>
          <w:sz w:val="24"/>
          <w:szCs w:val="24"/>
        </w:rPr>
        <w:t>.</w:t>
      </w:r>
    </w:p>
    <w:p w14:paraId="22AC772B" w14:textId="77777777" w:rsidR="00B875AA"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The strategy of Paris 2024 illustrates the practical priority of early-stage infrastructure and logistics decisions in the achievement of halved carbon footprints without compromising the quality and accessibility of events, 95 percent of venues of which will be existing or temporary and full scope emissions supporting the validity of the reduction narrative. This model explains that sustainable results do not require the experience to be traded when the design decisions focus on intimacy, reuse, and temporary buildings that can be disassembled and used again later in accordance with the transit and city planning, which reduce the community impacts. These strategies, also enhance life cycle cost-efficiency through minimizing embodied carbon as well as prevent stranded assets and this necessitates complex procurement and governance to support modularity and reverse logistics after event, yet.</w:t>
      </w:r>
    </w:p>
    <w:p w14:paraId="6BE72976" w14:textId="3D302A8A" w:rsidR="0074529D" w:rsidRPr="00B6504B" w:rsidRDefault="00B875AA"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The example of London 2012 as the launchpad to </w:t>
      </w:r>
      <w:proofErr w:type="spellStart"/>
      <w:r w:rsidRPr="00B6504B">
        <w:rPr>
          <w:rFonts w:ascii="Times New Roman" w:hAnsi="Times New Roman" w:cs="Times New Roman"/>
          <w:sz w:val="24"/>
          <w:szCs w:val="24"/>
        </w:rPr>
        <w:t>standardised</w:t>
      </w:r>
      <w:proofErr w:type="spellEnd"/>
      <w:r w:rsidRPr="00B6504B">
        <w:rPr>
          <w:rFonts w:ascii="Times New Roman" w:hAnsi="Times New Roman" w:cs="Times New Roman"/>
          <w:sz w:val="24"/>
          <w:szCs w:val="24"/>
        </w:rPr>
        <w:t xml:space="preserve"> sustainable event management demonstrates how codification can enable the sector to become more widespread; it is a process of turning one-off innovations into a long-lasting practice, sustained through the introduction of ISO and industry disclosures that remain do not just cease once one </w:t>
      </w:r>
      <w:proofErr w:type="spellStart"/>
      <w:r w:rsidRPr="00B6504B">
        <w:rPr>
          <w:rFonts w:ascii="Times New Roman" w:hAnsi="Times New Roman" w:cs="Times New Roman"/>
          <w:sz w:val="24"/>
          <w:szCs w:val="24"/>
        </w:rPr>
        <w:t>organising</w:t>
      </w:r>
      <w:proofErr w:type="spellEnd"/>
      <w:r w:rsidRPr="00B6504B">
        <w:rPr>
          <w:rFonts w:ascii="Times New Roman" w:hAnsi="Times New Roman" w:cs="Times New Roman"/>
          <w:sz w:val="24"/>
          <w:szCs w:val="24"/>
        </w:rPr>
        <w:t xml:space="preserve"> committee is finished. The description of the origin of the standard by the ISO committee justifies the fact that continual improvement of mega events relies on formal systems which can be transferred and audited as opposed to sporadic initiatives, which can hardly be replicated or assessed. To the hosts in the future the secret is to integrate the E</w:t>
      </w:r>
      <w:r w:rsidR="00B217EB">
        <w:rPr>
          <w:rFonts w:ascii="Times New Roman" w:hAnsi="Times New Roman" w:cs="Times New Roman"/>
          <w:sz w:val="24"/>
          <w:szCs w:val="24"/>
        </w:rPr>
        <w:t>-</w:t>
      </w:r>
      <w:proofErr w:type="spellStart"/>
      <w:r w:rsidRPr="00B6504B">
        <w:rPr>
          <w:rFonts w:ascii="Times New Roman" w:hAnsi="Times New Roman" w:cs="Times New Roman"/>
          <w:sz w:val="24"/>
          <w:szCs w:val="24"/>
        </w:rPr>
        <w:t>sms</w:t>
      </w:r>
      <w:proofErr w:type="spellEnd"/>
      <w:r w:rsidRPr="00B6504B">
        <w:rPr>
          <w:rFonts w:ascii="Times New Roman" w:hAnsi="Times New Roman" w:cs="Times New Roman"/>
          <w:sz w:val="24"/>
          <w:szCs w:val="24"/>
        </w:rPr>
        <w:t xml:space="preserve"> discipline of ISO with the public transparency of EOSS so as to achieve the stakeholder legitimacy whilst operating under operational constraints and changing demands of climate consistency and social inclusion</w:t>
      </w:r>
      <w:r w:rsidR="002959E1">
        <w:rPr>
          <w:rFonts w:ascii="Times New Roman" w:hAnsi="Times New Roman" w:cs="Times New Roman"/>
          <w:sz w:val="24"/>
          <w:szCs w:val="24"/>
        </w:rPr>
        <w:t xml:space="preserve"> </w:t>
      </w:r>
      <w:r w:rsidR="002959E1" w:rsidRPr="002959E1">
        <w:rPr>
          <w:rFonts w:ascii="Times New Roman" w:hAnsi="Times New Roman" w:cs="Times New Roman"/>
          <w:sz w:val="24"/>
          <w:szCs w:val="24"/>
        </w:rPr>
        <w:t>(Olympics.Com, 2024)</w:t>
      </w:r>
      <w:r w:rsidRPr="00B6504B">
        <w:rPr>
          <w:rFonts w:ascii="Times New Roman" w:hAnsi="Times New Roman" w:cs="Times New Roman"/>
          <w:sz w:val="24"/>
          <w:szCs w:val="24"/>
        </w:rPr>
        <w:t>.</w:t>
      </w:r>
    </w:p>
    <w:p w14:paraId="6CC92ED6" w14:textId="34EE1A34" w:rsid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In essence, a realistic and audit-compliant solution to hosting mega tourism events that ensure the mitigation of environmental additions, promotion of social rights and inclusion, and </w:t>
      </w:r>
      <w:proofErr w:type="spellStart"/>
      <w:r w:rsidRPr="00B6504B">
        <w:rPr>
          <w:rFonts w:ascii="Times New Roman" w:hAnsi="Times New Roman" w:cs="Times New Roman"/>
          <w:sz w:val="24"/>
          <w:szCs w:val="24"/>
        </w:rPr>
        <w:t>optimisation</w:t>
      </w:r>
      <w:proofErr w:type="spellEnd"/>
      <w:r w:rsidRPr="00B6504B">
        <w:rPr>
          <w:rFonts w:ascii="Times New Roman" w:hAnsi="Times New Roman" w:cs="Times New Roman"/>
          <w:sz w:val="24"/>
          <w:szCs w:val="24"/>
        </w:rPr>
        <w:t xml:space="preserve"> of economic value and legacy without compromising the quality of services or the satisfaction of the spectators are possible through the integration of the ISO 20121 governance with GRI EOSS disclosure and Paris-style operational choices. This style </w:t>
      </w:r>
      <w:proofErr w:type="spellStart"/>
      <w:r w:rsidRPr="00B6504B">
        <w:rPr>
          <w:rFonts w:ascii="Times New Roman" w:hAnsi="Times New Roman" w:cs="Times New Roman"/>
          <w:sz w:val="24"/>
          <w:szCs w:val="24"/>
        </w:rPr>
        <w:t>procycles</w:t>
      </w:r>
      <w:proofErr w:type="spellEnd"/>
      <w:r w:rsidRPr="00B6504B">
        <w:rPr>
          <w:rFonts w:ascii="Times New Roman" w:hAnsi="Times New Roman" w:cs="Times New Roman"/>
          <w:sz w:val="24"/>
          <w:szCs w:val="24"/>
        </w:rPr>
        <w:t xml:space="preserve"> the most leverage decisions, makes them a part of the contract, and the process, and makes them visible and comparable across events, which allows organizers and cities to learn, become better and preserve the social trust that audiences have in them over consecutive events</w:t>
      </w:r>
      <w:r w:rsidR="00397B91">
        <w:rPr>
          <w:rFonts w:ascii="Times New Roman" w:hAnsi="Times New Roman" w:cs="Times New Roman"/>
          <w:sz w:val="24"/>
          <w:szCs w:val="24"/>
        </w:rPr>
        <w:t xml:space="preserve"> </w:t>
      </w:r>
      <w:r w:rsidR="00EF481C">
        <w:rPr>
          <w:rFonts w:ascii="Times New Roman" w:hAnsi="Times New Roman" w:cs="Times New Roman"/>
          <w:sz w:val="24"/>
          <w:szCs w:val="24"/>
        </w:rPr>
        <w:t>(SGS, 2024)</w:t>
      </w:r>
      <w:r w:rsidR="00397B91" w:rsidRPr="00B6504B">
        <w:rPr>
          <w:rFonts w:ascii="Times New Roman" w:hAnsi="Times New Roman" w:cs="Times New Roman"/>
          <w:sz w:val="24"/>
          <w:szCs w:val="24"/>
        </w:rPr>
        <w:t xml:space="preserve"> </w:t>
      </w:r>
      <w:r w:rsidRPr="00B6504B">
        <w:rPr>
          <w:rFonts w:ascii="Times New Roman" w:hAnsi="Times New Roman" w:cs="Times New Roman"/>
          <w:sz w:val="24"/>
          <w:szCs w:val="24"/>
        </w:rPr>
        <w:t xml:space="preserve">.  </w:t>
      </w:r>
    </w:p>
    <w:p w14:paraId="61ABA67E" w14:textId="77777777" w:rsidR="00B6504B" w:rsidRDefault="00B6504B">
      <w:pPr>
        <w:rPr>
          <w:rFonts w:ascii="Times New Roman" w:hAnsi="Times New Roman" w:cs="Times New Roman"/>
          <w:sz w:val="24"/>
          <w:szCs w:val="24"/>
        </w:rPr>
      </w:pPr>
      <w:r>
        <w:rPr>
          <w:rFonts w:ascii="Times New Roman" w:hAnsi="Times New Roman" w:cs="Times New Roman"/>
          <w:sz w:val="24"/>
          <w:szCs w:val="24"/>
        </w:rPr>
        <w:br w:type="page"/>
      </w:r>
    </w:p>
    <w:p w14:paraId="6C779273" w14:textId="136C6E06" w:rsidR="00080A20" w:rsidRPr="007D7C92" w:rsidRDefault="00080A20" w:rsidP="00B6504B">
      <w:pPr>
        <w:pStyle w:val="Heading1"/>
        <w:spacing w:line="480" w:lineRule="auto"/>
        <w:rPr>
          <w:rFonts w:ascii="Times New Roman" w:hAnsi="Times New Roman" w:cs="Times New Roman"/>
          <w:b/>
          <w:bCs/>
          <w:sz w:val="24"/>
          <w:szCs w:val="24"/>
        </w:rPr>
      </w:pPr>
      <w:bookmarkStart w:id="6" w:name="_Toc212020737"/>
      <w:r w:rsidRPr="007D7C92">
        <w:rPr>
          <w:rFonts w:ascii="Times New Roman" w:hAnsi="Times New Roman" w:cs="Times New Roman"/>
          <w:b/>
          <w:bCs/>
          <w:sz w:val="24"/>
          <w:szCs w:val="24"/>
        </w:rPr>
        <w:t>Conclusion</w:t>
      </w:r>
      <w:bookmarkEnd w:id="6"/>
    </w:p>
    <w:p w14:paraId="423A48AD" w14:textId="77777777" w:rsidR="00080A20" w:rsidRPr="00B6504B" w:rsidRDefault="00080A20" w:rsidP="00B6504B">
      <w:p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An ESMS based on ISO 20121 should be the basis of a sustainable event management framework of mega tourism events exposed through the GRI Event Organizers Sector Supplement, and which aligns governance, events operational programs and public responsibility throughout the entire event lifecycle, including from bid to legacy. Paris2024 case evidence indicates that the best levers to reduce impact and ensure experience quality and accessibility are made by the initial infrastructure and logistics choices, particularly by maximizing existing/temporary venues, full carbon accounting, and mobility </w:t>
      </w:r>
      <w:proofErr w:type="spellStart"/>
      <w:r w:rsidRPr="00B6504B">
        <w:rPr>
          <w:rFonts w:ascii="Times New Roman" w:hAnsi="Times New Roman" w:cs="Times New Roman"/>
          <w:sz w:val="24"/>
          <w:szCs w:val="24"/>
        </w:rPr>
        <w:t>centred</w:t>
      </w:r>
      <w:proofErr w:type="spellEnd"/>
      <w:r w:rsidRPr="00B6504B">
        <w:rPr>
          <w:rFonts w:ascii="Times New Roman" w:hAnsi="Times New Roman" w:cs="Times New Roman"/>
          <w:sz w:val="24"/>
          <w:szCs w:val="24"/>
        </w:rPr>
        <w:t xml:space="preserve"> around transit. The catalytic nature of London 2012 with regard to the inception of the standard underscores how codified systems and sector-specific disclosure generate prolonged learning pathways and comparability which will endure across hosts and cycles and enhance legitimacy and effectiveness over time. By combining governance, measurement, and transparency, organizers can provide large-scale delivery of complex events and achieve climate, social, and economic expectations and positive legacy in line with city strategies and community needs.  </w:t>
      </w:r>
    </w:p>
    <w:p w14:paraId="7A6E91E1" w14:textId="193467D6" w:rsidR="00080A20" w:rsidRPr="007D7C92" w:rsidRDefault="00080A20" w:rsidP="00B6504B">
      <w:pPr>
        <w:pStyle w:val="Heading1"/>
        <w:spacing w:line="480" w:lineRule="auto"/>
        <w:rPr>
          <w:rFonts w:ascii="Times New Roman" w:hAnsi="Times New Roman" w:cs="Times New Roman"/>
          <w:b/>
          <w:bCs/>
          <w:sz w:val="24"/>
          <w:szCs w:val="24"/>
        </w:rPr>
      </w:pPr>
      <w:bookmarkStart w:id="7" w:name="_Toc212020738"/>
      <w:r w:rsidRPr="007D7C92">
        <w:rPr>
          <w:rFonts w:ascii="Times New Roman" w:hAnsi="Times New Roman" w:cs="Times New Roman"/>
          <w:b/>
          <w:bCs/>
          <w:sz w:val="24"/>
          <w:szCs w:val="24"/>
        </w:rPr>
        <w:t>Recommendation</w:t>
      </w:r>
      <w:bookmarkEnd w:id="7"/>
    </w:p>
    <w:p w14:paraId="7EDF62B0"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Implement an ISO 20121 -conforming ESMS up to the bid, establishing the scope, policy, material issues, risks and opportunities, roles, procedures, KPIs, internal audits and management review, by establishing proportional conformity paths based on the risk profile of the event and supplier capacity.  </w:t>
      </w:r>
    </w:p>
    <w:p w14:paraId="79523252"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GRI EOSS should be used to format stakeholder engagement, materiality, KPIs, and lifecycle disclosures on site selection, transport impacts, accessibility, inclusive initiatives, sourcing, health and safety, and knowledge transfer at the end of learning, pre-event forecasts and post-event outcomes to be comparative and educative.  </w:t>
      </w:r>
    </w:p>
    <w:p w14:paraId="71754992"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Integrate the siting and timing of venues into the capacity and location of the public transport and prioritize active mobility and demand management to lessen transport emissions and impact on the community and improve accessibility as well as the visitor experience.  </w:t>
      </w:r>
    </w:p>
    <w:p w14:paraId="444BEB11"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Include a sustainable sourcing code in all contracts which have clear environmental and social standards, verification procedures and remedies and monitor local procurement shares and compliance with suppliers via periodic performance reports documented by sector indicators.  </w:t>
      </w:r>
    </w:p>
    <w:p w14:paraId="372F3B4B"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Streamline company-wide energy sobriety, local sourcing of renewable energy, submetering, water efficiency, waste reduction, standard reusables and high diversion requirements, and indirectly monitor these operational changes to ensure that they are reflected in the ESMS.  </w:t>
      </w:r>
    </w:p>
    <w:p w14:paraId="3D29B3D0"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Enhance social protection through human rights due diligence of contractors and volunteers, ethical recruitment, child protection, inclusive access, and community involvement and effective grievance procedures and commitments to responsibilities.  </w:t>
      </w:r>
    </w:p>
    <w:p w14:paraId="5D554D41" w14:textId="77777777"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 xml:space="preserve">Periodically publish aligned with EOSS reports that report governance, material topics, targets, methodologies, KPIs, incidents, lessons, and legacy plans and may also independently assure key indicators to increase the credibility and trust to the stakeholders.  </w:t>
      </w:r>
    </w:p>
    <w:p w14:paraId="3E12A999" w14:textId="03F3C845" w:rsidR="00080A20" w:rsidRPr="00B6504B" w:rsidRDefault="00080A20" w:rsidP="00B6504B">
      <w:pPr>
        <w:pStyle w:val="ListParagraph"/>
        <w:numPr>
          <w:ilvl w:val="0"/>
          <w:numId w:val="1"/>
        </w:numPr>
        <w:spacing w:line="480" w:lineRule="auto"/>
        <w:rPr>
          <w:rFonts w:ascii="Times New Roman" w:hAnsi="Times New Roman" w:cs="Times New Roman"/>
          <w:sz w:val="24"/>
          <w:szCs w:val="24"/>
        </w:rPr>
      </w:pPr>
      <w:r w:rsidRPr="00B6504B">
        <w:rPr>
          <w:rFonts w:ascii="Times New Roman" w:hAnsi="Times New Roman" w:cs="Times New Roman"/>
          <w:sz w:val="24"/>
          <w:szCs w:val="24"/>
        </w:rPr>
        <w:t>Plan the city climate and city development plans in such a way that temporary and permanent investments complement long-term aims and make legacy handovers and data transfer to venue operators and municipal agencies formal in order to maintain benefits after the event.</w:t>
      </w:r>
    </w:p>
    <w:p w14:paraId="230FC178" w14:textId="0C109747" w:rsidR="0074529D" w:rsidRPr="00B6504B" w:rsidRDefault="0074529D" w:rsidP="00B6504B">
      <w:pPr>
        <w:spacing w:line="480" w:lineRule="auto"/>
        <w:rPr>
          <w:rFonts w:ascii="Times New Roman" w:hAnsi="Times New Roman" w:cs="Times New Roman"/>
          <w:b/>
          <w:bCs/>
          <w:sz w:val="24"/>
          <w:szCs w:val="24"/>
        </w:rPr>
      </w:pPr>
      <w:r w:rsidRPr="00B6504B">
        <w:rPr>
          <w:rFonts w:ascii="Times New Roman" w:hAnsi="Times New Roman" w:cs="Times New Roman"/>
          <w:b/>
          <w:bCs/>
          <w:sz w:val="24"/>
          <w:szCs w:val="24"/>
        </w:rPr>
        <w:t>Comparative case snapshot</w:t>
      </w:r>
      <w:r w:rsidRPr="00B6504B">
        <w:rPr>
          <w:rFonts w:ascii="Times New Roman" w:hAnsi="Times New Roman" w:cs="Times New Roman"/>
          <w:b/>
          <w:bCs/>
          <w:sz w:val="24"/>
          <w:szCs w:val="24"/>
        </w:rPr>
        <w:fldChar w:fldCharType="begin"/>
      </w:r>
      <w:r w:rsidRPr="00B6504B">
        <w:rPr>
          <w:rFonts w:ascii="Times New Roman" w:hAnsi="Times New Roman" w:cs="Times New Roman"/>
          <w:b/>
          <w:bCs/>
          <w:sz w:val="24"/>
          <w:szCs w:val="24"/>
        </w:rPr>
        <w:instrText xml:space="preserve"> LINK Excel.Sheet.12 "Book1" "Sheet1!R1C1:R3C3" \a \f 4 \h  \* MERGEFORMAT </w:instrText>
      </w:r>
      <w:r w:rsidRPr="00B6504B">
        <w:rPr>
          <w:rFonts w:ascii="Times New Roman" w:hAnsi="Times New Roman" w:cs="Times New Roman"/>
          <w:b/>
          <w:bCs/>
          <w:sz w:val="24"/>
          <w:szCs w:val="24"/>
        </w:rPr>
        <w:fldChar w:fldCharType="separate"/>
      </w:r>
    </w:p>
    <w:tbl>
      <w:tblPr>
        <w:tblW w:w="8722" w:type="dxa"/>
        <w:tblLook w:val="04A0" w:firstRow="1" w:lastRow="0" w:firstColumn="1" w:lastColumn="0" w:noHBand="0" w:noVBand="1"/>
      </w:tblPr>
      <w:tblGrid>
        <w:gridCol w:w="1554"/>
        <w:gridCol w:w="2780"/>
        <w:gridCol w:w="4388"/>
      </w:tblGrid>
      <w:tr w:rsidR="0074529D" w:rsidRPr="0074529D" w14:paraId="26D46976" w14:textId="77777777" w:rsidTr="0074529D">
        <w:trPr>
          <w:trHeight w:val="295"/>
        </w:trPr>
        <w:tc>
          <w:tcPr>
            <w:tcW w:w="1554" w:type="dxa"/>
            <w:tcBorders>
              <w:top w:val="single" w:sz="8" w:space="0" w:color="000000"/>
              <w:left w:val="single" w:sz="8" w:space="0" w:color="000000"/>
              <w:bottom w:val="single" w:sz="8" w:space="0" w:color="000000"/>
              <w:right w:val="single" w:sz="8" w:space="0" w:color="000000"/>
            </w:tcBorders>
            <w:shd w:val="clear" w:color="4472C4" w:fill="4472C4"/>
            <w:hideMark/>
          </w:tcPr>
          <w:p w14:paraId="2A780D45" w14:textId="1A35F549" w:rsidR="0074529D" w:rsidRPr="0074529D" w:rsidRDefault="0074529D" w:rsidP="00B6504B">
            <w:pPr>
              <w:spacing w:after="0" w:line="480" w:lineRule="auto"/>
              <w:rPr>
                <w:rFonts w:ascii="Times New Roman" w:eastAsia="Times New Roman" w:hAnsi="Times New Roman" w:cs="Times New Roman"/>
                <w:b/>
                <w:bCs/>
                <w:color w:val="FFFFFF"/>
                <w:sz w:val="24"/>
                <w:szCs w:val="24"/>
              </w:rPr>
            </w:pPr>
            <w:r w:rsidRPr="0074529D">
              <w:rPr>
                <w:rFonts w:ascii="Times New Roman" w:eastAsia="Times New Roman" w:hAnsi="Times New Roman" w:cs="Times New Roman"/>
                <w:b/>
                <w:bCs/>
                <w:color w:val="FFFFFF"/>
                <w:sz w:val="24"/>
                <w:szCs w:val="24"/>
              </w:rPr>
              <w:t>Event</w:t>
            </w:r>
          </w:p>
        </w:tc>
        <w:tc>
          <w:tcPr>
            <w:tcW w:w="2780" w:type="dxa"/>
            <w:tcBorders>
              <w:top w:val="single" w:sz="8" w:space="0" w:color="000000"/>
              <w:left w:val="nil"/>
              <w:bottom w:val="single" w:sz="8" w:space="0" w:color="000000"/>
              <w:right w:val="single" w:sz="8" w:space="0" w:color="000000"/>
            </w:tcBorders>
            <w:shd w:val="clear" w:color="4472C4" w:fill="4472C4"/>
            <w:hideMark/>
          </w:tcPr>
          <w:p w14:paraId="5AA1DB38" w14:textId="77777777" w:rsidR="0074529D" w:rsidRPr="0074529D" w:rsidRDefault="0074529D" w:rsidP="00B6504B">
            <w:pPr>
              <w:spacing w:after="0" w:line="480" w:lineRule="auto"/>
              <w:rPr>
                <w:rFonts w:ascii="Times New Roman" w:eastAsia="Times New Roman" w:hAnsi="Times New Roman" w:cs="Times New Roman"/>
                <w:b/>
                <w:bCs/>
                <w:color w:val="FFFFFF"/>
                <w:sz w:val="24"/>
                <w:szCs w:val="24"/>
              </w:rPr>
            </w:pPr>
            <w:r w:rsidRPr="0074529D">
              <w:rPr>
                <w:rFonts w:ascii="Times New Roman" w:eastAsia="Times New Roman" w:hAnsi="Times New Roman" w:cs="Times New Roman"/>
                <w:b/>
                <w:bCs/>
                <w:color w:val="FFFFFF"/>
                <w:sz w:val="24"/>
                <w:szCs w:val="24"/>
              </w:rPr>
              <w:t>Core strategy</w:t>
            </w:r>
          </w:p>
        </w:tc>
        <w:tc>
          <w:tcPr>
            <w:tcW w:w="4388" w:type="dxa"/>
            <w:tcBorders>
              <w:top w:val="single" w:sz="8" w:space="0" w:color="000000"/>
              <w:left w:val="nil"/>
              <w:bottom w:val="single" w:sz="8" w:space="0" w:color="000000"/>
              <w:right w:val="single" w:sz="4" w:space="0" w:color="4472C4"/>
            </w:tcBorders>
            <w:shd w:val="clear" w:color="4472C4" w:fill="4472C4"/>
            <w:hideMark/>
          </w:tcPr>
          <w:p w14:paraId="0E63D44E" w14:textId="77777777" w:rsidR="0074529D" w:rsidRPr="0074529D" w:rsidRDefault="0074529D" w:rsidP="00B6504B">
            <w:pPr>
              <w:spacing w:after="0" w:line="480" w:lineRule="auto"/>
              <w:rPr>
                <w:rFonts w:ascii="Times New Roman" w:eastAsia="Times New Roman" w:hAnsi="Times New Roman" w:cs="Times New Roman"/>
                <w:b/>
                <w:bCs/>
                <w:color w:val="FFFFFF"/>
                <w:sz w:val="24"/>
                <w:szCs w:val="24"/>
              </w:rPr>
            </w:pPr>
            <w:r w:rsidRPr="0074529D">
              <w:rPr>
                <w:rFonts w:ascii="Times New Roman" w:eastAsia="Times New Roman" w:hAnsi="Times New Roman" w:cs="Times New Roman"/>
                <w:b/>
                <w:bCs/>
                <w:color w:val="FFFFFF"/>
                <w:sz w:val="24"/>
                <w:szCs w:val="24"/>
              </w:rPr>
              <w:t>Notable sustainability features</w:t>
            </w:r>
          </w:p>
        </w:tc>
      </w:tr>
      <w:tr w:rsidR="0074529D" w:rsidRPr="0074529D" w14:paraId="3D5441A1" w14:textId="77777777" w:rsidTr="0074529D">
        <w:trPr>
          <w:trHeight w:val="1428"/>
        </w:trPr>
        <w:tc>
          <w:tcPr>
            <w:tcW w:w="1554" w:type="dxa"/>
            <w:tcBorders>
              <w:top w:val="single" w:sz="4" w:space="0" w:color="4472C4"/>
              <w:left w:val="single" w:sz="8" w:space="0" w:color="000000"/>
              <w:bottom w:val="single" w:sz="8" w:space="0" w:color="000000"/>
              <w:right w:val="single" w:sz="8" w:space="0" w:color="000000"/>
            </w:tcBorders>
            <w:shd w:val="clear" w:color="auto" w:fill="auto"/>
            <w:vAlign w:val="center"/>
            <w:hideMark/>
          </w:tcPr>
          <w:p w14:paraId="3DDEA564"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London 2012</w:t>
            </w:r>
          </w:p>
        </w:tc>
        <w:tc>
          <w:tcPr>
            <w:tcW w:w="2780" w:type="dxa"/>
            <w:tcBorders>
              <w:top w:val="single" w:sz="4" w:space="0" w:color="4472C4"/>
              <w:left w:val="nil"/>
              <w:bottom w:val="single" w:sz="8" w:space="0" w:color="000000"/>
              <w:right w:val="single" w:sz="8" w:space="0" w:color="000000"/>
            </w:tcBorders>
            <w:shd w:val="clear" w:color="auto" w:fill="auto"/>
            <w:vAlign w:val="center"/>
            <w:hideMark/>
          </w:tcPr>
          <w:p w14:paraId="217BB8C8"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Catalyst for ISO 20121 standardization</w:t>
            </w:r>
          </w:p>
        </w:tc>
        <w:tc>
          <w:tcPr>
            <w:tcW w:w="4388" w:type="dxa"/>
            <w:tcBorders>
              <w:top w:val="single" w:sz="4" w:space="0" w:color="4472C4"/>
              <w:left w:val="nil"/>
              <w:bottom w:val="single" w:sz="8" w:space="0" w:color="000000"/>
              <w:right w:val="single" w:sz="4" w:space="0" w:color="4472C4"/>
            </w:tcBorders>
            <w:shd w:val="clear" w:color="auto" w:fill="auto"/>
            <w:vAlign w:val="center"/>
            <w:hideMark/>
          </w:tcPr>
          <w:p w14:paraId="226CA720" w14:textId="2E7DEB2B" w:rsidR="0074529D" w:rsidRPr="0074529D" w:rsidRDefault="0074529D" w:rsidP="00B6504B">
            <w:pPr>
              <w:spacing w:after="0" w:line="480" w:lineRule="auto"/>
              <w:rPr>
                <w:rFonts w:ascii="Times New Roman" w:eastAsia="Times New Roman" w:hAnsi="Times New Roman" w:cs="Times New Roman"/>
                <w:b/>
                <w:bCs/>
                <w:color w:val="0563C1"/>
                <w:sz w:val="24"/>
                <w:szCs w:val="24"/>
                <w:u w:val="single"/>
              </w:rPr>
            </w:pPr>
            <w:hyperlink r:id="rId10" w:tgtFrame="_blank" w:history="1">
              <w:r w:rsidRPr="0074529D">
                <w:rPr>
                  <w:rFonts w:ascii="Times New Roman" w:eastAsia="Times New Roman" w:hAnsi="Times New Roman" w:cs="Times New Roman"/>
                  <w:b/>
                  <w:bCs/>
                  <w:color w:val="0563C1"/>
                  <w:sz w:val="24"/>
                  <w:szCs w:val="24"/>
                  <w:u w:val="single"/>
                </w:rPr>
                <w:t>First ISO 20121 edition timed for the Games, seeding a management-system approach adopted by later events ​.</w:t>
              </w:r>
            </w:hyperlink>
          </w:p>
        </w:tc>
      </w:tr>
      <w:tr w:rsidR="0074529D" w:rsidRPr="0074529D" w14:paraId="70834DC9" w14:textId="77777777" w:rsidTr="0074529D">
        <w:trPr>
          <w:trHeight w:val="1676"/>
        </w:trPr>
        <w:tc>
          <w:tcPr>
            <w:tcW w:w="1554" w:type="dxa"/>
            <w:tcBorders>
              <w:top w:val="single" w:sz="4" w:space="0" w:color="4472C4"/>
              <w:left w:val="single" w:sz="8" w:space="0" w:color="000000"/>
              <w:bottom w:val="single" w:sz="4" w:space="0" w:color="4472C4"/>
              <w:right w:val="single" w:sz="8" w:space="0" w:color="000000"/>
            </w:tcBorders>
            <w:shd w:val="clear" w:color="auto" w:fill="auto"/>
            <w:vAlign w:val="center"/>
            <w:hideMark/>
          </w:tcPr>
          <w:p w14:paraId="64669082"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Paris 2024</w:t>
            </w:r>
          </w:p>
        </w:tc>
        <w:tc>
          <w:tcPr>
            <w:tcW w:w="2780" w:type="dxa"/>
            <w:tcBorders>
              <w:top w:val="single" w:sz="4" w:space="0" w:color="4472C4"/>
              <w:left w:val="nil"/>
              <w:bottom w:val="single" w:sz="4" w:space="0" w:color="4472C4"/>
              <w:right w:val="single" w:sz="8" w:space="0" w:color="000000"/>
            </w:tcBorders>
            <w:shd w:val="clear" w:color="auto" w:fill="auto"/>
            <w:vAlign w:val="center"/>
            <w:hideMark/>
          </w:tcPr>
          <w:p w14:paraId="4DC2AEF5" w14:textId="77777777" w:rsidR="0074529D" w:rsidRPr="0074529D" w:rsidRDefault="0074529D" w:rsidP="00B6504B">
            <w:pPr>
              <w:spacing w:after="0" w:line="480" w:lineRule="auto"/>
              <w:rPr>
                <w:rFonts w:ascii="Times New Roman" w:eastAsia="Times New Roman" w:hAnsi="Times New Roman" w:cs="Times New Roman"/>
                <w:b/>
                <w:bCs/>
                <w:color w:val="000000"/>
                <w:sz w:val="24"/>
                <w:szCs w:val="24"/>
              </w:rPr>
            </w:pPr>
            <w:r w:rsidRPr="0074529D">
              <w:rPr>
                <w:rFonts w:ascii="Times New Roman" w:eastAsia="Times New Roman" w:hAnsi="Times New Roman" w:cs="Times New Roman"/>
                <w:b/>
                <w:bCs/>
                <w:color w:val="000000"/>
                <w:sz w:val="24"/>
                <w:szCs w:val="24"/>
              </w:rPr>
              <w:t>Decarbonization-first infrastructure logic</w:t>
            </w:r>
          </w:p>
        </w:tc>
        <w:tc>
          <w:tcPr>
            <w:tcW w:w="4388" w:type="dxa"/>
            <w:tcBorders>
              <w:top w:val="single" w:sz="4" w:space="0" w:color="4472C4"/>
              <w:left w:val="nil"/>
              <w:bottom w:val="single" w:sz="4" w:space="0" w:color="4472C4"/>
              <w:right w:val="single" w:sz="4" w:space="0" w:color="4472C4"/>
            </w:tcBorders>
            <w:shd w:val="clear" w:color="auto" w:fill="auto"/>
            <w:vAlign w:val="center"/>
            <w:hideMark/>
          </w:tcPr>
          <w:p w14:paraId="40BEBDC7" w14:textId="2FB38A8B" w:rsidR="0074529D" w:rsidRPr="0074529D" w:rsidRDefault="0074529D" w:rsidP="00B6504B">
            <w:pPr>
              <w:spacing w:after="0" w:line="480" w:lineRule="auto"/>
              <w:rPr>
                <w:rFonts w:ascii="Times New Roman" w:eastAsia="Times New Roman" w:hAnsi="Times New Roman" w:cs="Times New Roman"/>
                <w:b/>
                <w:bCs/>
                <w:color w:val="0563C1"/>
                <w:sz w:val="24"/>
                <w:szCs w:val="24"/>
                <w:u w:val="single"/>
              </w:rPr>
            </w:pPr>
            <w:hyperlink r:id="rId11" w:tgtFrame="_blank" w:history="1">
              <w:r w:rsidRPr="0074529D">
                <w:rPr>
                  <w:rFonts w:ascii="Times New Roman" w:eastAsia="Times New Roman" w:hAnsi="Times New Roman" w:cs="Times New Roman"/>
                  <w:b/>
                  <w:bCs/>
                  <w:color w:val="0563C1"/>
                  <w:sz w:val="24"/>
                  <w:szCs w:val="24"/>
                  <w:u w:val="single"/>
                </w:rPr>
                <w:t>95% existing/temporary venues and 50% footprint reduction target with scopes 1–3 coverage including spectator travel ​.</w:t>
              </w:r>
            </w:hyperlink>
          </w:p>
        </w:tc>
      </w:tr>
    </w:tbl>
    <w:p w14:paraId="5F97B12B" w14:textId="3DCD619B" w:rsidR="002A3472" w:rsidRDefault="0074529D" w:rsidP="00B6504B">
      <w:pPr>
        <w:spacing w:line="480" w:lineRule="auto"/>
        <w:rPr>
          <w:rFonts w:ascii="Times New Roman" w:hAnsi="Times New Roman" w:cs="Times New Roman"/>
          <w:b/>
          <w:bCs/>
          <w:sz w:val="24"/>
          <w:szCs w:val="24"/>
        </w:rPr>
      </w:pPr>
      <w:r w:rsidRPr="00B6504B">
        <w:rPr>
          <w:rFonts w:ascii="Times New Roman" w:hAnsi="Times New Roman" w:cs="Times New Roman"/>
          <w:b/>
          <w:bCs/>
          <w:sz w:val="24"/>
          <w:szCs w:val="24"/>
        </w:rPr>
        <w:fldChar w:fldCharType="end"/>
      </w:r>
    </w:p>
    <w:p w14:paraId="0B263C19" w14:textId="77777777" w:rsidR="002A3472" w:rsidRDefault="002A3472">
      <w:pPr>
        <w:rPr>
          <w:rFonts w:ascii="Times New Roman" w:hAnsi="Times New Roman" w:cs="Times New Roman"/>
          <w:b/>
          <w:bCs/>
          <w:sz w:val="24"/>
          <w:szCs w:val="24"/>
        </w:rPr>
      </w:pPr>
      <w:r>
        <w:rPr>
          <w:rFonts w:ascii="Times New Roman" w:hAnsi="Times New Roman" w:cs="Times New Roman"/>
          <w:b/>
          <w:bCs/>
          <w:sz w:val="24"/>
          <w:szCs w:val="24"/>
        </w:rPr>
        <w:br w:type="page"/>
      </w:r>
    </w:p>
    <w:p w14:paraId="368C4204" w14:textId="76CAEBEA" w:rsidR="0074529D" w:rsidRDefault="002A3472" w:rsidP="002A3472">
      <w:pPr>
        <w:pStyle w:val="Heading1"/>
        <w:rPr>
          <w:rFonts w:ascii="Times New Roman" w:hAnsi="Times New Roman" w:cs="Times New Roman"/>
          <w:b/>
          <w:bCs/>
          <w:sz w:val="24"/>
          <w:szCs w:val="24"/>
        </w:rPr>
      </w:pPr>
      <w:bookmarkStart w:id="8" w:name="_Toc212020739"/>
      <w:r w:rsidRPr="002A3472">
        <w:rPr>
          <w:rFonts w:ascii="Times New Roman" w:hAnsi="Times New Roman" w:cs="Times New Roman"/>
          <w:b/>
          <w:bCs/>
          <w:sz w:val="24"/>
          <w:szCs w:val="24"/>
        </w:rPr>
        <w:t>References</w:t>
      </w:r>
      <w:bookmarkEnd w:id="8"/>
    </w:p>
    <w:p w14:paraId="61C959CE" w14:textId="04871FF6" w:rsidR="002A3472" w:rsidRDefault="002A3472" w:rsidP="002A3472"/>
    <w:p w14:paraId="4926F007" w14:textId="77777777" w:rsidR="002A3472" w:rsidRDefault="002A3472" w:rsidP="002A3472"/>
    <w:p w14:paraId="75D31973" w14:textId="77777777" w:rsidR="002A3472" w:rsidRDefault="002A3472" w:rsidP="002A3472">
      <w:pPr>
        <w:pStyle w:val="NormalWeb"/>
        <w:spacing w:before="0" w:beforeAutospacing="0" w:after="0" w:afterAutospacing="0" w:line="480" w:lineRule="auto"/>
        <w:ind w:left="720" w:hanging="720"/>
      </w:pPr>
      <w:r>
        <w:t xml:space="preserve">Global Strategic Communications Council (2022) </w:t>
      </w:r>
      <w:r>
        <w:rPr>
          <w:i/>
          <w:iCs/>
        </w:rPr>
        <w:t xml:space="preserve">Poor tackling: Yellow card for 2022 FIFA World </w:t>
      </w:r>
      <w:proofErr w:type="spellStart"/>
      <w:r>
        <w:rPr>
          <w:i/>
          <w:iCs/>
        </w:rPr>
        <w:t>Cupʼs</w:t>
      </w:r>
      <w:proofErr w:type="spellEnd"/>
      <w:r>
        <w:rPr>
          <w:i/>
          <w:iCs/>
        </w:rPr>
        <w:t xml:space="preserve"> carbon neutrality claim</w:t>
      </w:r>
      <w:r>
        <w:t xml:space="preserve">. </w:t>
      </w:r>
      <w:r>
        <w:rPr>
          <w:rStyle w:val="url"/>
          <w:rFonts w:eastAsiaTheme="majorEastAsia"/>
        </w:rPr>
        <w:t>https://carbonmarketwatch.org/wp-content/uploads/2022/05/Poor-tackling_-Yellow-card-for-2022-FIFA.pdf</w:t>
      </w:r>
      <w:r>
        <w:t>.</w:t>
      </w:r>
    </w:p>
    <w:p w14:paraId="3E8459F9" w14:textId="77777777" w:rsidR="002A3472" w:rsidRDefault="002A3472" w:rsidP="002A3472">
      <w:pPr>
        <w:pStyle w:val="NormalWeb"/>
        <w:spacing w:before="0" w:beforeAutospacing="0" w:after="0" w:afterAutospacing="0" w:line="480" w:lineRule="auto"/>
        <w:ind w:left="720" w:hanging="720"/>
      </w:pPr>
      <w:r>
        <w:t xml:space="preserve">GRI (2012) </w:t>
      </w:r>
      <w:r>
        <w:rPr>
          <w:i/>
          <w:iCs/>
        </w:rPr>
        <w:t>Sustainability Reporting Guidelines &amp; Event Organizers Sector supplement</w:t>
      </w:r>
      <w:r>
        <w:t xml:space="preserve">. </w:t>
      </w:r>
      <w:r>
        <w:rPr>
          <w:rStyle w:val="url"/>
          <w:rFonts w:eastAsiaTheme="majorEastAsia"/>
        </w:rPr>
        <w:t>https://www.comunicarseweb.com/sites/default/files/biblioteca/pdf/1327939318_GRI-Organizacion-Eventos.pdf</w:t>
      </w:r>
      <w:r>
        <w:t>.</w:t>
      </w:r>
    </w:p>
    <w:p w14:paraId="767C6F69" w14:textId="77777777" w:rsidR="002A3472" w:rsidRDefault="002A3472" w:rsidP="002A3472">
      <w:pPr>
        <w:pStyle w:val="NormalWeb"/>
        <w:spacing w:before="0" w:beforeAutospacing="0" w:after="0" w:afterAutospacing="0" w:line="480" w:lineRule="auto"/>
        <w:ind w:left="720" w:hanging="720"/>
      </w:pPr>
      <w:r>
        <w:t xml:space="preserve">GRI Event Organizers (2012) </w:t>
      </w:r>
      <w:r>
        <w:rPr>
          <w:i/>
          <w:iCs/>
        </w:rPr>
        <w:t>GRI Event Organizers Sector Supplement Summary Guide</w:t>
      </w:r>
      <w:r>
        <w:t xml:space="preserve">, </w:t>
      </w:r>
      <w:r>
        <w:rPr>
          <w:i/>
          <w:iCs/>
        </w:rPr>
        <w:t>GRI Event Organizers Sector Supplement Summary Guide</w:t>
      </w:r>
      <w:r>
        <w:t xml:space="preserve">. </w:t>
      </w:r>
      <w:r>
        <w:rPr>
          <w:rStyle w:val="url"/>
          <w:rFonts w:eastAsiaTheme="majorEastAsia"/>
        </w:rPr>
        <w:t>https://stephenking2012.wordpress.com/wp-content/uploads/2012/04/eoss-g3-1-summaryguide-qrs.pdf</w:t>
      </w:r>
      <w:r>
        <w:t>.</w:t>
      </w:r>
    </w:p>
    <w:p w14:paraId="1ECAF3B3" w14:textId="77777777" w:rsidR="002A3472" w:rsidRDefault="002A3472" w:rsidP="002A3472">
      <w:pPr>
        <w:pStyle w:val="NormalWeb"/>
        <w:spacing w:before="0" w:beforeAutospacing="0" w:after="0" w:afterAutospacing="0" w:line="480" w:lineRule="auto"/>
        <w:ind w:left="720" w:hanging="720"/>
      </w:pPr>
      <w:r>
        <w:rPr>
          <w:i/>
          <w:iCs/>
        </w:rPr>
        <w:t>Inside FIFA</w:t>
      </w:r>
      <w:r>
        <w:t xml:space="preserve"> (2022). </w:t>
      </w:r>
      <w:r>
        <w:rPr>
          <w:rStyle w:val="url"/>
          <w:rFonts w:eastAsiaTheme="majorEastAsia"/>
        </w:rPr>
        <w:t>https://inside.fifa.com/tournament-organisation/world-cup-2022-sustainability-report/sustainability-at-the-fifa-world-cup-2022</w:t>
      </w:r>
      <w:r>
        <w:t>.</w:t>
      </w:r>
    </w:p>
    <w:p w14:paraId="6AF3EADF" w14:textId="77777777" w:rsidR="002A3472" w:rsidRDefault="002A3472" w:rsidP="002A3472">
      <w:pPr>
        <w:pStyle w:val="NormalWeb"/>
        <w:spacing w:before="0" w:beforeAutospacing="0" w:after="0" w:afterAutospacing="0" w:line="480" w:lineRule="auto"/>
        <w:ind w:left="720" w:hanging="720"/>
      </w:pPr>
      <w:r>
        <w:rPr>
          <w:i/>
          <w:iCs/>
        </w:rPr>
        <w:t>ISO 20121 - Event Sustainability Management Systems</w:t>
      </w:r>
      <w:r>
        <w:t xml:space="preserve"> (2012). </w:t>
      </w:r>
      <w:r>
        <w:rPr>
          <w:rStyle w:val="url"/>
          <w:rFonts w:eastAsiaTheme="majorEastAsia"/>
        </w:rPr>
        <w:t>https://www.bsigroup.com/en-GB/products-and-services/standards/iso-20121-event-sustainability-management-systems/</w:t>
      </w:r>
      <w:r>
        <w:t>.</w:t>
      </w:r>
    </w:p>
    <w:p w14:paraId="2A866CD7" w14:textId="77777777" w:rsidR="002A3472" w:rsidRDefault="002A3472" w:rsidP="002A3472">
      <w:pPr>
        <w:pStyle w:val="NormalWeb"/>
        <w:spacing w:before="0" w:beforeAutospacing="0" w:after="0" w:afterAutospacing="0" w:line="480" w:lineRule="auto"/>
        <w:ind w:left="720" w:hanging="720"/>
      </w:pPr>
      <w:r>
        <w:rPr>
          <w:i/>
          <w:iCs/>
        </w:rPr>
        <w:t>ISO 20121:2024</w:t>
      </w:r>
      <w:r>
        <w:t xml:space="preserve"> (2024). </w:t>
      </w:r>
      <w:r>
        <w:rPr>
          <w:rStyle w:val="url"/>
          <w:rFonts w:eastAsiaTheme="majorEastAsia"/>
        </w:rPr>
        <w:t>https://www.iso.org/standard/86389.html</w:t>
      </w:r>
      <w:r>
        <w:t>.</w:t>
      </w:r>
    </w:p>
    <w:p w14:paraId="020A4974" w14:textId="77777777" w:rsidR="002A3472" w:rsidRDefault="002A3472" w:rsidP="002A3472">
      <w:pPr>
        <w:pStyle w:val="NormalWeb"/>
        <w:spacing w:before="0" w:beforeAutospacing="0" w:after="0" w:afterAutospacing="0" w:line="480" w:lineRule="auto"/>
        <w:ind w:left="720" w:hanging="720"/>
      </w:pPr>
      <w:r>
        <w:t xml:space="preserve">SGS (2024) </w:t>
      </w:r>
      <w:r>
        <w:rPr>
          <w:i/>
          <w:iCs/>
        </w:rPr>
        <w:t>Create Sensational, Sustainable Events with ISO 20121:2024</w:t>
      </w:r>
      <w:r>
        <w:t xml:space="preserve">. </w:t>
      </w:r>
      <w:r>
        <w:rPr>
          <w:rStyle w:val="url"/>
          <w:rFonts w:eastAsiaTheme="majorEastAsia"/>
        </w:rPr>
        <w:t>https://www.sgs.com/en-in/news/2024/10/create-sensational-sustainable-events-with-iso-20121-2024</w:t>
      </w:r>
      <w:r>
        <w:t>.</w:t>
      </w:r>
    </w:p>
    <w:p w14:paraId="5FB09658" w14:textId="77777777" w:rsidR="002A3472" w:rsidRDefault="002A3472" w:rsidP="002A3472">
      <w:pPr>
        <w:pStyle w:val="NormalWeb"/>
        <w:spacing w:before="0" w:beforeAutospacing="0" w:after="0" w:afterAutospacing="0" w:line="480" w:lineRule="auto"/>
        <w:ind w:left="720" w:hanging="720"/>
      </w:pPr>
      <w:r>
        <w:t xml:space="preserve">UNDP Serbia (2023) </w:t>
      </w:r>
      <w:r>
        <w:rPr>
          <w:i/>
          <w:iCs/>
        </w:rPr>
        <w:t>Guideline for sustainable events</w:t>
      </w:r>
      <w:r>
        <w:t xml:space="preserve">. </w:t>
      </w:r>
      <w:r>
        <w:rPr>
          <w:rStyle w:val="url"/>
          <w:rFonts w:eastAsiaTheme="majorEastAsia"/>
        </w:rPr>
        <w:t>https://www.undp.org/serbia/publications/guideline-sustainable-events</w:t>
      </w:r>
      <w:r>
        <w:t>.</w:t>
      </w:r>
    </w:p>
    <w:p w14:paraId="4EE1D7F7" w14:textId="77777777" w:rsidR="002A3472" w:rsidRPr="002A3472" w:rsidRDefault="002A3472" w:rsidP="002A3472"/>
    <w:sectPr w:rsidR="002A3472" w:rsidRPr="002A3472" w:rsidSect="001223F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C1751"/>
    <w:multiLevelType w:val="hybridMultilevel"/>
    <w:tmpl w:val="5CBE7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725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AA"/>
    <w:rsid w:val="00080A20"/>
    <w:rsid w:val="00096170"/>
    <w:rsid w:val="000C40DF"/>
    <w:rsid w:val="001223F9"/>
    <w:rsid w:val="00187D09"/>
    <w:rsid w:val="001C3ABD"/>
    <w:rsid w:val="001F19DC"/>
    <w:rsid w:val="0025483B"/>
    <w:rsid w:val="00285CAB"/>
    <w:rsid w:val="002959E1"/>
    <w:rsid w:val="002A3472"/>
    <w:rsid w:val="00397B91"/>
    <w:rsid w:val="004E1EE5"/>
    <w:rsid w:val="00557AA4"/>
    <w:rsid w:val="00601347"/>
    <w:rsid w:val="00601892"/>
    <w:rsid w:val="006B2FE5"/>
    <w:rsid w:val="006D0BAA"/>
    <w:rsid w:val="0074529D"/>
    <w:rsid w:val="007D7C92"/>
    <w:rsid w:val="008E145B"/>
    <w:rsid w:val="00952333"/>
    <w:rsid w:val="00AF2FE6"/>
    <w:rsid w:val="00B217EB"/>
    <w:rsid w:val="00B54EA2"/>
    <w:rsid w:val="00B6504B"/>
    <w:rsid w:val="00B875AA"/>
    <w:rsid w:val="00C06FB4"/>
    <w:rsid w:val="00C27ABE"/>
    <w:rsid w:val="00C61672"/>
    <w:rsid w:val="00CA530F"/>
    <w:rsid w:val="00D17996"/>
    <w:rsid w:val="00D617AC"/>
    <w:rsid w:val="00D7670D"/>
    <w:rsid w:val="00D90620"/>
    <w:rsid w:val="00EA6149"/>
    <w:rsid w:val="00EF0D4F"/>
    <w:rsid w:val="00EF481C"/>
    <w:rsid w:val="00EF508F"/>
    <w:rsid w:val="00FB1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5DDB"/>
  <w15:chartTrackingRefBased/>
  <w15:docId w15:val="{6FAA3BAF-8F52-403F-9F19-8C956D9E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8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A20"/>
    <w:pPr>
      <w:ind w:left="720"/>
      <w:contextualSpacing/>
    </w:pPr>
  </w:style>
  <w:style w:type="character" w:styleId="Strong">
    <w:name w:val="Strong"/>
    <w:basedOn w:val="DefaultParagraphFont"/>
    <w:uiPriority w:val="22"/>
    <w:qFormat/>
    <w:rsid w:val="0025483B"/>
    <w:rPr>
      <w:b/>
      <w:bCs/>
    </w:rPr>
  </w:style>
  <w:style w:type="character" w:customStyle="1" w:styleId="Heading1Char">
    <w:name w:val="Heading 1 Char"/>
    <w:basedOn w:val="DefaultParagraphFont"/>
    <w:link w:val="Heading1"/>
    <w:uiPriority w:val="9"/>
    <w:rsid w:val="0025483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A34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A3472"/>
  </w:style>
  <w:style w:type="paragraph" w:styleId="TOCHeading">
    <w:name w:val="TOC Heading"/>
    <w:basedOn w:val="Heading1"/>
    <w:next w:val="Normal"/>
    <w:uiPriority w:val="39"/>
    <w:unhideWhenUsed/>
    <w:qFormat/>
    <w:rsid w:val="007D7C92"/>
    <w:pPr>
      <w:outlineLvl w:val="9"/>
    </w:pPr>
    <w:rPr>
      <w:lang w:eastAsia="en-US"/>
    </w:rPr>
  </w:style>
  <w:style w:type="paragraph" w:styleId="TOC1">
    <w:name w:val="toc 1"/>
    <w:basedOn w:val="Normal"/>
    <w:next w:val="Normal"/>
    <w:autoRedefine/>
    <w:uiPriority w:val="39"/>
    <w:unhideWhenUsed/>
    <w:rsid w:val="007D7C92"/>
    <w:pPr>
      <w:spacing w:after="100"/>
    </w:pPr>
  </w:style>
  <w:style w:type="character" w:styleId="Hyperlink">
    <w:name w:val="Hyperlink"/>
    <w:basedOn w:val="DefaultParagraphFont"/>
    <w:uiPriority w:val="99"/>
    <w:unhideWhenUsed/>
    <w:rsid w:val="007D7C92"/>
    <w:rPr>
      <w:color w:val="0563C1" w:themeColor="hyperlink"/>
      <w:u w:val="single"/>
    </w:rPr>
  </w:style>
  <w:style w:type="paragraph" w:styleId="NoSpacing">
    <w:name w:val="No Spacing"/>
    <w:link w:val="NoSpacingChar"/>
    <w:uiPriority w:val="1"/>
    <w:qFormat/>
    <w:rsid w:val="001223F9"/>
    <w:pPr>
      <w:spacing w:after="0" w:line="240" w:lineRule="auto"/>
    </w:pPr>
    <w:rPr>
      <w:lang w:eastAsia="en-US"/>
    </w:rPr>
  </w:style>
  <w:style w:type="character" w:customStyle="1" w:styleId="NoSpacingChar">
    <w:name w:val="No Spacing Char"/>
    <w:basedOn w:val="DefaultParagraphFont"/>
    <w:link w:val="NoSpacing"/>
    <w:uiPriority w:val="1"/>
    <w:rsid w:val="001223F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284439">
      <w:bodyDiv w:val="1"/>
      <w:marLeft w:val="0"/>
      <w:marRight w:val="0"/>
      <w:marTop w:val="0"/>
      <w:marBottom w:val="0"/>
      <w:divBdr>
        <w:top w:val="none" w:sz="0" w:space="0" w:color="auto"/>
        <w:left w:val="none" w:sz="0" w:space="0" w:color="auto"/>
        <w:bottom w:val="none" w:sz="0" w:space="0" w:color="auto"/>
        <w:right w:val="none" w:sz="0" w:space="0" w:color="auto"/>
      </w:divBdr>
    </w:div>
    <w:div w:id="1322392519">
      <w:bodyDiv w:val="1"/>
      <w:marLeft w:val="0"/>
      <w:marRight w:val="0"/>
      <w:marTop w:val="0"/>
      <w:marBottom w:val="0"/>
      <w:divBdr>
        <w:top w:val="none" w:sz="0" w:space="0" w:color="auto"/>
        <w:left w:val="none" w:sz="0" w:space="0" w:color="auto"/>
        <w:bottom w:val="none" w:sz="0" w:space="0" w:color="auto"/>
        <w:right w:val="none" w:sz="0" w:space="0" w:color="auto"/>
      </w:divBdr>
    </w:div>
    <w:div w:id="20882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olympics.com/ioc/news/all-you-need-to-know-about-paris-2024-sustainability" TargetMode="External"/><Relationship Id="rId5" Type="http://schemas.openxmlformats.org/officeDocument/2006/relationships/webSettings" Target="webSettings.xml"/><Relationship Id="rId10" Type="http://schemas.openxmlformats.org/officeDocument/2006/relationships/hyperlink" Target="https://committee.iso.org/sites/tc250/home/projects/ongoing/ongoing-1.html"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A8E18D-EBFC-4E23-9C30-14642AF31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24</Pages>
  <Words>4116</Words>
  <Characters>27953</Characters>
  <Application>Microsoft Office Word</Application>
  <DocSecurity>0</DocSecurity>
  <Lines>443</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Prajapat</dc:creator>
  <cp:keywords/>
  <dc:description/>
  <cp:lastModifiedBy>Shubham</cp:lastModifiedBy>
  <cp:revision>31</cp:revision>
  <dcterms:created xsi:type="dcterms:W3CDTF">2025-10-22T08:36:00Z</dcterms:created>
  <dcterms:modified xsi:type="dcterms:W3CDTF">2025-10-22T14:25:00Z</dcterms:modified>
</cp:coreProperties>
</file>