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B5A201" w14:textId="77777777" w:rsidR="00551B51" w:rsidRPr="00E55A02" w:rsidRDefault="00551B51" w:rsidP="00551B51">
      <w:pPr>
        <w:spacing w:line="480" w:lineRule="auto"/>
        <w:jc w:val="center"/>
        <w:rPr>
          <w:rFonts w:ascii="Arial" w:hAnsi="Arial" w:cs="Arial"/>
          <w:color w:val="000000" w:themeColor="text1"/>
          <w:szCs w:val="24"/>
        </w:rPr>
      </w:pPr>
    </w:p>
    <w:p w14:paraId="6C14E9A3" w14:textId="77777777" w:rsidR="00551B51" w:rsidRPr="00E55A02" w:rsidRDefault="00551B51" w:rsidP="00551B51">
      <w:pPr>
        <w:spacing w:line="480" w:lineRule="auto"/>
        <w:jc w:val="center"/>
        <w:rPr>
          <w:rFonts w:ascii="Arial" w:hAnsi="Arial" w:cs="Arial"/>
          <w:color w:val="000000" w:themeColor="text1"/>
          <w:szCs w:val="24"/>
        </w:rPr>
      </w:pPr>
      <w:r w:rsidRPr="00E55A02">
        <w:rPr>
          <w:rFonts w:ascii="Arial" w:hAnsi="Arial" w:cs="Arial"/>
          <w:noProof/>
          <w:color w:val="000000" w:themeColor="text1"/>
          <w:lang w:val="en-US"/>
        </w:rPr>
        <w:drawing>
          <wp:anchor distT="0" distB="0" distL="114300" distR="114300" simplePos="0" relativeHeight="251659264" behindDoc="1" locked="0" layoutInCell="1" allowOverlap="1" wp14:anchorId="09B5F24D" wp14:editId="241D3C6E">
            <wp:simplePos x="0" y="0"/>
            <wp:positionH relativeFrom="margin">
              <wp:posOffset>2505075</wp:posOffset>
            </wp:positionH>
            <wp:positionV relativeFrom="paragraph">
              <wp:posOffset>280670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953F3FE" w14:textId="77777777" w:rsidR="00551B51" w:rsidRPr="00E55A02" w:rsidRDefault="00551B51" w:rsidP="00551B51">
      <w:pPr>
        <w:spacing w:line="480" w:lineRule="auto"/>
        <w:jc w:val="center"/>
        <w:rPr>
          <w:rFonts w:ascii="Arial" w:hAnsi="Arial" w:cs="Arial"/>
          <w:color w:val="000000" w:themeColor="text1"/>
          <w:szCs w:val="24"/>
        </w:rPr>
      </w:pPr>
    </w:p>
    <w:p w14:paraId="24C45920" w14:textId="77777777" w:rsidR="00551B51" w:rsidRPr="00E55A02" w:rsidRDefault="00551B51" w:rsidP="00551B51">
      <w:pPr>
        <w:spacing w:line="480" w:lineRule="auto"/>
        <w:jc w:val="center"/>
        <w:rPr>
          <w:rFonts w:ascii="Arial" w:hAnsi="Arial" w:cs="Arial"/>
          <w:b/>
          <w:bCs/>
          <w:color w:val="000000" w:themeColor="text1"/>
          <w:szCs w:val="24"/>
        </w:rPr>
      </w:pPr>
    </w:p>
    <w:p w14:paraId="1B9BF239" w14:textId="77777777" w:rsidR="00551B51" w:rsidRPr="00E55A02" w:rsidRDefault="00551B51" w:rsidP="00551B51">
      <w:pPr>
        <w:spacing w:line="480" w:lineRule="auto"/>
        <w:jc w:val="center"/>
        <w:rPr>
          <w:rFonts w:ascii="Arial" w:hAnsi="Arial" w:cs="Arial"/>
          <w:b/>
          <w:bCs/>
          <w:color w:val="000000" w:themeColor="text1"/>
          <w:szCs w:val="24"/>
        </w:rPr>
      </w:pPr>
      <w:r w:rsidRPr="00E55A02">
        <w:rPr>
          <w:rFonts w:ascii="Arial" w:hAnsi="Arial" w:cs="Arial"/>
          <w:b/>
          <w:bCs/>
          <w:color w:val="000000" w:themeColor="text1"/>
          <w:szCs w:val="24"/>
        </w:rPr>
        <w:t>Masters in Tourism and Recreation</w:t>
      </w:r>
    </w:p>
    <w:p w14:paraId="48A84721" w14:textId="77777777" w:rsidR="00551B51" w:rsidRPr="00E55A02" w:rsidRDefault="00551B51" w:rsidP="00551B51">
      <w:pPr>
        <w:spacing w:line="480" w:lineRule="auto"/>
        <w:jc w:val="center"/>
        <w:rPr>
          <w:rFonts w:ascii="Arial" w:hAnsi="Arial" w:cs="Arial"/>
          <w:b/>
          <w:bCs/>
          <w:color w:val="000000" w:themeColor="text1"/>
          <w:szCs w:val="24"/>
        </w:rPr>
      </w:pPr>
      <w:proofErr w:type="spellStart"/>
      <w:r w:rsidRPr="00E55A02">
        <w:rPr>
          <w:rFonts w:ascii="Arial" w:hAnsi="Arial" w:cs="Arial"/>
          <w:b/>
          <w:bCs/>
          <w:color w:val="000000" w:themeColor="text1"/>
          <w:szCs w:val="24"/>
        </w:rPr>
        <w:t>Opera&amp;ons</w:t>
      </w:r>
      <w:proofErr w:type="spellEnd"/>
      <w:r w:rsidRPr="00E55A02">
        <w:rPr>
          <w:rFonts w:ascii="Arial" w:hAnsi="Arial" w:cs="Arial"/>
          <w:b/>
          <w:bCs/>
          <w:color w:val="000000" w:themeColor="text1"/>
          <w:szCs w:val="24"/>
        </w:rPr>
        <w:t xml:space="preserve"> Management in Hospitality </w:t>
      </w:r>
    </w:p>
    <w:p w14:paraId="7ABD8F55" w14:textId="77777777" w:rsidR="00551B51" w:rsidRPr="00E55A02" w:rsidRDefault="00551B51" w:rsidP="00551B51">
      <w:pPr>
        <w:spacing w:line="480" w:lineRule="auto"/>
        <w:jc w:val="center"/>
        <w:rPr>
          <w:rFonts w:ascii="Arial" w:hAnsi="Arial" w:cs="Arial"/>
          <w:b/>
          <w:bCs/>
          <w:color w:val="000000" w:themeColor="text1"/>
          <w:szCs w:val="24"/>
        </w:rPr>
      </w:pPr>
      <w:r w:rsidRPr="00E55A02">
        <w:rPr>
          <w:rFonts w:ascii="Arial" w:hAnsi="Arial" w:cs="Arial"/>
          <w:b/>
          <w:bCs/>
          <w:color w:val="000000" w:themeColor="text1"/>
          <w:szCs w:val="24"/>
        </w:rPr>
        <w:t xml:space="preserve">Assignment 12 </w:t>
      </w:r>
    </w:p>
    <w:p w14:paraId="5530A19E" w14:textId="77777777" w:rsidR="00551B51" w:rsidRPr="00E55A02" w:rsidRDefault="00551B51" w:rsidP="00551B51">
      <w:pPr>
        <w:spacing w:line="480" w:lineRule="auto"/>
        <w:jc w:val="center"/>
        <w:rPr>
          <w:rFonts w:ascii="Arial" w:hAnsi="Arial" w:cs="Arial"/>
          <w:b/>
          <w:bCs/>
          <w:color w:val="000000" w:themeColor="text1"/>
          <w:szCs w:val="24"/>
        </w:rPr>
      </w:pPr>
      <w:r w:rsidRPr="00E55A02">
        <w:rPr>
          <w:rFonts w:ascii="Arial" w:hAnsi="Arial" w:cs="Arial"/>
          <w:b/>
          <w:bCs/>
          <w:color w:val="000000" w:themeColor="text1"/>
          <w:szCs w:val="24"/>
        </w:rPr>
        <w:t>04.02.2026</w:t>
      </w:r>
    </w:p>
    <w:p w14:paraId="45B52069" w14:textId="77777777" w:rsidR="00551B51" w:rsidRPr="00E55A02" w:rsidRDefault="00551B51" w:rsidP="00551B51">
      <w:pPr>
        <w:rPr>
          <w:rFonts w:ascii="Arial" w:hAnsi="Arial" w:cs="Arial"/>
        </w:rPr>
      </w:pPr>
    </w:p>
    <w:p w14:paraId="50A93934" w14:textId="77777777" w:rsidR="00551B51" w:rsidRPr="00E55A02" w:rsidRDefault="00551B51" w:rsidP="00551B51">
      <w:pPr>
        <w:rPr>
          <w:rFonts w:ascii="Arial" w:hAnsi="Arial" w:cs="Arial"/>
        </w:rPr>
      </w:pPr>
    </w:p>
    <w:p w14:paraId="070470A9" w14:textId="77777777" w:rsidR="00551B51" w:rsidRPr="00E55A02" w:rsidRDefault="00551B51" w:rsidP="00551B51">
      <w:pPr>
        <w:rPr>
          <w:rFonts w:ascii="Arial" w:hAnsi="Arial" w:cs="Arial"/>
        </w:rPr>
      </w:pPr>
    </w:p>
    <w:p w14:paraId="5062C508" w14:textId="77777777" w:rsidR="00551B51" w:rsidRPr="00E55A02" w:rsidRDefault="00551B51" w:rsidP="00551B51">
      <w:pPr>
        <w:rPr>
          <w:rFonts w:ascii="Arial" w:hAnsi="Arial" w:cs="Arial"/>
        </w:rPr>
      </w:pPr>
    </w:p>
    <w:p w14:paraId="782DA23D" w14:textId="77777777" w:rsidR="00551B51" w:rsidRPr="00E55A02" w:rsidRDefault="00551B51" w:rsidP="00551B51">
      <w:pPr>
        <w:rPr>
          <w:rFonts w:ascii="Arial" w:hAnsi="Arial" w:cs="Arial"/>
        </w:rPr>
      </w:pPr>
    </w:p>
    <w:p w14:paraId="2F3F8726" w14:textId="77777777" w:rsidR="00551B51" w:rsidRPr="00E55A02" w:rsidRDefault="00551B51">
      <w:pPr>
        <w:rPr>
          <w:rFonts w:ascii="Arial" w:hAnsi="Arial" w:cs="Arial"/>
        </w:rPr>
      </w:pPr>
    </w:p>
    <w:p w14:paraId="1736589F" w14:textId="77777777" w:rsidR="00835D79" w:rsidRPr="00E55A02" w:rsidRDefault="00835D79">
      <w:pPr>
        <w:rPr>
          <w:rFonts w:ascii="Arial" w:hAnsi="Arial" w:cs="Arial"/>
        </w:rPr>
      </w:pPr>
    </w:p>
    <w:p w14:paraId="636CDFD0" w14:textId="77777777" w:rsidR="00835D79" w:rsidRPr="00E55A02" w:rsidRDefault="00835D79">
      <w:pPr>
        <w:rPr>
          <w:rFonts w:ascii="Arial" w:hAnsi="Arial" w:cs="Arial"/>
        </w:rPr>
      </w:pPr>
    </w:p>
    <w:p w14:paraId="597F74D7" w14:textId="77777777" w:rsidR="00835D79" w:rsidRPr="00E55A02" w:rsidRDefault="00835D79">
      <w:pPr>
        <w:rPr>
          <w:rFonts w:ascii="Arial" w:hAnsi="Arial" w:cs="Arial"/>
        </w:rPr>
      </w:pPr>
    </w:p>
    <w:p w14:paraId="18306F88" w14:textId="77777777" w:rsidR="00835D79" w:rsidRPr="00E55A02" w:rsidRDefault="00835D79">
      <w:pPr>
        <w:rPr>
          <w:rFonts w:ascii="Arial" w:hAnsi="Arial" w:cs="Arial"/>
        </w:rPr>
      </w:pPr>
    </w:p>
    <w:p w14:paraId="7349F68F" w14:textId="77777777" w:rsidR="00835D79" w:rsidRPr="00E55A02" w:rsidRDefault="00835D79">
      <w:pPr>
        <w:rPr>
          <w:rFonts w:ascii="Arial" w:hAnsi="Arial" w:cs="Arial"/>
        </w:rPr>
      </w:pPr>
    </w:p>
    <w:p w14:paraId="3C148BDD" w14:textId="77777777" w:rsidR="00835D79" w:rsidRPr="00E55A02" w:rsidRDefault="00835D79">
      <w:pPr>
        <w:rPr>
          <w:rFonts w:ascii="Arial" w:hAnsi="Arial" w:cs="Arial"/>
        </w:rPr>
      </w:pPr>
    </w:p>
    <w:p w14:paraId="59FB90CB" w14:textId="77777777" w:rsidR="00835D79" w:rsidRPr="00E55A02" w:rsidRDefault="00835D79">
      <w:pPr>
        <w:rPr>
          <w:rFonts w:ascii="Arial" w:hAnsi="Arial" w:cs="Arial"/>
        </w:rPr>
      </w:pPr>
    </w:p>
    <w:p w14:paraId="3A48BAFC" w14:textId="77777777" w:rsidR="00835D79" w:rsidRPr="00E55A02" w:rsidRDefault="00835D79">
      <w:pPr>
        <w:rPr>
          <w:rFonts w:ascii="Arial" w:hAnsi="Arial" w:cs="Arial"/>
        </w:rPr>
      </w:pPr>
    </w:p>
    <w:p w14:paraId="43E17D13" w14:textId="77777777" w:rsidR="00E55A02" w:rsidRPr="00E55A02" w:rsidRDefault="00E55A02" w:rsidP="00E55A02">
      <w:pPr>
        <w:rPr>
          <w:rFonts w:ascii="Arial" w:hAnsi="Arial" w:cs="Arial"/>
        </w:rPr>
      </w:pPr>
      <w:r w:rsidRPr="00E55A02">
        <w:rPr>
          <w:rFonts w:ascii="Arial" w:hAnsi="Arial" w:cs="Arial"/>
        </w:rPr>
        <w:lastRenderedPageBreak/>
        <w:t>The value of Non-Pricing Revenue Management tools, and their role in assisting hotels to maximize revenue without changing room rates.</w:t>
      </w:r>
    </w:p>
    <w:p w14:paraId="3C88155F" w14:textId="77777777" w:rsidR="00E55A02" w:rsidRPr="00E55A02" w:rsidRDefault="00E55A02" w:rsidP="00E55A02">
      <w:pPr>
        <w:rPr>
          <w:rFonts w:ascii="Arial" w:hAnsi="Arial" w:cs="Arial"/>
        </w:rPr>
      </w:pPr>
    </w:p>
    <w:p w14:paraId="4BA8C4B0" w14:textId="77777777" w:rsidR="00E55A02" w:rsidRPr="00E55A02" w:rsidRDefault="00E55A02" w:rsidP="00E55A02">
      <w:pPr>
        <w:rPr>
          <w:rFonts w:ascii="Arial" w:hAnsi="Arial" w:cs="Arial"/>
        </w:rPr>
      </w:pPr>
      <w:r w:rsidRPr="00E55A02">
        <w:rPr>
          <w:rFonts w:ascii="Arial" w:hAnsi="Arial" w:cs="Arial"/>
        </w:rPr>
        <w:t>Hotels can use non-pricing revenue management tools to maximise total revenue without changing room prices through maximisation of demand, capacity utilisation, customer behaviour and ancillary spending. They are especially helpful in markets where competition is high or rates are elastic because of their emphasis on when, to whom and how rooms and services are sold rather than the price itself.</w:t>
      </w:r>
    </w:p>
    <w:p w14:paraId="248E7259" w14:textId="77777777" w:rsidR="00E55A02" w:rsidRPr="00E55A02" w:rsidRDefault="00E55A02" w:rsidP="00E55A02">
      <w:pPr>
        <w:rPr>
          <w:rFonts w:ascii="Arial" w:hAnsi="Arial" w:cs="Arial"/>
        </w:rPr>
      </w:pPr>
    </w:p>
    <w:p w14:paraId="07C59514" w14:textId="77777777" w:rsidR="00E55A02" w:rsidRPr="00E55A02" w:rsidRDefault="00E55A02" w:rsidP="00E55A02">
      <w:pPr>
        <w:rPr>
          <w:rFonts w:ascii="Arial" w:hAnsi="Arial" w:cs="Arial"/>
        </w:rPr>
      </w:pPr>
      <w:r w:rsidRPr="00E55A02">
        <w:rPr>
          <w:rFonts w:ascii="Arial" w:hAnsi="Arial" w:cs="Arial"/>
        </w:rPr>
        <w:t>Length-of-stay (LOS) control is one of the most effective non-pricing tools. Hotels can limit the number of short or low-value stays by establishing minimum or maximum stay durations during high-demand periods, as well as focus on bookings with maximum total revenue per available room (</w:t>
      </w:r>
      <w:proofErr w:type="spellStart"/>
      <w:r w:rsidRPr="00E55A02">
        <w:rPr>
          <w:rFonts w:ascii="Arial" w:hAnsi="Arial" w:cs="Arial"/>
        </w:rPr>
        <w:t>TRevPAR</w:t>
      </w:r>
      <w:proofErr w:type="spellEnd"/>
      <w:r w:rsidRPr="00E55A02">
        <w:rPr>
          <w:rFonts w:ascii="Arial" w:hAnsi="Arial" w:cs="Arial"/>
        </w:rPr>
        <w:t>). LOS controls are used to even out demand during peak and shoulder periods and minimize operating inefficiencies like high room turnovers (Talluri and Van Ryzin, 2004).</w:t>
      </w:r>
    </w:p>
    <w:p w14:paraId="41F4E473" w14:textId="77777777" w:rsidR="00E55A02" w:rsidRPr="00E55A02" w:rsidRDefault="00E55A02" w:rsidP="00E55A02">
      <w:pPr>
        <w:rPr>
          <w:rFonts w:ascii="Arial" w:hAnsi="Arial" w:cs="Arial"/>
        </w:rPr>
      </w:pPr>
    </w:p>
    <w:p w14:paraId="6AECF4DA" w14:textId="77777777" w:rsidR="00E55A02" w:rsidRPr="00E55A02" w:rsidRDefault="00E55A02" w:rsidP="00E55A02">
      <w:pPr>
        <w:rPr>
          <w:rFonts w:ascii="Arial" w:hAnsi="Arial" w:cs="Arial"/>
        </w:rPr>
      </w:pPr>
      <w:r w:rsidRPr="00E55A02">
        <w:rPr>
          <w:rFonts w:ascii="Arial" w:hAnsi="Arial" w:cs="Arial"/>
        </w:rPr>
        <w:t>Room type optimisation and inventory control are also essential. Instead of price, hotels strategically divide a scarce inventory of rooms based on their anticipated profitability across different segments (business, leisure, group, OTA, or direct bookings). An example is closing low-value distribution channels when demand is at its peak, thus not altering rates, but makes high-yield customers more available (Kimes, 2011).</w:t>
      </w:r>
    </w:p>
    <w:p w14:paraId="1F7A50AC" w14:textId="77777777" w:rsidR="00E55A02" w:rsidRPr="00E55A02" w:rsidRDefault="00E55A02" w:rsidP="00E55A02">
      <w:pPr>
        <w:rPr>
          <w:rFonts w:ascii="Arial" w:hAnsi="Arial" w:cs="Arial"/>
        </w:rPr>
      </w:pPr>
    </w:p>
    <w:p w14:paraId="3275AB87" w14:textId="77777777" w:rsidR="00E55A02" w:rsidRPr="00E55A02" w:rsidRDefault="00E55A02" w:rsidP="00E55A02">
      <w:pPr>
        <w:rPr>
          <w:rFonts w:ascii="Arial" w:hAnsi="Arial" w:cs="Arial"/>
        </w:rPr>
      </w:pPr>
      <w:r w:rsidRPr="00E55A02">
        <w:rPr>
          <w:rFonts w:ascii="Arial" w:hAnsi="Arial" w:cs="Arial"/>
        </w:rPr>
        <w:t>Overbooking management is another important non-pricing tool. Cancellations and no-shows are typical in hospitality and therefore, controlled overbooking enables a hotel to maintain high occupancy rates and reduce the chance of displacing guests. By implementing it with the help of historical data and forecasting models, overbooking boosts realised revenue substantially although it does not influence published prices (Ivanov, 2007).</w:t>
      </w:r>
    </w:p>
    <w:p w14:paraId="67423A19" w14:textId="77777777" w:rsidR="00E55A02" w:rsidRPr="00E55A02" w:rsidRDefault="00E55A02" w:rsidP="00E55A02">
      <w:pPr>
        <w:rPr>
          <w:rFonts w:ascii="Arial" w:hAnsi="Arial" w:cs="Arial"/>
        </w:rPr>
      </w:pPr>
    </w:p>
    <w:p w14:paraId="72BBCC09" w14:textId="77777777" w:rsidR="00E55A02" w:rsidRPr="00E55A02" w:rsidRDefault="00E55A02" w:rsidP="00E55A02">
      <w:pPr>
        <w:rPr>
          <w:rFonts w:ascii="Arial" w:hAnsi="Arial" w:cs="Arial"/>
        </w:rPr>
      </w:pPr>
      <w:r w:rsidRPr="00E55A02">
        <w:rPr>
          <w:rFonts w:ascii="Arial" w:hAnsi="Arial" w:cs="Arial"/>
        </w:rPr>
        <w:t>Ancillary revenue optimisation also maximises revenue in the form of promoting upgrades, food and beverage, spa and parking services, and late check-outs in hotels. It is possible to upgrade total guest spend by a significant margin even without making changes to room rates, with targeted upselling and cross-selling, particularly using digital pre-arrival communication and front-desk methods (Noone and McGuire, 2013).</w:t>
      </w:r>
    </w:p>
    <w:p w14:paraId="298F783F" w14:textId="77777777" w:rsidR="00E55A02" w:rsidRPr="00E55A02" w:rsidRDefault="00E55A02" w:rsidP="00E55A02">
      <w:pPr>
        <w:rPr>
          <w:rFonts w:ascii="Arial" w:hAnsi="Arial" w:cs="Arial"/>
        </w:rPr>
      </w:pPr>
    </w:p>
    <w:p w14:paraId="0004CFD9" w14:textId="77777777" w:rsidR="00E55A02" w:rsidRPr="00E55A02" w:rsidRDefault="00E55A02" w:rsidP="00E55A02">
      <w:pPr>
        <w:rPr>
          <w:rFonts w:ascii="Arial" w:hAnsi="Arial" w:cs="Arial"/>
        </w:rPr>
      </w:pPr>
      <w:r w:rsidRPr="00E55A02">
        <w:rPr>
          <w:rFonts w:ascii="Arial" w:hAnsi="Arial" w:cs="Arial"/>
        </w:rPr>
        <w:lastRenderedPageBreak/>
        <w:t>Lastly, customer segmentation and demand forecasting are fundamental. Through the study of booking trends, lead times and customer behaviour, hotels can shape availability rules, marketing deals, and service bundles to certain groups. This increases the efficiency of demand capture and overall performance in terms of revenue without the need to adjust prices (Cross, Higbie, and Cross, 2009).</w:t>
      </w:r>
    </w:p>
    <w:p w14:paraId="53A66BD5" w14:textId="77777777" w:rsidR="00E55A02" w:rsidRPr="00E55A02" w:rsidRDefault="00E55A02" w:rsidP="00E55A02">
      <w:pPr>
        <w:rPr>
          <w:rFonts w:ascii="Arial" w:hAnsi="Arial" w:cs="Arial"/>
        </w:rPr>
      </w:pPr>
    </w:p>
    <w:p w14:paraId="3BFEE634" w14:textId="3283A678" w:rsidR="00835D79" w:rsidRPr="00E55A02" w:rsidRDefault="00E55A02" w:rsidP="00E55A02">
      <w:pPr>
        <w:rPr>
          <w:rFonts w:ascii="Arial" w:hAnsi="Arial" w:cs="Arial"/>
        </w:rPr>
      </w:pPr>
      <w:r w:rsidRPr="00E55A02">
        <w:rPr>
          <w:rFonts w:ascii="Arial" w:hAnsi="Arial" w:cs="Arial"/>
        </w:rPr>
        <w:t>To conclude, non-pricing revenue management instruments enable hotels to maximise revenue through better capacity utilisation, demand timing, customer mix, and ancillary spending. These are especially useful in cases where prices can be limited by competition, brand positioning, or the sensitivity of customers and are thus fundamental elements of contemporary hotel revenue management.</w:t>
      </w:r>
    </w:p>
    <w:p w14:paraId="67080092" w14:textId="77777777" w:rsidR="00835D79" w:rsidRPr="00E55A02" w:rsidRDefault="00835D79">
      <w:pPr>
        <w:rPr>
          <w:rFonts w:ascii="Arial" w:hAnsi="Arial" w:cs="Arial"/>
        </w:rPr>
      </w:pPr>
    </w:p>
    <w:p w14:paraId="6C6DD2DF" w14:textId="77777777" w:rsidR="00835D79" w:rsidRPr="00E55A02" w:rsidRDefault="00835D79">
      <w:pPr>
        <w:rPr>
          <w:rFonts w:ascii="Arial" w:hAnsi="Arial" w:cs="Arial"/>
        </w:rPr>
      </w:pPr>
    </w:p>
    <w:p w14:paraId="7E26D59B" w14:textId="77777777" w:rsidR="00835D79" w:rsidRPr="00E55A02" w:rsidRDefault="00835D79">
      <w:pPr>
        <w:rPr>
          <w:rFonts w:ascii="Arial" w:hAnsi="Arial" w:cs="Arial"/>
        </w:rPr>
      </w:pPr>
    </w:p>
    <w:p w14:paraId="36D002C3" w14:textId="77777777" w:rsidR="00835D79" w:rsidRPr="00E55A02" w:rsidRDefault="00835D79" w:rsidP="00835D79">
      <w:pPr>
        <w:rPr>
          <w:rFonts w:ascii="Arial" w:hAnsi="Arial" w:cs="Arial"/>
        </w:rPr>
      </w:pPr>
      <w:r w:rsidRPr="00E55A02">
        <w:rPr>
          <w:rFonts w:ascii="Arial" w:hAnsi="Arial" w:cs="Arial"/>
        </w:rPr>
        <w:t xml:space="preserve">References </w:t>
      </w:r>
    </w:p>
    <w:p w14:paraId="6506B5E6" w14:textId="77777777" w:rsidR="00835D79" w:rsidRPr="00E55A02" w:rsidRDefault="00835D79" w:rsidP="00835D79">
      <w:pPr>
        <w:rPr>
          <w:rFonts w:ascii="Arial" w:hAnsi="Arial" w:cs="Arial"/>
        </w:rPr>
      </w:pPr>
    </w:p>
    <w:p w14:paraId="4D7D2833" w14:textId="77777777" w:rsidR="00835D79" w:rsidRPr="00E55A02" w:rsidRDefault="00835D79" w:rsidP="00835D79">
      <w:pPr>
        <w:rPr>
          <w:rFonts w:ascii="Arial" w:hAnsi="Arial" w:cs="Arial"/>
          <w:b/>
          <w:bCs/>
        </w:rPr>
      </w:pPr>
      <w:r w:rsidRPr="00E55A02">
        <w:rPr>
          <w:rFonts w:ascii="Arial" w:hAnsi="Arial" w:cs="Arial"/>
          <w:b/>
          <w:bCs/>
        </w:rPr>
        <w:t>Cross, R. G., Higbie, J. A., &amp; Cross, Z. N. (2009). Revenue management’s renaissance: A rebirth of the art and science of profitable revenue generation. Cornell Hospitality Quarterly, 50(1), 56–81. https://doi.org/10.1177/1938965508328716</w:t>
      </w:r>
    </w:p>
    <w:p w14:paraId="557BF8BA" w14:textId="77777777" w:rsidR="00835D79" w:rsidRPr="00E55A02" w:rsidRDefault="00835D79" w:rsidP="00835D79">
      <w:pPr>
        <w:rPr>
          <w:rFonts w:ascii="Arial" w:hAnsi="Arial" w:cs="Arial"/>
          <w:b/>
          <w:bCs/>
        </w:rPr>
      </w:pPr>
      <w:r w:rsidRPr="00E55A02">
        <w:rPr>
          <w:rFonts w:ascii="Arial" w:hAnsi="Arial" w:cs="Arial"/>
          <w:b/>
          <w:bCs/>
        </w:rPr>
        <w:t>Ivanov, S. (2007). Optimal overbooking policies for accommodation establishments. Tourism Economics, 13(1), 67–88. https://doi.org/10.5367/000000007779784498</w:t>
      </w:r>
    </w:p>
    <w:p w14:paraId="1001ED5C" w14:textId="77777777" w:rsidR="00835D79" w:rsidRPr="00E55A02" w:rsidRDefault="00835D79" w:rsidP="00835D79">
      <w:pPr>
        <w:rPr>
          <w:rFonts w:ascii="Arial" w:hAnsi="Arial" w:cs="Arial"/>
          <w:b/>
          <w:bCs/>
        </w:rPr>
      </w:pPr>
      <w:r w:rsidRPr="00E55A02">
        <w:rPr>
          <w:rFonts w:ascii="Arial" w:hAnsi="Arial" w:cs="Arial"/>
          <w:b/>
          <w:bCs/>
        </w:rPr>
        <w:t>Kimes, S. E. (2011). The future of hotel revenue management. Journal of Revenue and Pricing Management, 10(1), 62–72. https://doi.org/10.1057/rpm.2010.47</w:t>
      </w:r>
    </w:p>
    <w:p w14:paraId="34FBAA94" w14:textId="77777777" w:rsidR="00835D79" w:rsidRPr="00E55A02" w:rsidRDefault="00835D79" w:rsidP="00835D79">
      <w:pPr>
        <w:rPr>
          <w:rFonts w:ascii="Arial" w:hAnsi="Arial" w:cs="Arial"/>
          <w:b/>
          <w:bCs/>
        </w:rPr>
      </w:pPr>
      <w:r w:rsidRPr="00E55A02">
        <w:rPr>
          <w:rFonts w:ascii="Arial" w:hAnsi="Arial" w:cs="Arial"/>
          <w:b/>
          <w:bCs/>
        </w:rPr>
        <w:t>Noone, B. M., &amp; McGuire, K. A. (2013). Pricing in hotel revenue management: A behavioural perspective. International Journal of Hospitality Management, 34, 387–397. https://doi.org/10.1016/j.ijhm.2012.11.008</w:t>
      </w:r>
    </w:p>
    <w:p w14:paraId="35CBC689" w14:textId="77777777" w:rsidR="00835D79" w:rsidRPr="00E55A02" w:rsidRDefault="00835D79" w:rsidP="00835D79">
      <w:pPr>
        <w:rPr>
          <w:rFonts w:ascii="Arial" w:hAnsi="Arial" w:cs="Arial"/>
          <w:b/>
          <w:bCs/>
        </w:rPr>
      </w:pPr>
      <w:r w:rsidRPr="00E55A02">
        <w:rPr>
          <w:rFonts w:ascii="Arial" w:hAnsi="Arial" w:cs="Arial"/>
          <w:b/>
          <w:bCs/>
        </w:rPr>
        <w:t>Talluri, K. T., &amp; Van Ryzin, G. J. (2004). The theory and practice of revenue management. Manufacturing &amp; Service Operations Management, 6(3), 262–264. https://doi.org/10.1287/msom.1040.0056</w:t>
      </w:r>
    </w:p>
    <w:p w14:paraId="783F7DF4" w14:textId="77777777" w:rsidR="00835D79" w:rsidRPr="00E55A02" w:rsidRDefault="00835D79">
      <w:pPr>
        <w:rPr>
          <w:rFonts w:ascii="Arial" w:hAnsi="Arial" w:cs="Arial"/>
        </w:rPr>
      </w:pPr>
    </w:p>
    <w:sectPr w:rsidR="00835D79" w:rsidRPr="00E55A0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B51"/>
    <w:rsid w:val="00551B51"/>
    <w:rsid w:val="00835D79"/>
    <w:rsid w:val="00CB2166"/>
    <w:rsid w:val="00E55A02"/>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17AE9"/>
  <w15:chartTrackingRefBased/>
  <w15:docId w15:val="{D5000FCD-3D3C-41D6-AEFA-4083FA69C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B51"/>
  </w:style>
  <w:style w:type="paragraph" w:styleId="Heading1">
    <w:name w:val="heading 1"/>
    <w:basedOn w:val="Normal"/>
    <w:next w:val="Normal"/>
    <w:link w:val="Heading1Char"/>
    <w:uiPriority w:val="9"/>
    <w:qFormat/>
    <w:rsid w:val="00551B51"/>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551B51"/>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551B51"/>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551B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1B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1B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1B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1B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1B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1B51"/>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551B51"/>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551B51"/>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551B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1B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1B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1B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1B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1B51"/>
    <w:rPr>
      <w:rFonts w:eastAsiaTheme="majorEastAsia" w:cstheme="majorBidi"/>
      <w:color w:val="272727" w:themeColor="text1" w:themeTint="D8"/>
    </w:rPr>
  </w:style>
  <w:style w:type="paragraph" w:styleId="Title">
    <w:name w:val="Title"/>
    <w:basedOn w:val="Normal"/>
    <w:next w:val="Normal"/>
    <w:link w:val="TitleChar"/>
    <w:uiPriority w:val="10"/>
    <w:qFormat/>
    <w:rsid w:val="00551B51"/>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551B51"/>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551B51"/>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551B51"/>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551B51"/>
    <w:pPr>
      <w:spacing w:before="160"/>
      <w:jc w:val="center"/>
    </w:pPr>
    <w:rPr>
      <w:i/>
      <w:iCs/>
      <w:color w:val="404040" w:themeColor="text1" w:themeTint="BF"/>
    </w:rPr>
  </w:style>
  <w:style w:type="character" w:customStyle="1" w:styleId="QuoteChar">
    <w:name w:val="Quote Char"/>
    <w:basedOn w:val="DefaultParagraphFont"/>
    <w:link w:val="Quote"/>
    <w:uiPriority w:val="29"/>
    <w:rsid w:val="00551B51"/>
    <w:rPr>
      <w:i/>
      <w:iCs/>
      <w:color w:val="404040" w:themeColor="text1" w:themeTint="BF"/>
    </w:rPr>
  </w:style>
  <w:style w:type="paragraph" w:styleId="ListParagraph">
    <w:name w:val="List Paragraph"/>
    <w:basedOn w:val="Normal"/>
    <w:uiPriority w:val="34"/>
    <w:qFormat/>
    <w:rsid w:val="00551B51"/>
    <w:pPr>
      <w:ind w:left="720"/>
      <w:contextualSpacing/>
    </w:pPr>
  </w:style>
  <w:style w:type="character" w:styleId="IntenseEmphasis">
    <w:name w:val="Intense Emphasis"/>
    <w:basedOn w:val="DefaultParagraphFont"/>
    <w:uiPriority w:val="21"/>
    <w:qFormat/>
    <w:rsid w:val="00551B51"/>
    <w:rPr>
      <w:i/>
      <w:iCs/>
      <w:color w:val="0F4761" w:themeColor="accent1" w:themeShade="BF"/>
    </w:rPr>
  </w:style>
  <w:style w:type="paragraph" w:styleId="IntenseQuote">
    <w:name w:val="Intense Quote"/>
    <w:basedOn w:val="Normal"/>
    <w:next w:val="Normal"/>
    <w:link w:val="IntenseQuoteChar"/>
    <w:uiPriority w:val="30"/>
    <w:qFormat/>
    <w:rsid w:val="00551B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1B51"/>
    <w:rPr>
      <w:i/>
      <w:iCs/>
      <w:color w:val="0F4761" w:themeColor="accent1" w:themeShade="BF"/>
    </w:rPr>
  </w:style>
  <w:style w:type="character" w:styleId="IntenseReference">
    <w:name w:val="Intense Reference"/>
    <w:basedOn w:val="DefaultParagraphFont"/>
    <w:uiPriority w:val="32"/>
    <w:qFormat/>
    <w:rsid w:val="00551B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620</Words>
  <Characters>3538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Vanshika (24134918)</dc:creator>
  <cp:keywords/>
  <dc:description/>
  <cp:lastModifiedBy>Vanshika (24134918)</cp:lastModifiedBy>
  <cp:revision>1</cp:revision>
  <dcterms:created xsi:type="dcterms:W3CDTF">2026-02-08T10:20:00Z</dcterms:created>
  <dcterms:modified xsi:type="dcterms:W3CDTF">2026-02-08T10:24:00Z</dcterms:modified>
</cp:coreProperties>
</file>