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2E680"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1A3E0856" wp14:editId="58D290D9">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1116808"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43D0E933" w14:textId="77777777" w:rsidR="0019504D" w:rsidRDefault="0019504D" w:rsidP="0019504D">
      <w:pPr>
        <w:rPr>
          <w:lang w:val="en-US"/>
        </w:rPr>
      </w:pPr>
      <w:r w:rsidRPr="0019504D">
        <w:rPr>
          <w:lang w:val="en-US"/>
        </w:rPr>
        <w:t>Ass</w:t>
      </w:r>
      <w:r>
        <w:rPr>
          <w:lang w:val="en-US"/>
        </w:rPr>
        <w:t xml:space="preserve">ignment </w:t>
      </w:r>
      <w:r w:rsidR="00237278">
        <w:rPr>
          <w:lang w:val="en-US"/>
        </w:rPr>
        <w:t>9</w:t>
      </w:r>
    </w:p>
    <w:p w14:paraId="408F31C1" w14:textId="77777777" w:rsidR="00637F36" w:rsidRDefault="009673A4" w:rsidP="0019504D">
      <w:pPr>
        <w:rPr>
          <w:lang w:val="en-US"/>
        </w:rPr>
      </w:pPr>
      <w:r>
        <w:rPr>
          <w:lang w:val="en-US"/>
        </w:rPr>
        <w:t>03</w:t>
      </w:r>
      <w:r w:rsidR="0019504D">
        <w:rPr>
          <w:lang w:val="en-US"/>
        </w:rPr>
        <w:t>.</w:t>
      </w:r>
      <w:r w:rsidR="006F6FA4">
        <w:rPr>
          <w:lang w:val="en-US"/>
        </w:rPr>
        <w:t>1</w:t>
      </w:r>
      <w:r w:rsidR="0019504D">
        <w:rPr>
          <w:lang w:val="en-US"/>
        </w:rPr>
        <w:t>.2025</w:t>
      </w:r>
    </w:p>
    <w:p w14:paraId="507485FD" w14:textId="6665ECD7" w:rsidR="0019504D" w:rsidRPr="0019504D" w:rsidRDefault="00637F36" w:rsidP="0019504D">
      <w:pPr>
        <w:rPr>
          <w:lang w:val="en-US"/>
        </w:rPr>
      </w:pPr>
      <w:r>
        <w:rPr>
          <w:lang w:val="en-US"/>
        </w:rPr>
        <w:br/>
        <w:t>Student Name:</w:t>
      </w:r>
      <w:r w:rsidR="0074482C">
        <w:rPr>
          <w:lang w:val="en-US"/>
        </w:rPr>
        <w:t xml:space="preserve"> Prateek Mehta </w:t>
      </w:r>
      <w:r>
        <w:rPr>
          <w:lang w:val="en-US"/>
        </w:rPr>
        <w:br/>
      </w:r>
    </w:p>
    <w:p w14:paraId="214522B0" w14:textId="77777777" w:rsidR="0019504D" w:rsidRDefault="0019504D"/>
    <w:p w14:paraId="7450835D" w14:textId="77777777" w:rsidR="0019504D" w:rsidRDefault="0019504D"/>
    <w:p w14:paraId="4FCC8749" w14:textId="77777777" w:rsidR="0019504D" w:rsidRDefault="0019504D"/>
    <w:p w14:paraId="746EE923" w14:textId="77777777" w:rsidR="00CD620A" w:rsidRDefault="00CD620A"/>
    <w:p w14:paraId="5DF2D9F3" w14:textId="77777777" w:rsidR="009673A4" w:rsidRDefault="009673A4"/>
    <w:p w14:paraId="48A03165" w14:textId="77777777" w:rsidR="009673A4" w:rsidRDefault="009673A4"/>
    <w:p w14:paraId="4493BBAB" w14:textId="77777777" w:rsidR="009673A4" w:rsidRDefault="009673A4"/>
    <w:p w14:paraId="72937000" w14:textId="77777777" w:rsidR="009673A4" w:rsidRDefault="009673A4"/>
    <w:p w14:paraId="1D3CAAE3" w14:textId="77777777" w:rsidR="009673A4" w:rsidRDefault="009673A4"/>
    <w:p w14:paraId="3B7475BF" w14:textId="77777777" w:rsidR="009673A4" w:rsidRDefault="009673A4"/>
    <w:p w14:paraId="7DD5EB76" w14:textId="77777777" w:rsidR="009673A4" w:rsidRDefault="009673A4"/>
    <w:p w14:paraId="12B70E39" w14:textId="77777777" w:rsidR="00237278" w:rsidRDefault="00CD620A" w:rsidP="00237278">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one of the two following questions</w:t>
      </w:r>
      <w:r w:rsidR="00237278" w:rsidRPr="00237278">
        <w:rPr>
          <w:b/>
          <w:bCs/>
          <w:lang w:val="en-US"/>
        </w:rPr>
        <w:t>:</w:t>
      </w:r>
    </w:p>
    <w:p w14:paraId="13A95A08" w14:textId="77777777" w:rsidR="00237278" w:rsidRPr="00237278" w:rsidRDefault="00237278" w:rsidP="00237278">
      <w:pPr>
        <w:spacing w:line="276" w:lineRule="auto"/>
        <w:rPr>
          <w:b/>
          <w:bCs/>
          <w:lang w:val="en-US"/>
        </w:rPr>
      </w:pPr>
    </w:p>
    <w:p w14:paraId="62EF96A8" w14:textId="77777777" w:rsidR="009673A4" w:rsidRPr="009673A4" w:rsidRDefault="009673A4" w:rsidP="009673A4">
      <w:pPr>
        <w:pStyle w:val="ListParagraph"/>
        <w:numPr>
          <w:ilvl w:val="0"/>
          <w:numId w:val="11"/>
        </w:numPr>
        <w:spacing w:line="276" w:lineRule="auto"/>
        <w:rPr>
          <w:lang w:val="en-US"/>
        </w:rPr>
      </w:pPr>
      <w:r w:rsidRPr="009673A4">
        <w:rPr>
          <w:lang w:val="en-US"/>
        </w:rPr>
        <w:t>How can tourism accelerate cultural homogenization in host communities?</w:t>
      </w:r>
    </w:p>
    <w:p w14:paraId="1C739C40" w14:textId="77777777" w:rsidR="00795108" w:rsidRDefault="009673A4" w:rsidP="009673A4">
      <w:pPr>
        <w:pStyle w:val="ListParagraph"/>
        <w:numPr>
          <w:ilvl w:val="0"/>
          <w:numId w:val="11"/>
        </w:numPr>
        <w:spacing w:line="276" w:lineRule="auto"/>
        <w:rPr>
          <w:lang w:val="en-US"/>
        </w:rPr>
      </w:pPr>
      <w:r w:rsidRPr="009673A4">
        <w:rPr>
          <w:lang w:val="en-US"/>
        </w:rPr>
        <w:t>What strategies can tourism businesses use to survive during commercial disruptions (pandemics, recessions)?</w:t>
      </w:r>
    </w:p>
    <w:p w14:paraId="3ABE46FA" w14:textId="77777777" w:rsidR="003E3493" w:rsidRDefault="003E3493" w:rsidP="003E3493">
      <w:pPr>
        <w:pStyle w:val="ListParagraph"/>
        <w:spacing w:line="276" w:lineRule="auto"/>
        <w:rPr>
          <w:lang w:val="en-US"/>
        </w:rPr>
      </w:pPr>
    </w:p>
    <w:p w14:paraId="45608216" w14:textId="77777777" w:rsidR="003E3493" w:rsidRDefault="003E3493" w:rsidP="003E3493">
      <w:pPr>
        <w:pStyle w:val="ListParagraph"/>
        <w:spacing w:line="276" w:lineRule="auto"/>
        <w:rPr>
          <w:lang w:val="en-US"/>
        </w:rPr>
      </w:pPr>
    </w:p>
    <w:p w14:paraId="0CE938D0" w14:textId="77777777" w:rsidR="003E3493" w:rsidRDefault="003E3493" w:rsidP="003E3493">
      <w:pPr>
        <w:pStyle w:val="ListParagraph"/>
        <w:spacing w:line="276" w:lineRule="auto"/>
        <w:rPr>
          <w:lang w:val="en-US"/>
        </w:rPr>
      </w:pPr>
    </w:p>
    <w:p w14:paraId="16650E1E" w14:textId="77777777" w:rsidR="003E3493" w:rsidRDefault="003E3493" w:rsidP="003E3493">
      <w:pPr>
        <w:pStyle w:val="ListParagraph"/>
        <w:spacing w:line="276" w:lineRule="auto"/>
        <w:rPr>
          <w:lang w:val="en-US"/>
        </w:rPr>
      </w:pPr>
    </w:p>
    <w:p w14:paraId="2348BBF5" w14:textId="77777777" w:rsidR="003E3493" w:rsidRDefault="003E3493" w:rsidP="003E3493">
      <w:pPr>
        <w:pStyle w:val="ListParagraph"/>
        <w:spacing w:line="276" w:lineRule="auto"/>
        <w:rPr>
          <w:lang w:val="en-US"/>
        </w:rPr>
      </w:pPr>
    </w:p>
    <w:p w14:paraId="423F9893" w14:textId="77777777" w:rsidR="003E3493" w:rsidRDefault="003E3493" w:rsidP="003E3493">
      <w:pPr>
        <w:pStyle w:val="ListParagraph"/>
        <w:spacing w:line="276" w:lineRule="auto"/>
        <w:rPr>
          <w:lang w:val="en-US"/>
        </w:rPr>
      </w:pPr>
    </w:p>
    <w:p w14:paraId="006E524F" w14:textId="77777777" w:rsidR="003E3493" w:rsidRDefault="003E3493" w:rsidP="003E3493">
      <w:pPr>
        <w:pStyle w:val="ListParagraph"/>
        <w:spacing w:line="276" w:lineRule="auto"/>
        <w:rPr>
          <w:lang w:val="en-US"/>
        </w:rPr>
      </w:pPr>
    </w:p>
    <w:p w14:paraId="0BB0F5E8" w14:textId="77777777" w:rsidR="003E3493" w:rsidRDefault="003E3493" w:rsidP="003E3493">
      <w:pPr>
        <w:pStyle w:val="ListParagraph"/>
        <w:spacing w:line="276" w:lineRule="auto"/>
        <w:rPr>
          <w:lang w:val="en-US"/>
        </w:rPr>
      </w:pPr>
    </w:p>
    <w:p w14:paraId="27602F81" w14:textId="77777777" w:rsidR="003E3493" w:rsidRDefault="003E3493" w:rsidP="003E3493">
      <w:pPr>
        <w:pStyle w:val="ListParagraph"/>
        <w:spacing w:line="276" w:lineRule="auto"/>
        <w:rPr>
          <w:lang w:val="en-US"/>
        </w:rPr>
      </w:pPr>
    </w:p>
    <w:p w14:paraId="39228C4D" w14:textId="77777777" w:rsidR="003E3493" w:rsidRDefault="003E3493" w:rsidP="003E3493">
      <w:pPr>
        <w:pStyle w:val="ListParagraph"/>
        <w:spacing w:line="276" w:lineRule="auto"/>
        <w:rPr>
          <w:lang w:val="en-US"/>
        </w:rPr>
      </w:pPr>
    </w:p>
    <w:p w14:paraId="64EF1C6B" w14:textId="77777777" w:rsidR="003E3493" w:rsidRDefault="003E3493" w:rsidP="003E3493">
      <w:pPr>
        <w:pStyle w:val="ListParagraph"/>
        <w:spacing w:line="276" w:lineRule="auto"/>
        <w:rPr>
          <w:lang w:val="en-US"/>
        </w:rPr>
      </w:pPr>
    </w:p>
    <w:p w14:paraId="6D050679" w14:textId="77777777" w:rsidR="003E3493" w:rsidRDefault="003E3493" w:rsidP="003E3493">
      <w:pPr>
        <w:pStyle w:val="ListParagraph"/>
        <w:spacing w:line="276" w:lineRule="auto"/>
        <w:rPr>
          <w:lang w:val="en-US"/>
        </w:rPr>
      </w:pPr>
    </w:p>
    <w:p w14:paraId="58F6F2DF" w14:textId="77777777" w:rsidR="003E3493" w:rsidRDefault="003E3493" w:rsidP="003E3493">
      <w:pPr>
        <w:pStyle w:val="ListParagraph"/>
        <w:spacing w:line="276" w:lineRule="auto"/>
        <w:rPr>
          <w:lang w:val="en-US"/>
        </w:rPr>
      </w:pPr>
    </w:p>
    <w:p w14:paraId="111DF8D2" w14:textId="77777777" w:rsidR="003E3493" w:rsidRDefault="003E3493" w:rsidP="003E3493">
      <w:pPr>
        <w:pStyle w:val="ListParagraph"/>
        <w:spacing w:line="276" w:lineRule="auto"/>
        <w:rPr>
          <w:lang w:val="en-US"/>
        </w:rPr>
      </w:pPr>
    </w:p>
    <w:p w14:paraId="20D00C88" w14:textId="77777777" w:rsidR="003E3493" w:rsidRDefault="003E3493" w:rsidP="003E3493">
      <w:pPr>
        <w:pStyle w:val="ListParagraph"/>
        <w:spacing w:line="276" w:lineRule="auto"/>
        <w:rPr>
          <w:lang w:val="en-US"/>
        </w:rPr>
      </w:pPr>
    </w:p>
    <w:p w14:paraId="344B6721" w14:textId="77777777" w:rsidR="003E3493" w:rsidRDefault="003E3493" w:rsidP="003E3493">
      <w:pPr>
        <w:pStyle w:val="ListParagraph"/>
        <w:spacing w:line="276" w:lineRule="auto"/>
        <w:rPr>
          <w:lang w:val="en-US"/>
        </w:rPr>
      </w:pPr>
    </w:p>
    <w:p w14:paraId="27A838D4" w14:textId="77777777" w:rsidR="003E3493" w:rsidRDefault="003E3493" w:rsidP="003E3493">
      <w:pPr>
        <w:pStyle w:val="ListParagraph"/>
        <w:spacing w:line="276" w:lineRule="auto"/>
        <w:rPr>
          <w:lang w:val="en-US"/>
        </w:rPr>
      </w:pPr>
    </w:p>
    <w:p w14:paraId="32F5E741" w14:textId="77777777" w:rsidR="003E3493" w:rsidRDefault="003E3493" w:rsidP="003E3493">
      <w:pPr>
        <w:pStyle w:val="ListParagraph"/>
        <w:spacing w:line="276" w:lineRule="auto"/>
        <w:rPr>
          <w:lang w:val="en-US"/>
        </w:rPr>
      </w:pPr>
    </w:p>
    <w:p w14:paraId="7E296AFA" w14:textId="77777777" w:rsidR="003E3493" w:rsidRDefault="003E3493" w:rsidP="003E3493">
      <w:pPr>
        <w:pStyle w:val="ListParagraph"/>
        <w:spacing w:line="276" w:lineRule="auto"/>
        <w:rPr>
          <w:lang w:val="en-US"/>
        </w:rPr>
      </w:pPr>
    </w:p>
    <w:p w14:paraId="2EA2D1A8" w14:textId="11DA9F1A" w:rsidR="003E3493" w:rsidRDefault="003E3493" w:rsidP="003E3493">
      <w:pPr>
        <w:pStyle w:val="ListParagraph"/>
        <w:spacing w:line="276" w:lineRule="auto"/>
        <w:ind w:left="0"/>
        <w:jc w:val="center"/>
        <w:rPr>
          <w:rFonts w:asciiTheme="majorBidi" w:hAnsiTheme="majorBidi" w:cstheme="majorBidi"/>
          <w:b/>
          <w:bCs/>
          <w:lang w:val="en-US"/>
        </w:rPr>
      </w:pPr>
      <w:r w:rsidRPr="003E3493">
        <w:rPr>
          <w:rFonts w:asciiTheme="majorBidi" w:hAnsiTheme="majorBidi" w:cstheme="majorBidi"/>
          <w:b/>
          <w:bCs/>
        </w:rPr>
        <w:lastRenderedPageBreak/>
        <w:t>How Tourism Can Accelerate Cultural Homogenization in Host Communities</w:t>
      </w:r>
    </w:p>
    <w:p w14:paraId="04A2369F" w14:textId="77777777" w:rsidR="003E3493" w:rsidRDefault="003E3493" w:rsidP="003E3493">
      <w:pPr>
        <w:pStyle w:val="ListParagraph"/>
        <w:spacing w:line="276" w:lineRule="auto"/>
        <w:ind w:left="0"/>
        <w:rPr>
          <w:rFonts w:asciiTheme="majorBidi" w:hAnsiTheme="majorBidi" w:cstheme="majorBidi"/>
          <w:b/>
          <w:bCs/>
          <w:lang w:val="en-US"/>
        </w:rPr>
      </w:pPr>
    </w:p>
    <w:p w14:paraId="5E0E57D2" w14:textId="77777777" w:rsidR="003E3493" w:rsidRPr="0074482C" w:rsidRDefault="003E3493" w:rsidP="003E3493">
      <w:pPr>
        <w:pStyle w:val="ListParagraph"/>
        <w:spacing w:line="276" w:lineRule="auto"/>
        <w:ind w:left="0"/>
        <w:rPr>
          <w:rFonts w:asciiTheme="majorBidi" w:hAnsiTheme="majorBidi" w:cstheme="majorBidi"/>
          <w:lang w:val="en-US"/>
        </w:rPr>
      </w:pPr>
    </w:p>
    <w:p w14:paraId="7BB36EE1" w14:textId="77777777" w:rsidR="0074482C" w:rsidRPr="0074482C" w:rsidRDefault="0074482C" w:rsidP="0074482C">
      <w:pPr>
        <w:pStyle w:val="ListParagraph"/>
        <w:spacing w:line="276" w:lineRule="auto"/>
        <w:ind w:left="0"/>
        <w:rPr>
          <w:rFonts w:asciiTheme="majorBidi" w:hAnsiTheme="majorBidi" w:cstheme="majorBidi"/>
          <w:lang w:val="en-GB"/>
        </w:rPr>
      </w:pPr>
      <w:r w:rsidRPr="0074482C">
        <w:rPr>
          <w:rFonts w:asciiTheme="majorBidi" w:hAnsiTheme="majorBidi" w:cstheme="majorBidi"/>
          <w:b/>
          <w:bCs/>
          <w:lang w:val="en-GB"/>
        </w:rPr>
        <w:t>Introduction</w:t>
      </w:r>
      <w:r w:rsidRPr="0074482C">
        <w:rPr>
          <w:rFonts w:asciiTheme="majorBidi" w:hAnsiTheme="majorBidi" w:cstheme="majorBidi"/>
          <w:lang w:val="en-GB"/>
        </w:rPr>
        <w:br/>
      </w:r>
      <w:r w:rsidRPr="0074482C">
        <w:rPr>
          <w:rFonts w:asciiTheme="majorBidi" w:hAnsiTheme="majorBidi" w:cstheme="majorBidi"/>
          <w:lang w:val="en-GB"/>
        </w:rPr>
        <w:br/>
        <w:t xml:space="preserve">Tourism is extensively advocated as a catalyst for economic growth, cultural exchange, and global understanding. However, in addition to its benefits, tourism can present considerable socio-cultural obstacles for host communities. One of the most contentious outcomes is cultural homogeneity, a process in which local cultures gradually lose their uniqueness and become homogenized </w:t>
      </w:r>
      <w:proofErr w:type="gramStart"/>
      <w:r w:rsidRPr="0074482C">
        <w:rPr>
          <w:rFonts w:asciiTheme="majorBidi" w:hAnsiTheme="majorBidi" w:cstheme="majorBidi"/>
          <w:lang w:val="en-GB"/>
        </w:rPr>
        <w:t>in order to</w:t>
      </w:r>
      <w:proofErr w:type="gramEnd"/>
      <w:r w:rsidRPr="0074482C">
        <w:rPr>
          <w:rFonts w:asciiTheme="majorBidi" w:hAnsiTheme="majorBidi" w:cstheme="majorBidi"/>
          <w:lang w:val="en-GB"/>
        </w:rPr>
        <w:t xml:space="preserve"> satisfy global consumer expectations. As destinations compete for foreign tourists, they frequently modify cultural expressions, lifestyles, and consumer habits to conform to dominant global norms. This discussion illustrates how tourism accelerates cultural homogenization in host communities by looking at the roles of commodification, globalization, visitor expectations, and structural economic dependency on tourism.</w:t>
      </w:r>
      <w:r w:rsidRPr="0074482C">
        <w:rPr>
          <w:rFonts w:asciiTheme="majorBidi" w:hAnsiTheme="majorBidi" w:cstheme="majorBidi"/>
          <w:lang w:val="en-GB"/>
        </w:rPr>
        <w:br/>
      </w:r>
      <w:r w:rsidRPr="0074482C">
        <w:rPr>
          <w:rFonts w:asciiTheme="majorBidi" w:hAnsiTheme="majorBidi" w:cstheme="majorBidi"/>
          <w:lang w:val="en-GB"/>
        </w:rPr>
        <w:br/>
      </w:r>
      <w:r w:rsidRPr="0074482C">
        <w:rPr>
          <w:rFonts w:asciiTheme="majorBidi" w:hAnsiTheme="majorBidi" w:cstheme="majorBidi"/>
          <w:b/>
          <w:bCs/>
          <w:lang w:val="en-GB"/>
        </w:rPr>
        <w:t>Cultural Commodification and Standardization.</w:t>
      </w:r>
      <w:r w:rsidRPr="0074482C">
        <w:rPr>
          <w:rFonts w:asciiTheme="majorBidi" w:hAnsiTheme="majorBidi" w:cstheme="majorBidi"/>
          <w:lang w:val="en-GB"/>
        </w:rPr>
        <w:br/>
      </w:r>
      <w:r w:rsidRPr="0074482C">
        <w:rPr>
          <w:rFonts w:asciiTheme="majorBidi" w:hAnsiTheme="majorBidi" w:cstheme="majorBidi"/>
          <w:lang w:val="en-GB"/>
        </w:rPr>
        <w:br/>
        <w:t xml:space="preserve">One of the </w:t>
      </w:r>
      <w:proofErr w:type="gramStart"/>
      <w:r w:rsidRPr="0074482C">
        <w:rPr>
          <w:rFonts w:asciiTheme="majorBidi" w:hAnsiTheme="majorBidi" w:cstheme="majorBidi"/>
          <w:lang w:val="en-GB"/>
        </w:rPr>
        <w:t>key ways</w:t>
      </w:r>
      <w:proofErr w:type="gramEnd"/>
      <w:r w:rsidRPr="0074482C">
        <w:rPr>
          <w:rFonts w:asciiTheme="majorBidi" w:hAnsiTheme="majorBidi" w:cstheme="majorBidi"/>
          <w:lang w:val="en-GB"/>
        </w:rPr>
        <w:t xml:space="preserve"> tourism contributes to cultural uniformity is the monetization of local culture. Cultural traditions, rituals, cuisine, crafts, and festivals are regularly repackaged as tourism items that appeal to a broad audience. While this method might increase revenue and visibility, it frequently results in the simplifying and standardization of cultural expressions. Traditions are altered to accommodate visitor schedules, expectations, and aesthetic tastes, yielding staged authenticity rather than actual cultural activities. These revised representations eventually replace their original meanings, contributing to cultural uniformity across locations (Cohen, 1988).</w:t>
      </w:r>
      <w:r w:rsidRPr="0074482C">
        <w:rPr>
          <w:rFonts w:asciiTheme="majorBidi" w:hAnsiTheme="majorBidi" w:cstheme="majorBidi"/>
          <w:lang w:val="en-GB"/>
        </w:rPr>
        <w:br/>
      </w:r>
      <w:r w:rsidRPr="0074482C">
        <w:rPr>
          <w:rFonts w:asciiTheme="majorBidi" w:hAnsiTheme="majorBidi" w:cstheme="majorBidi"/>
          <w:lang w:val="en-GB"/>
        </w:rPr>
        <w:br/>
        <w:t>As comparable cultural acts, souvenirs, and experiences are copied throughout destinations, distinct local identities are diluted. For example, local dances or handicrafts may be transformed to mimic those found in other tourist locations, eliminating cultural diversity. This standardization harmonizes local cultures with global tourism norms rather than protecting indigenous values and customs.</w:t>
      </w:r>
      <w:r w:rsidRPr="0074482C">
        <w:rPr>
          <w:rFonts w:asciiTheme="majorBidi" w:hAnsiTheme="majorBidi" w:cstheme="majorBidi"/>
          <w:lang w:val="en-GB"/>
        </w:rPr>
        <w:br/>
      </w:r>
      <w:r w:rsidRPr="0074482C">
        <w:rPr>
          <w:rFonts w:asciiTheme="majorBidi" w:hAnsiTheme="majorBidi" w:cstheme="majorBidi"/>
          <w:lang w:val="en-GB"/>
        </w:rPr>
        <w:br/>
      </w:r>
      <w:r w:rsidRPr="0074482C">
        <w:rPr>
          <w:rFonts w:asciiTheme="majorBidi" w:hAnsiTheme="majorBidi" w:cstheme="majorBidi"/>
          <w:b/>
          <w:bCs/>
          <w:lang w:val="en-GB"/>
        </w:rPr>
        <w:t>Influence of Global Consumer Culture</w:t>
      </w:r>
      <w:r w:rsidRPr="0074482C">
        <w:rPr>
          <w:rFonts w:asciiTheme="majorBidi" w:hAnsiTheme="majorBidi" w:cstheme="majorBidi"/>
          <w:b/>
          <w:bCs/>
          <w:lang w:val="en-GB"/>
        </w:rPr>
        <w:br/>
      </w:r>
      <w:r w:rsidRPr="0074482C">
        <w:rPr>
          <w:rFonts w:asciiTheme="majorBidi" w:hAnsiTheme="majorBidi" w:cstheme="majorBidi"/>
          <w:lang w:val="en-GB"/>
        </w:rPr>
        <w:br/>
        <w:t>Tourism also exposes host communities to global commercial culture, hastening homogenization through lifestyle and consumption shifts. International tourists frequently carry expectations moulded by Western conventions, such as preferences for familiar foods, entertainment, lodging standards, and service methods. To meet these expectations, local firms change their offers, substituting conventional products with internationally recognized brands and services. Restaurant menus shift toward foreign food, local architecture is altered to imitate global hotel designs, and traditional marketplaces are transformed into commercial retail districts (Richards, 2018).</w:t>
      </w:r>
      <w:r w:rsidRPr="0074482C">
        <w:rPr>
          <w:rFonts w:asciiTheme="majorBidi" w:hAnsiTheme="majorBidi" w:cstheme="majorBidi"/>
          <w:lang w:val="en-GB"/>
        </w:rPr>
        <w:br/>
      </w:r>
      <w:r w:rsidRPr="0074482C">
        <w:rPr>
          <w:rFonts w:asciiTheme="majorBidi" w:hAnsiTheme="majorBidi" w:cstheme="majorBidi"/>
          <w:lang w:val="en-GB"/>
        </w:rPr>
        <w:br/>
      </w:r>
      <w:r w:rsidRPr="0074482C">
        <w:rPr>
          <w:rFonts w:asciiTheme="majorBidi" w:hAnsiTheme="majorBidi" w:cstheme="majorBidi"/>
          <w:lang w:val="en-GB"/>
        </w:rPr>
        <w:lastRenderedPageBreak/>
        <w:t>This approach gradually alters daily life in host communities. Younger generations</w:t>
      </w:r>
      <w:proofErr w:type="gramStart"/>
      <w:r w:rsidRPr="0074482C">
        <w:rPr>
          <w:rFonts w:asciiTheme="majorBidi" w:hAnsiTheme="majorBidi" w:cstheme="majorBidi"/>
          <w:lang w:val="en-GB"/>
        </w:rPr>
        <w:t>, in particular, may</w:t>
      </w:r>
      <w:proofErr w:type="gramEnd"/>
      <w:r w:rsidRPr="0074482C">
        <w:rPr>
          <w:rFonts w:asciiTheme="majorBidi" w:hAnsiTheme="majorBidi" w:cstheme="majorBidi"/>
          <w:lang w:val="en-GB"/>
        </w:rPr>
        <w:t xml:space="preserve"> embrace tourist lifestyles, languages, dress, and beliefs, seeing them as emblems of progress and economic opportunity. As a result, local cultural traditions may be ignored or abandoned, hastening the convergence of cultures toward a global standard.</w:t>
      </w:r>
      <w:r w:rsidRPr="0074482C">
        <w:rPr>
          <w:rFonts w:asciiTheme="majorBidi" w:hAnsiTheme="majorBidi" w:cstheme="majorBidi"/>
          <w:lang w:val="en-GB"/>
        </w:rPr>
        <w:br/>
      </w:r>
      <w:r w:rsidRPr="0074482C">
        <w:rPr>
          <w:rFonts w:asciiTheme="majorBidi" w:hAnsiTheme="majorBidi" w:cstheme="majorBidi"/>
          <w:lang w:val="en-GB"/>
        </w:rPr>
        <w:br/>
      </w:r>
      <w:r w:rsidRPr="0074482C">
        <w:rPr>
          <w:rFonts w:asciiTheme="majorBidi" w:hAnsiTheme="majorBidi" w:cstheme="majorBidi"/>
          <w:b/>
          <w:bCs/>
          <w:lang w:val="en-GB"/>
        </w:rPr>
        <w:t>Economic Dependence and Power Imbalance</w:t>
      </w:r>
      <w:r w:rsidRPr="0074482C">
        <w:rPr>
          <w:rFonts w:asciiTheme="majorBidi" w:hAnsiTheme="majorBidi" w:cstheme="majorBidi"/>
          <w:lang w:val="en-GB"/>
        </w:rPr>
        <w:br/>
      </w:r>
      <w:r w:rsidRPr="0074482C">
        <w:rPr>
          <w:rFonts w:asciiTheme="majorBidi" w:hAnsiTheme="majorBidi" w:cstheme="majorBidi"/>
          <w:lang w:val="en-GB"/>
        </w:rPr>
        <w:br/>
        <w:t>Economic dependency on tourism encourages cultural uniformity. In areas where tourism is a key source of income and employment, communities may emphasize tourist satisfaction over cultural preservation. Decision-making power frequently passes to external investors, international firms, and tourism intermediaries that promote standardized tourism models for efficiency and profitability. This reduces local authority over cultural representation and development routes (UNWTO, 2018).</w:t>
      </w:r>
      <w:r w:rsidRPr="0074482C">
        <w:rPr>
          <w:rFonts w:asciiTheme="majorBidi" w:hAnsiTheme="majorBidi" w:cstheme="majorBidi"/>
          <w:lang w:val="en-GB"/>
        </w:rPr>
        <w:br/>
      </w:r>
      <w:r w:rsidRPr="0074482C">
        <w:rPr>
          <w:rFonts w:asciiTheme="majorBidi" w:hAnsiTheme="majorBidi" w:cstheme="majorBidi"/>
          <w:lang w:val="en-GB"/>
        </w:rPr>
        <w:br/>
        <w:t>Such power asymmetries limit host communities' ability to safeguard their cultural sovereignty. Cultural landscapes, housing, and public places are modified to cater to tourist demand rather than local requirements. This reconfiguration gradually alters not only cultural expressions, but also social relations, community identities, and location attachments.</w:t>
      </w:r>
      <w:r w:rsidRPr="0074482C">
        <w:rPr>
          <w:rFonts w:asciiTheme="majorBidi" w:hAnsiTheme="majorBidi" w:cstheme="majorBidi"/>
          <w:lang w:val="en-GB"/>
        </w:rPr>
        <w:br/>
      </w:r>
      <w:r w:rsidRPr="0074482C">
        <w:rPr>
          <w:rFonts w:asciiTheme="majorBidi" w:hAnsiTheme="majorBidi" w:cstheme="majorBidi"/>
          <w:lang w:val="en-GB"/>
        </w:rPr>
        <w:br/>
      </w:r>
      <w:r w:rsidRPr="0074482C">
        <w:rPr>
          <w:rFonts w:asciiTheme="majorBidi" w:hAnsiTheme="majorBidi" w:cstheme="majorBidi"/>
          <w:b/>
          <w:bCs/>
          <w:lang w:val="en-GB"/>
        </w:rPr>
        <w:t>Media, Marketing, and Destination Branding</w:t>
      </w:r>
      <w:r w:rsidRPr="0074482C">
        <w:rPr>
          <w:rFonts w:asciiTheme="majorBidi" w:hAnsiTheme="majorBidi" w:cstheme="majorBidi"/>
          <w:lang w:val="en-GB"/>
        </w:rPr>
        <w:br/>
      </w:r>
      <w:r w:rsidRPr="0074482C">
        <w:rPr>
          <w:rFonts w:asciiTheme="majorBidi" w:hAnsiTheme="majorBidi" w:cstheme="majorBidi"/>
          <w:lang w:val="en-GB"/>
        </w:rPr>
        <w:br/>
        <w:t>Tourism marketing and destination branding contribute significantly to accelerating homogeneity. Destinations are frequently promoted using simplistic, clichéd pictures that are consistent with global tourism narratives. Exoticism, leisure, nightlife, and luxury are common themes in marketing campaigns, regardless of location. This branding pressure pushes places to conform to globally recognized images rather than highlighting nuanced cultural realities (Urry &amp; Larsen, 2011).</w:t>
      </w:r>
      <w:r w:rsidRPr="0074482C">
        <w:rPr>
          <w:rFonts w:asciiTheme="majorBidi" w:hAnsiTheme="majorBidi" w:cstheme="majorBidi"/>
          <w:lang w:val="en-GB"/>
        </w:rPr>
        <w:br/>
      </w:r>
      <w:r w:rsidRPr="0074482C">
        <w:rPr>
          <w:rFonts w:asciiTheme="majorBidi" w:hAnsiTheme="majorBidi" w:cstheme="majorBidi"/>
          <w:lang w:val="en-GB"/>
        </w:rPr>
        <w:br/>
      </w:r>
      <w:proofErr w:type="gramStart"/>
      <w:r w:rsidRPr="0074482C">
        <w:rPr>
          <w:rFonts w:asciiTheme="majorBidi" w:hAnsiTheme="majorBidi" w:cstheme="majorBidi"/>
          <w:lang w:val="en-GB"/>
        </w:rPr>
        <w:t>Social media</w:t>
      </w:r>
      <w:proofErr w:type="gramEnd"/>
      <w:r w:rsidRPr="0074482C">
        <w:rPr>
          <w:rFonts w:asciiTheme="majorBidi" w:hAnsiTheme="majorBidi" w:cstheme="majorBidi"/>
          <w:lang w:val="en-GB"/>
        </w:rPr>
        <w:t xml:space="preserve"> exacerbates this effect by disseminating visually appealing and easily consumable cultural symbols. Host communities may modify their environments and activities to accommodate social media aesthetics, supporting consistent cultural representations across destinations worldwide.</w:t>
      </w:r>
      <w:r w:rsidRPr="0074482C">
        <w:rPr>
          <w:rFonts w:asciiTheme="majorBidi" w:hAnsiTheme="majorBidi" w:cstheme="majorBidi"/>
          <w:lang w:val="en-GB"/>
        </w:rPr>
        <w:br/>
      </w:r>
      <w:r w:rsidRPr="0074482C">
        <w:rPr>
          <w:rFonts w:asciiTheme="majorBidi" w:hAnsiTheme="majorBidi" w:cstheme="majorBidi"/>
          <w:lang w:val="en-GB"/>
        </w:rPr>
        <w:br/>
      </w:r>
      <w:r w:rsidRPr="0074482C">
        <w:rPr>
          <w:rFonts w:asciiTheme="majorBidi" w:hAnsiTheme="majorBidi" w:cstheme="majorBidi"/>
          <w:b/>
          <w:bCs/>
          <w:lang w:val="en-GB"/>
        </w:rPr>
        <w:t>Long-Term Social and Cultural Impacts</w:t>
      </w:r>
      <w:r w:rsidRPr="0074482C">
        <w:rPr>
          <w:rFonts w:asciiTheme="majorBidi" w:hAnsiTheme="majorBidi" w:cstheme="majorBidi"/>
          <w:lang w:val="en-GB"/>
        </w:rPr>
        <w:br/>
      </w:r>
      <w:r w:rsidRPr="0074482C">
        <w:rPr>
          <w:rFonts w:asciiTheme="majorBidi" w:hAnsiTheme="majorBidi" w:cstheme="majorBidi"/>
          <w:lang w:val="en-GB"/>
        </w:rPr>
        <w:br/>
        <w:t>The long-term consequences of tourism-driven cultural homogeneity include the destruction of cultural diversity, the loss of traditional knowledge, and the weakening of social cohesion in host communities. While tourism can promote intercultural engagement, homogeneity limits prospects for real cultural exchange by offering standardized experiences. In extreme circumstances, local cultures risk becoming performative identities that exist exclusively for tourist consumption rather than genuine communal life.</w:t>
      </w:r>
      <w:r w:rsidRPr="0074482C">
        <w:rPr>
          <w:rFonts w:asciiTheme="majorBidi" w:hAnsiTheme="majorBidi" w:cstheme="majorBidi"/>
          <w:lang w:val="en-GB"/>
        </w:rPr>
        <w:br/>
      </w:r>
      <w:r w:rsidRPr="0074482C">
        <w:rPr>
          <w:rFonts w:asciiTheme="majorBidi" w:hAnsiTheme="majorBidi" w:cstheme="majorBidi"/>
          <w:lang w:val="en-GB"/>
        </w:rPr>
        <w:br/>
        <w:t xml:space="preserve">However, it is crucial to recognize that cultural uniformity is not unavoidable. Its extent is determined by government, community participation, and sustainable tourist policies. </w:t>
      </w:r>
      <w:r w:rsidRPr="0074482C">
        <w:rPr>
          <w:rFonts w:asciiTheme="majorBidi" w:hAnsiTheme="majorBidi" w:cstheme="majorBidi"/>
          <w:lang w:val="en-GB"/>
        </w:rPr>
        <w:lastRenderedPageBreak/>
        <w:t>Destinations that empower local stakeholders, promote cultural education, and encourage community-based tourism are better able to withstand homogenizing influences.</w:t>
      </w:r>
    </w:p>
    <w:p w14:paraId="123481DA" w14:textId="77777777" w:rsidR="0074482C" w:rsidRPr="0074482C" w:rsidRDefault="0074482C" w:rsidP="0074482C">
      <w:pPr>
        <w:pStyle w:val="ListParagraph"/>
        <w:spacing w:line="276" w:lineRule="auto"/>
        <w:rPr>
          <w:rFonts w:asciiTheme="majorBidi" w:hAnsiTheme="majorBidi" w:cstheme="majorBidi"/>
          <w:lang w:val="en-GB"/>
        </w:rPr>
      </w:pPr>
    </w:p>
    <w:p w14:paraId="11E3D035" w14:textId="77777777" w:rsidR="0074482C" w:rsidRDefault="0074482C" w:rsidP="0074482C">
      <w:pPr>
        <w:pStyle w:val="ListParagraph"/>
        <w:spacing w:line="276" w:lineRule="auto"/>
        <w:ind w:left="0"/>
        <w:rPr>
          <w:rFonts w:asciiTheme="majorBidi" w:hAnsiTheme="majorBidi" w:cstheme="majorBidi"/>
          <w:lang w:val="en-GB"/>
        </w:rPr>
      </w:pPr>
    </w:p>
    <w:p w14:paraId="7F5C8352" w14:textId="7FF26A45" w:rsidR="0074482C" w:rsidRPr="0074482C" w:rsidRDefault="0074482C" w:rsidP="0074482C">
      <w:pPr>
        <w:pStyle w:val="ListParagraph"/>
        <w:spacing w:line="276" w:lineRule="auto"/>
        <w:ind w:left="0"/>
        <w:rPr>
          <w:rFonts w:asciiTheme="majorBidi" w:hAnsiTheme="majorBidi" w:cstheme="majorBidi"/>
          <w:lang w:val="en-GB"/>
        </w:rPr>
      </w:pPr>
      <w:r w:rsidRPr="0074482C">
        <w:rPr>
          <w:rFonts w:asciiTheme="majorBidi" w:hAnsiTheme="majorBidi" w:cstheme="majorBidi"/>
          <w:b/>
          <w:bCs/>
          <w:lang w:val="en-GB"/>
        </w:rPr>
        <w:t>Conclusion</w:t>
      </w:r>
      <w:r w:rsidRPr="0074482C">
        <w:rPr>
          <w:rFonts w:asciiTheme="majorBidi" w:hAnsiTheme="majorBidi" w:cstheme="majorBidi"/>
          <w:lang w:val="en-GB"/>
        </w:rPr>
        <w:br/>
      </w:r>
      <w:r w:rsidRPr="0074482C">
        <w:rPr>
          <w:rFonts w:asciiTheme="majorBidi" w:hAnsiTheme="majorBidi" w:cstheme="majorBidi"/>
          <w:lang w:val="en-GB"/>
        </w:rPr>
        <w:br/>
        <w:t>Tourism can hasten cultural homogenization in host communities by commodifying culture, exposing people to global consumer norms, relying on the economy, and using standard destination marketing. While tourism has both economic and social benefits, unmanaged growth sometimes favours global tourist expectations over cultural authenticity, resulting in the progressive destruction of local identities. Addressing this issue necessitates proactive cultural preservation measures, inclusive government, and sustainable tourism models that view cultural variety as a key asset rather than a marketed commodity. Without such safeguards, tourism risks weakening the cultural uniqueness that drew visitors in the first place.</w:t>
      </w:r>
    </w:p>
    <w:p w14:paraId="674D973A" w14:textId="77777777" w:rsidR="003E3493" w:rsidRDefault="003E3493" w:rsidP="003E3493">
      <w:pPr>
        <w:pStyle w:val="ListParagraph"/>
        <w:spacing w:line="276" w:lineRule="auto"/>
        <w:ind w:left="0"/>
        <w:rPr>
          <w:rFonts w:asciiTheme="majorBidi" w:hAnsiTheme="majorBidi" w:cstheme="majorBidi"/>
          <w:b/>
          <w:bCs/>
          <w:lang w:val="en-US"/>
        </w:rPr>
      </w:pPr>
    </w:p>
    <w:p w14:paraId="3994C7AE" w14:textId="77777777" w:rsidR="0074482C" w:rsidRDefault="0074482C" w:rsidP="003E3493">
      <w:pPr>
        <w:pStyle w:val="ListParagraph"/>
        <w:spacing w:line="276" w:lineRule="auto"/>
        <w:ind w:left="0"/>
        <w:rPr>
          <w:rFonts w:asciiTheme="majorBidi" w:hAnsiTheme="majorBidi" w:cstheme="majorBidi"/>
          <w:b/>
          <w:bCs/>
          <w:lang w:val="en-US"/>
        </w:rPr>
      </w:pPr>
    </w:p>
    <w:p w14:paraId="43C32BEA" w14:textId="77777777" w:rsidR="0074482C" w:rsidRDefault="0074482C" w:rsidP="003E3493">
      <w:pPr>
        <w:pStyle w:val="ListParagraph"/>
        <w:spacing w:line="276" w:lineRule="auto"/>
        <w:ind w:left="0"/>
        <w:rPr>
          <w:rFonts w:asciiTheme="majorBidi" w:hAnsiTheme="majorBidi" w:cstheme="majorBidi"/>
          <w:b/>
          <w:bCs/>
          <w:lang w:val="en-US"/>
        </w:rPr>
      </w:pPr>
    </w:p>
    <w:p w14:paraId="779AE385" w14:textId="77777777" w:rsidR="0074482C" w:rsidRDefault="0074482C" w:rsidP="003E3493">
      <w:pPr>
        <w:pStyle w:val="ListParagraph"/>
        <w:spacing w:line="276" w:lineRule="auto"/>
        <w:ind w:left="0"/>
        <w:rPr>
          <w:rFonts w:asciiTheme="majorBidi" w:hAnsiTheme="majorBidi" w:cstheme="majorBidi"/>
          <w:b/>
          <w:bCs/>
          <w:lang w:val="en-US"/>
        </w:rPr>
      </w:pPr>
    </w:p>
    <w:p w14:paraId="76990857" w14:textId="77777777" w:rsidR="0074482C" w:rsidRDefault="0074482C" w:rsidP="003E3493">
      <w:pPr>
        <w:pStyle w:val="ListParagraph"/>
        <w:spacing w:line="276" w:lineRule="auto"/>
        <w:ind w:left="0"/>
        <w:rPr>
          <w:rFonts w:asciiTheme="majorBidi" w:hAnsiTheme="majorBidi" w:cstheme="majorBidi"/>
          <w:b/>
          <w:bCs/>
          <w:lang w:val="en-US"/>
        </w:rPr>
      </w:pPr>
    </w:p>
    <w:p w14:paraId="5F2F24BD" w14:textId="77777777" w:rsidR="0074482C" w:rsidRDefault="0074482C" w:rsidP="003E3493">
      <w:pPr>
        <w:pStyle w:val="ListParagraph"/>
        <w:spacing w:line="276" w:lineRule="auto"/>
        <w:ind w:left="0"/>
        <w:rPr>
          <w:rFonts w:asciiTheme="majorBidi" w:hAnsiTheme="majorBidi" w:cstheme="majorBidi"/>
          <w:b/>
          <w:bCs/>
          <w:lang w:val="en-US"/>
        </w:rPr>
      </w:pPr>
    </w:p>
    <w:p w14:paraId="7E3F3D1F" w14:textId="77777777" w:rsidR="0074482C" w:rsidRDefault="0074482C" w:rsidP="003E3493">
      <w:pPr>
        <w:pStyle w:val="ListParagraph"/>
        <w:spacing w:line="276" w:lineRule="auto"/>
        <w:ind w:left="0"/>
        <w:rPr>
          <w:rFonts w:asciiTheme="majorBidi" w:hAnsiTheme="majorBidi" w:cstheme="majorBidi"/>
          <w:b/>
          <w:bCs/>
          <w:lang w:val="en-US"/>
        </w:rPr>
      </w:pPr>
    </w:p>
    <w:p w14:paraId="6100650C" w14:textId="77777777" w:rsidR="0074482C" w:rsidRDefault="0074482C" w:rsidP="003E3493">
      <w:pPr>
        <w:pStyle w:val="ListParagraph"/>
        <w:spacing w:line="276" w:lineRule="auto"/>
        <w:ind w:left="0"/>
        <w:rPr>
          <w:rFonts w:asciiTheme="majorBidi" w:hAnsiTheme="majorBidi" w:cstheme="majorBidi"/>
          <w:b/>
          <w:bCs/>
          <w:lang w:val="en-US"/>
        </w:rPr>
      </w:pPr>
    </w:p>
    <w:p w14:paraId="6F437F26" w14:textId="77777777" w:rsidR="0074482C" w:rsidRDefault="0074482C" w:rsidP="003E3493">
      <w:pPr>
        <w:pStyle w:val="ListParagraph"/>
        <w:spacing w:line="276" w:lineRule="auto"/>
        <w:ind w:left="0"/>
        <w:rPr>
          <w:rFonts w:asciiTheme="majorBidi" w:hAnsiTheme="majorBidi" w:cstheme="majorBidi"/>
          <w:b/>
          <w:bCs/>
          <w:lang w:val="en-US"/>
        </w:rPr>
      </w:pPr>
    </w:p>
    <w:p w14:paraId="25AA0612" w14:textId="77777777" w:rsidR="0074482C" w:rsidRDefault="0074482C" w:rsidP="003E3493">
      <w:pPr>
        <w:pStyle w:val="ListParagraph"/>
        <w:spacing w:line="276" w:lineRule="auto"/>
        <w:ind w:left="0"/>
        <w:rPr>
          <w:rFonts w:asciiTheme="majorBidi" w:hAnsiTheme="majorBidi" w:cstheme="majorBidi"/>
          <w:b/>
          <w:bCs/>
          <w:lang w:val="en-US"/>
        </w:rPr>
      </w:pPr>
    </w:p>
    <w:p w14:paraId="4C544803" w14:textId="77777777" w:rsidR="0074482C" w:rsidRDefault="0074482C" w:rsidP="003E3493">
      <w:pPr>
        <w:pStyle w:val="ListParagraph"/>
        <w:spacing w:line="276" w:lineRule="auto"/>
        <w:ind w:left="0"/>
        <w:rPr>
          <w:rFonts w:asciiTheme="majorBidi" w:hAnsiTheme="majorBidi" w:cstheme="majorBidi"/>
          <w:b/>
          <w:bCs/>
          <w:lang w:val="en-US"/>
        </w:rPr>
      </w:pPr>
    </w:p>
    <w:p w14:paraId="48177AD5" w14:textId="77777777" w:rsidR="0074482C" w:rsidRDefault="0074482C" w:rsidP="003E3493">
      <w:pPr>
        <w:pStyle w:val="ListParagraph"/>
        <w:spacing w:line="276" w:lineRule="auto"/>
        <w:ind w:left="0"/>
        <w:rPr>
          <w:rFonts w:asciiTheme="majorBidi" w:hAnsiTheme="majorBidi" w:cstheme="majorBidi"/>
          <w:b/>
          <w:bCs/>
          <w:lang w:val="en-US"/>
        </w:rPr>
      </w:pPr>
    </w:p>
    <w:p w14:paraId="12B34C91" w14:textId="77777777" w:rsidR="0074482C" w:rsidRDefault="0074482C" w:rsidP="003E3493">
      <w:pPr>
        <w:pStyle w:val="ListParagraph"/>
        <w:spacing w:line="276" w:lineRule="auto"/>
        <w:ind w:left="0"/>
        <w:rPr>
          <w:rFonts w:asciiTheme="majorBidi" w:hAnsiTheme="majorBidi" w:cstheme="majorBidi"/>
          <w:b/>
          <w:bCs/>
          <w:lang w:val="en-US"/>
        </w:rPr>
      </w:pPr>
    </w:p>
    <w:p w14:paraId="540AB481" w14:textId="77777777" w:rsidR="0074482C" w:rsidRDefault="0074482C" w:rsidP="003E3493">
      <w:pPr>
        <w:pStyle w:val="ListParagraph"/>
        <w:spacing w:line="276" w:lineRule="auto"/>
        <w:ind w:left="0"/>
        <w:rPr>
          <w:rFonts w:asciiTheme="majorBidi" w:hAnsiTheme="majorBidi" w:cstheme="majorBidi"/>
          <w:b/>
          <w:bCs/>
          <w:lang w:val="en-US"/>
        </w:rPr>
      </w:pPr>
    </w:p>
    <w:p w14:paraId="6D08E8C6" w14:textId="77777777" w:rsidR="0074482C" w:rsidRDefault="0074482C" w:rsidP="003E3493">
      <w:pPr>
        <w:pStyle w:val="ListParagraph"/>
        <w:spacing w:line="276" w:lineRule="auto"/>
        <w:ind w:left="0"/>
        <w:rPr>
          <w:rFonts w:asciiTheme="majorBidi" w:hAnsiTheme="majorBidi" w:cstheme="majorBidi"/>
          <w:b/>
          <w:bCs/>
          <w:lang w:val="en-US"/>
        </w:rPr>
      </w:pPr>
    </w:p>
    <w:p w14:paraId="15217C62" w14:textId="77777777" w:rsidR="0074482C" w:rsidRDefault="0074482C" w:rsidP="003E3493">
      <w:pPr>
        <w:pStyle w:val="ListParagraph"/>
        <w:spacing w:line="276" w:lineRule="auto"/>
        <w:ind w:left="0"/>
        <w:rPr>
          <w:rFonts w:asciiTheme="majorBidi" w:hAnsiTheme="majorBidi" w:cstheme="majorBidi"/>
          <w:b/>
          <w:bCs/>
          <w:lang w:val="en-US"/>
        </w:rPr>
      </w:pPr>
    </w:p>
    <w:p w14:paraId="5809C9C2" w14:textId="77777777" w:rsidR="0074482C" w:rsidRDefault="0074482C" w:rsidP="003E3493">
      <w:pPr>
        <w:pStyle w:val="ListParagraph"/>
        <w:spacing w:line="276" w:lineRule="auto"/>
        <w:ind w:left="0"/>
        <w:rPr>
          <w:rFonts w:asciiTheme="majorBidi" w:hAnsiTheme="majorBidi" w:cstheme="majorBidi"/>
          <w:b/>
          <w:bCs/>
          <w:lang w:val="en-US"/>
        </w:rPr>
      </w:pPr>
    </w:p>
    <w:p w14:paraId="0169EDDF" w14:textId="77777777" w:rsidR="0074482C" w:rsidRDefault="0074482C" w:rsidP="003E3493">
      <w:pPr>
        <w:pStyle w:val="ListParagraph"/>
        <w:spacing w:line="276" w:lineRule="auto"/>
        <w:ind w:left="0"/>
        <w:rPr>
          <w:rFonts w:asciiTheme="majorBidi" w:hAnsiTheme="majorBidi" w:cstheme="majorBidi"/>
          <w:b/>
          <w:bCs/>
          <w:lang w:val="en-US"/>
        </w:rPr>
      </w:pPr>
    </w:p>
    <w:p w14:paraId="751CB7BB" w14:textId="77777777" w:rsidR="0074482C" w:rsidRDefault="0074482C" w:rsidP="003E3493">
      <w:pPr>
        <w:pStyle w:val="ListParagraph"/>
        <w:spacing w:line="276" w:lineRule="auto"/>
        <w:ind w:left="0"/>
        <w:rPr>
          <w:rFonts w:asciiTheme="majorBidi" w:hAnsiTheme="majorBidi" w:cstheme="majorBidi"/>
          <w:b/>
          <w:bCs/>
          <w:lang w:val="en-US"/>
        </w:rPr>
      </w:pPr>
    </w:p>
    <w:p w14:paraId="3B67DCCC" w14:textId="77777777" w:rsidR="0074482C" w:rsidRDefault="0074482C" w:rsidP="003E3493">
      <w:pPr>
        <w:pStyle w:val="ListParagraph"/>
        <w:spacing w:line="276" w:lineRule="auto"/>
        <w:ind w:left="0"/>
        <w:rPr>
          <w:rFonts w:asciiTheme="majorBidi" w:hAnsiTheme="majorBidi" w:cstheme="majorBidi"/>
          <w:b/>
          <w:bCs/>
          <w:lang w:val="en-US"/>
        </w:rPr>
      </w:pPr>
    </w:p>
    <w:p w14:paraId="5EDCD8F6" w14:textId="77777777" w:rsidR="0074482C" w:rsidRDefault="0074482C" w:rsidP="003E3493">
      <w:pPr>
        <w:pStyle w:val="ListParagraph"/>
        <w:spacing w:line="276" w:lineRule="auto"/>
        <w:ind w:left="0"/>
        <w:rPr>
          <w:rFonts w:asciiTheme="majorBidi" w:hAnsiTheme="majorBidi" w:cstheme="majorBidi"/>
          <w:b/>
          <w:bCs/>
          <w:lang w:val="en-US"/>
        </w:rPr>
      </w:pPr>
    </w:p>
    <w:p w14:paraId="0D8D6606" w14:textId="77777777" w:rsidR="0074482C" w:rsidRDefault="0074482C" w:rsidP="003E3493">
      <w:pPr>
        <w:pStyle w:val="ListParagraph"/>
        <w:spacing w:line="276" w:lineRule="auto"/>
        <w:ind w:left="0"/>
        <w:rPr>
          <w:rFonts w:asciiTheme="majorBidi" w:hAnsiTheme="majorBidi" w:cstheme="majorBidi"/>
          <w:b/>
          <w:bCs/>
          <w:lang w:val="en-US"/>
        </w:rPr>
      </w:pPr>
    </w:p>
    <w:p w14:paraId="14D51894" w14:textId="77777777" w:rsidR="0074482C" w:rsidRDefault="0074482C" w:rsidP="003E3493">
      <w:pPr>
        <w:pStyle w:val="ListParagraph"/>
        <w:spacing w:line="276" w:lineRule="auto"/>
        <w:ind w:left="0"/>
        <w:rPr>
          <w:rFonts w:asciiTheme="majorBidi" w:hAnsiTheme="majorBidi" w:cstheme="majorBidi"/>
          <w:b/>
          <w:bCs/>
          <w:lang w:val="en-US"/>
        </w:rPr>
      </w:pPr>
    </w:p>
    <w:p w14:paraId="3C26BA90" w14:textId="77777777" w:rsidR="0074482C" w:rsidRDefault="0074482C" w:rsidP="003E3493">
      <w:pPr>
        <w:pStyle w:val="ListParagraph"/>
        <w:spacing w:line="276" w:lineRule="auto"/>
        <w:ind w:left="0"/>
        <w:rPr>
          <w:rFonts w:asciiTheme="majorBidi" w:hAnsiTheme="majorBidi" w:cstheme="majorBidi"/>
          <w:b/>
          <w:bCs/>
          <w:lang w:val="en-US"/>
        </w:rPr>
      </w:pPr>
    </w:p>
    <w:p w14:paraId="2BB97D4C" w14:textId="77777777" w:rsidR="0074482C" w:rsidRDefault="0074482C" w:rsidP="003E3493">
      <w:pPr>
        <w:pStyle w:val="ListParagraph"/>
        <w:spacing w:line="276" w:lineRule="auto"/>
        <w:ind w:left="0"/>
        <w:rPr>
          <w:rFonts w:asciiTheme="majorBidi" w:hAnsiTheme="majorBidi" w:cstheme="majorBidi"/>
          <w:b/>
          <w:bCs/>
          <w:lang w:val="en-US"/>
        </w:rPr>
      </w:pPr>
    </w:p>
    <w:p w14:paraId="126B1809" w14:textId="77777777" w:rsidR="0074482C" w:rsidRDefault="0074482C" w:rsidP="003E3493">
      <w:pPr>
        <w:pStyle w:val="ListParagraph"/>
        <w:spacing w:line="276" w:lineRule="auto"/>
        <w:ind w:left="0"/>
        <w:rPr>
          <w:rFonts w:asciiTheme="majorBidi" w:hAnsiTheme="majorBidi" w:cstheme="majorBidi"/>
          <w:b/>
          <w:bCs/>
          <w:lang w:val="en-US"/>
        </w:rPr>
      </w:pPr>
    </w:p>
    <w:p w14:paraId="724A1708" w14:textId="77777777" w:rsidR="0074482C" w:rsidRDefault="0074482C" w:rsidP="003E3493">
      <w:pPr>
        <w:pStyle w:val="ListParagraph"/>
        <w:spacing w:line="276" w:lineRule="auto"/>
        <w:ind w:left="0"/>
        <w:rPr>
          <w:rFonts w:asciiTheme="majorBidi" w:hAnsiTheme="majorBidi" w:cstheme="majorBidi"/>
          <w:b/>
          <w:bCs/>
          <w:lang w:val="en-US"/>
        </w:rPr>
      </w:pPr>
    </w:p>
    <w:p w14:paraId="227CBF4C" w14:textId="77777777" w:rsidR="0074482C" w:rsidRDefault="0074482C" w:rsidP="003E3493">
      <w:pPr>
        <w:pStyle w:val="ListParagraph"/>
        <w:spacing w:line="276" w:lineRule="auto"/>
        <w:ind w:left="0"/>
        <w:rPr>
          <w:rFonts w:asciiTheme="majorBidi" w:hAnsiTheme="majorBidi" w:cstheme="majorBidi"/>
          <w:b/>
          <w:bCs/>
          <w:lang w:val="en-US"/>
        </w:rPr>
      </w:pPr>
    </w:p>
    <w:p w14:paraId="3887DD9E" w14:textId="77777777" w:rsidR="0074482C" w:rsidRDefault="0074482C" w:rsidP="003E3493">
      <w:pPr>
        <w:pStyle w:val="ListParagraph"/>
        <w:spacing w:line="276" w:lineRule="auto"/>
        <w:ind w:left="0"/>
        <w:rPr>
          <w:rFonts w:asciiTheme="majorBidi" w:hAnsiTheme="majorBidi" w:cstheme="majorBidi"/>
          <w:b/>
          <w:bCs/>
          <w:lang w:val="en-US"/>
        </w:rPr>
      </w:pPr>
    </w:p>
    <w:p w14:paraId="626612AD" w14:textId="77777777" w:rsidR="0074482C" w:rsidRPr="0074482C" w:rsidRDefault="0074482C" w:rsidP="0074482C">
      <w:pPr>
        <w:pStyle w:val="ListParagraph"/>
        <w:spacing w:line="276" w:lineRule="auto"/>
        <w:rPr>
          <w:rFonts w:asciiTheme="majorBidi" w:hAnsiTheme="majorBidi" w:cstheme="majorBidi"/>
          <w:b/>
          <w:bCs/>
          <w:lang w:val="en-US"/>
        </w:rPr>
      </w:pPr>
      <w:r w:rsidRPr="0074482C">
        <w:rPr>
          <w:rFonts w:asciiTheme="majorBidi" w:hAnsiTheme="majorBidi" w:cstheme="majorBidi"/>
          <w:b/>
          <w:bCs/>
          <w:lang w:val="en-US"/>
        </w:rPr>
        <w:lastRenderedPageBreak/>
        <w:t>References</w:t>
      </w:r>
    </w:p>
    <w:p w14:paraId="00E74F7E" w14:textId="77777777" w:rsidR="0074482C" w:rsidRPr="0074482C" w:rsidRDefault="0074482C" w:rsidP="0074482C">
      <w:pPr>
        <w:pStyle w:val="ListParagraph"/>
        <w:spacing w:line="276" w:lineRule="auto"/>
        <w:rPr>
          <w:rFonts w:asciiTheme="majorBidi" w:hAnsiTheme="majorBidi" w:cstheme="majorBidi"/>
          <w:b/>
          <w:bCs/>
          <w:lang w:val="en-US"/>
        </w:rPr>
      </w:pPr>
    </w:p>
    <w:p w14:paraId="44E143AE" w14:textId="77777777" w:rsidR="0074482C" w:rsidRPr="0074482C" w:rsidRDefault="0074482C" w:rsidP="0074482C">
      <w:pPr>
        <w:pStyle w:val="ListParagraph"/>
        <w:numPr>
          <w:ilvl w:val="0"/>
          <w:numId w:val="12"/>
        </w:numPr>
        <w:spacing w:line="276" w:lineRule="auto"/>
        <w:rPr>
          <w:rFonts w:asciiTheme="majorBidi" w:hAnsiTheme="majorBidi" w:cstheme="majorBidi"/>
          <w:lang w:val="en-US"/>
        </w:rPr>
      </w:pPr>
      <w:r w:rsidRPr="0074482C">
        <w:rPr>
          <w:rFonts w:asciiTheme="majorBidi" w:hAnsiTheme="majorBidi" w:cstheme="majorBidi"/>
          <w:lang w:val="en-US"/>
        </w:rPr>
        <w:t>Cohen, E. (1988). Authenticity and commoditization in tourism. Annals of Tourism Research, 15(3), 371–386. https://doi.org/10.1016/0160-7383(88)90028-X</w:t>
      </w:r>
    </w:p>
    <w:p w14:paraId="10EE38D1" w14:textId="77777777" w:rsidR="0074482C" w:rsidRPr="0074482C" w:rsidRDefault="0074482C" w:rsidP="0074482C">
      <w:pPr>
        <w:pStyle w:val="ListParagraph"/>
        <w:spacing w:line="276" w:lineRule="auto"/>
        <w:rPr>
          <w:rFonts w:asciiTheme="majorBidi" w:hAnsiTheme="majorBidi" w:cstheme="majorBidi"/>
          <w:lang w:val="en-US"/>
        </w:rPr>
      </w:pPr>
    </w:p>
    <w:p w14:paraId="1E065743" w14:textId="77777777" w:rsidR="0074482C" w:rsidRPr="0074482C" w:rsidRDefault="0074482C" w:rsidP="0074482C">
      <w:pPr>
        <w:pStyle w:val="ListParagraph"/>
        <w:numPr>
          <w:ilvl w:val="0"/>
          <w:numId w:val="12"/>
        </w:numPr>
        <w:spacing w:line="276" w:lineRule="auto"/>
        <w:rPr>
          <w:rFonts w:asciiTheme="majorBidi" w:hAnsiTheme="majorBidi" w:cstheme="majorBidi"/>
          <w:lang w:val="en-US"/>
        </w:rPr>
      </w:pPr>
      <w:r w:rsidRPr="0074482C">
        <w:rPr>
          <w:rFonts w:asciiTheme="majorBidi" w:hAnsiTheme="majorBidi" w:cstheme="majorBidi"/>
          <w:lang w:val="en-US"/>
        </w:rPr>
        <w:t>Richards, G. (2018). Cultural tourism: A review of recent research and trends. Journal of Hospitality and Tourism Management, 36, 12–21. https://doi.org/10.1016/j.jhtm.2018.03.005</w:t>
      </w:r>
    </w:p>
    <w:p w14:paraId="744E54B1" w14:textId="77777777" w:rsidR="0074482C" w:rsidRPr="0074482C" w:rsidRDefault="0074482C" w:rsidP="0074482C">
      <w:pPr>
        <w:pStyle w:val="ListParagraph"/>
        <w:spacing w:line="276" w:lineRule="auto"/>
        <w:rPr>
          <w:rFonts w:asciiTheme="majorBidi" w:hAnsiTheme="majorBidi" w:cstheme="majorBidi"/>
          <w:lang w:val="en-US"/>
        </w:rPr>
      </w:pPr>
    </w:p>
    <w:p w14:paraId="7C1402B5" w14:textId="77777777" w:rsidR="0074482C" w:rsidRPr="0074482C" w:rsidRDefault="0074482C" w:rsidP="0074482C">
      <w:pPr>
        <w:pStyle w:val="ListParagraph"/>
        <w:numPr>
          <w:ilvl w:val="0"/>
          <w:numId w:val="12"/>
        </w:numPr>
        <w:spacing w:line="276" w:lineRule="auto"/>
        <w:rPr>
          <w:rFonts w:asciiTheme="majorBidi" w:hAnsiTheme="majorBidi" w:cstheme="majorBidi"/>
          <w:lang w:val="en-US"/>
        </w:rPr>
      </w:pPr>
      <w:r w:rsidRPr="0074482C">
        <w:rPr>
          <w:rFonts w:asciiTheme="majorBidi" w:hAnsiTheme="majorBidi" w:cstheme="majorBidi"/>
          <w:lang w:val="en-US"/>
        </w:rPr>
        <w:t>United Nations World Tourism Organization. (2018). Tourism and culture synergies. UNWTO.</w:t>
      </w:r>
    </w:p>
    <w:p w14:paraId="26B8D610" w14:textId="77777777" w:rsidR="0074482C" w:rsidRPr="0074482C" w:rsidRDefault="0074482C" w:rsidP="0074482C">
      <w:pPr>
        <w:pStyle w:val="ListParagraph"/>
        <w:spacing w:line="276" w:lineRule="auto"/>
        <w:rPr>
          <w:rFonts w:asciiTheme="majorBidi" w:hAnsiTheme="majorBidi" w:cstheme="majorBidi"/>
          <w:lang w:val="en-US"/>
        </w:rPr>
      </w:pPr>
    </w:p>
    <w:p w14:paraId="1BF8E47A" w14:textId="77777777" w:rsidR="0074482C" w:rsidRPr="0074482C" w:rsidRDefault="0074482C" w:rsidP="0074482C">
      <w:pPr>
        <w:pStyle w:val="ListParagraph"/>
        <w:numPr>
          <w:ilvl w:val="0"/>
          <w:numId w:val="12"/>
        </w:numPr>
        <w:spacing w:line="276" w:lineRule="auto"/>
        <w:rPr>
          <w:rFonts w:asciiTheme="majorBidi" w:hAnsiTheme="majorBidi" w:cstheme="majorBidi"/>
          <w:lang w:val="en-US"/>
        </w:rPr>
      </w:pPr>
      <w:r w:rsidRPr="0074482C">
        <w:rPr>
          <w:rFonts w:asciiTheme="majorBidi" w:hAnsiTheme="majorBidi" w:cstheme="majorBidi"/>
          <w:lang w:val="en-US"/>
        </w:rPr>
        <w:t>Urry, J., &amp; Larsen, J. (2011). The tourist gaze 3.0. SAGE Publications.</w:t>
      </w:r>
    </w:p>
    <w:p w14:paraId="3661ECCB" w14:textId="77777777" w:rsidR="0074482C" w:rsidRPr="0074482C" w:rsidRDefault="0074482C" w:rsidP="0074482C">
      <w:pPr>
        <w:pStyle w:val="ListParagraph"/>
        <w:spacing w:line="276" w:lineRule="auto"/>
        <w:rPr>
          <w:rFonts w:asciiTheme="majorBidi" w:hAnsiTheme="majorBidi" w:cstheme="majorBidi"/>
          <w:lang w:val="en-US"/>
        </w:rPr>
      </w:pPr>
    </w:p>
    <w:p w14:paraId="73DF0C7F" w14:textId="65C604BB" w:rsidR="0074482C" w:rsidRPr="0074482C" w:rsidRDefault="0074482C" w:rsidP="0074482C">
      <w:pPr>
        <w:pStyle w:val="ListParagraph"/>
        <w:numPr>
          <w:ilvl w:val="0"/>
          <w:numId w:val="12"/>
        </w:numPr>
        <w:spacing w:line="276" w:lineRule="auto"/>
        <w:rPr>
          <w:rFonts w:asciiTheme="majorBidi" w:hAnsiTheme="majorBidi" w:cstheme="majorBidi"/>
          <w:lang w:val="en-US"/>
        </w:rPr>
      </w:pPr>
      <w:r w:rsidRPr="0074482C">
        <w:rPr>
          <w:rFonts w:asciiTheme="majorBidi" w:hAnsiTheme="majorBidi" w:cstheme="majorBidi"/>
          <w:lang w:val="en-US"/>
        </w:rPr>
        <w:t>Tomlinson, J. (1999). Globalization and culture. University of Chicago Press.</w:t>
      </w:r>
    </w:p>
    <w:sectPr w:rsidR="0074482C" w:rsidRPr="007448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85D09C8-B816-40D6-93BB-2F95F33D1DC8}"/>
    <w:embedBold r:id="rId2" w:fontKey="{A36A97BB-FC5D-4BC7-B4CC-DAE1EBA0612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4931D70C-114D-49A4-8F10-4B93433C704E}"/>
  </w:font>
  <w:font w:name="Calibri Light">
    <w:panose1 w:val="020F0302020204030204"/>
    <w:charset w:val="00"/>
    <w:family w:val="swiss"/>
    <w:pitch w:val="variable"/>
    <w:sig w:usb0="E4002EFF" w:usb1="C000247B" w:usb2="00000009" w:usb3="00000000" w:csb0="000001FF" w:csb1="00000000"/>
    <w:embedRegular r:id="rId4" w:fontKey="{56B1128B-B272-40DF-A96A-E809656396C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341131"/>
    <w:multiLevelType w:val="hybridMultilevel"/>
    <w:tmpl w:val="61BE4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1"/>
  </w:num>
  <w:num w:numId="4" w16cid:durableId="296228824">
    <w:abstractNumId w:val="9"/>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10"/>
  </w:num>
  <w:num w:numId="12" w16cid:durableId="2511619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D110B"/>
    <w:rsid w:val="002F4AE0"/>
    <w:rsid w:val="00384E8A"/>
    <w:rsid w:val="003D1074"/>
    <w:rsid w:val="003E3493"/>
    <w:rsid w:val="00426865"/>
    <w:rsid w:val="00477CAA"/>
    <w:rsid w:val="00502E29"/>
    <w:rsid w:val="005D6F0D"/>
    <w:rsid w:val="005E458B"/>
    <w:rsid w:val="00637F36"/>
    <w:rsid w:val="00661030"/>
    <w:rsid w:val="006F6FA4"/>
    <w:rsid w:val="0074482C"/>
    <w:rsid w:val="00795108"/>
    <w:rsid w:val="00844EC2"/>
    <w:rsid w:val="008516FE"/>
    <w:rsid w:val="00903466"/>
    <w:rsid w:val="009673A4"/>
    <w:rsid w:val="009C1D0A"/>
    <w:rsid w:val="00A044F7"/>
    <w:rsid w:val="00A8150E"/>
    <w:rsid w:val="00B20343"/>
    <w:rsid w:val="00B85EA7"/>
    <w:rsid w:val="00BE65DD"/>
    <w:rsid w:val="00C21EBA"/>
    <w:rsid w:val="00C612A4"/>
    <w:rsid w:val="00CC6AD1"/>
    <w:rsid w:val="00CD620A"/>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56238"/>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74482C"/>
    <w:rPr>
      <w:color w:val="0563C1" w:themeColor="hyperlink"/>
      <w:u w:val="single"/>
    </w:rPr>
  </w:style>
  <w:style w:type="character" w:styleId="UnresolvedMention">
    <w:name w:val="Unresolved Mention"/>
    <w:basedOn w:val="DefaultParagraphFont"/>
    <w:uiPriority w:val="99"/>
    <w:semiHidden/>
    <w:unhideWhenUsed/>
    <w:rsid w:val="007448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1114</Words>
  <Characters>6356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2025-12-24T23:27:00Z</dcterms:created>
  <dcterms:modified xsi:type="dcterms:W3CDTF">2025-12-24T23:27:00Z</dcterms:modified>
</cp:coreProperties>
</file>