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E569B2" w14:textId="77777777" w:rsidR="0019504D" w:rsidRDefault="0019504D" w:rsidP="00277AF1">
      <w:pPr>
        <w:spacing w:line="360" w:lineRule="auto"/>
        <w:rPr>
          <w:lang w:val="en-US"/>
        </w:rPr>
      </w:pPr>
      <w:r>
        <w:rPr>
          <w:noProof/>
          <w:lang w:val="en-US"/>
        </w:rPr>
        <w:drawing>
          <wp:anchor distT="0" distB="0" distL="114300" distR="114300" simplePos="0" relativeHeight="251658240" behindDoc="1" locked="0" layoutInCell="1" allowOverlap="1" wp14:anchorId="147098AE" wp14:editId="3E9E187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214C3C8" w14:textId="77777777" w:rsidR="00661030" w:rsidRPr="0019504D" w:rsidRDefault="00494D6C" w:rsidP="00277AF1">
      <w:pPr>
        <w:spacing w:line="360" w:lineRule="auto"/>
        <w:rPr>
          <w:b/>
          <w:bCs/>
          <w:lang w:val="en-US"/>
        </w:rPr>
      </w:pPr>
      <w:r w:rsidRPr="00494D6C">
        <w:rPr>
          <w:b/>
          <w:bCs/>
          <w:lang w:val="nl-NL"/>
        </w:rPr>
        <w:t>Operations Management in Hospitality</w:t>
      </w:r>
    </w:p>
    <w:p w14:paraId="31A79BB6" w14:textId="77777777" w:rsidR="0019504D" w:rsidRDefault="0019504D" w:rsidP="00277AF1">
      <w:pPr>
        <w:spacing w:line="360" w:lineRule="auto"/>
        <w:rPr>
          <w:lang w:val="en-US"/>
        </w:rPr>
      </w:pPr>
      <w:r w:rsidRPr="0019504D">
        <w:rPr>
          <w:lang w:val="en-US"/>
        </w:rPr>
        <w:t>Ass</w:t>
      </w:r>
      <w:r>
        <w:rPr>
          <w:lang w:val="en-US"/>
        </w:rPr>
        <w:t xml:space="preserve">ignment </w:t>
      </w:r>
      <w:r w:rsidR="00FC3CE9">
        <w:rPr>
          <w:lang w:val="en-US"/>
        </w:rPr>
        <w:t>1</w:t>
      </w:r>
      <w:r w:rsidR="003F6B06">
        <w:rPr>
          <w:lang w:val="en-US"/>
        </w:rPr>
        <w:t>1</w:t>
      </w:r>
    </w:p>
    <w:p w14:paraId="060D569C" w14:textId="77777777" w:rsidR="0019504D" w:rsidRPr="0019504D" w:rsidRDefault="003F6B06" w:rsidP="00277AF1">
      <w:pPr>
        <w:spacing w:line="360" w:lineRule="auto"/>
        <w:rPr>
          <w:lang w:val="en-US"/>
        </w:rPr>
      </w:pPr>
      <w:r>
        <w:rPr>
          <w:lang w:val="en-US"/>
        </w:rPr>
        <w:t>21</w:t>
      </w:r>
      <w:r w:rsidR="0019504D">
        <w:rPr>
          <w:lang w:val="en-US"/>
        </w:rPr>
        <w:t>.</w:t>
      </w:r>
      <w:r w:rsidR="00E53D54">
        <w:rPr>
          <w:lang w:val="en-US"/>
        </w:rPr>
        <w:t>01</w:t>
      </w:r>
      <w:r w:rsidR="0019504D">
        <w:rPr>
          <w:lang w:val="en-US"/>
        </w:rPr>
        <w:t>.2025</w:t>
      </w:r>
    </w:p>
    <w:p w14:paraId="6DB35690" w14:textId="140CCC4C" w:rsidR="004E0B50" w:rsidRPr="004E0B50" w:rsidRDefault="00E53D54" w:rsidP="004E0B50">
      <w:pPr>
        <w:rPr>
          <w:rFonts w:ascii="Aptos Narrow" w:eastAsia="Times New Roman" w:hAnsi="Aptos Narrow" w:cs="Times New Roman"/>
          <w:color w:val="000000"/>
          <w:kern w:val="0"/>
          <w:sz w:val="22"/>
          <w:szCs w:val="22"/>
          <w:lang w:val="en-GB" w:eastAsia="en-GB" w:bidi="hi-IN"/>
          <w14:ligatures w14:val="none"/>
        </w:rPr>
      </w:pPr>
      <w:r w:rsidRPr="00FC3CE9">
        <w:rPr>
          <w:lang w:val="en-US"/>
        </w:rPr>
        <w:t xml:space="preserve">Student </w:t>
      </w:r>
      <w:proofErr w:type="gramStart"/>
      <w:r w:rsidRPr="00FC3CE9">
        <w:rPr>
          <w:lang w:val="en-US"/>
        </w:rPr>
        <w:t>name</w:t>
      </w:r>
      <w:r w:rsidR="00CE464D">
        <w:rPr>
          <w:lang w:val="en-US"/>
        </w:rPr>
        <w:t xml:space="preserve"> :</w:t>
      </w:r>
      <w:proofErr w:type="gramEnd"/>
      <w:r w:rsidR="00CE464D">
        <w:rPr>
          <w:lang w:val="en-US"/>
        </w:rPr>
        <w:t xml:space="preserve"> </w:t>
      </w:r>
      <w:r w:rsidR="004E0B50" w:rsidRPr="004E0B50">
        <w:rPr>
          <w:rFonts w:ascii="Aptos Narrow" w:eastAsia="Times New Roman" w:hAnsi="Aptos Narrow" w:cs="Times New Roman"/>
          <w:color w:val="000000"/>
          <w:kern w:val="0"/>
          <w:sz w:val="22"/>
          <w:szCs w:val="22"/>
          <w:lang w:val="en-GB" w:eastAsia="en-GB" w:bidi="hi-IN"/>
          <w14:ligatures w14:val="none"/>
        </w:rPr>
        <w:t>Ojasvi Bhatia</w:t>
      </w:r>
    </w:p>
    <w:p w14:paraId="332CFC7D" w14:textId="08779EDA" w:rsidR="0019504D" w:rsidRDefault="0019504D" w:rsidP="00277AF1">
      <w:pPr>
        <w:spacing w:line="360" w:lineRule="auto"/>
      </w:pPr>
    </w:p>
    <w:p w14:paraId="5FDF0CCB" w14:textId="77777777" w:rsidR="0019504D" w:rsidRDefault="0019504D" w:rsidP="00277AF1">
      <w:pPr>
        <w:spacing w:line="360" w:lineRule="auto"/>
      </w:pPr>
    </w:p>
    <w:p w14:paraId="0AFAA93B" w14:textId="77777777" w:rsidR="0019504D" w:rsidRDefault="0019504D" w:rsidP="00277AF1">
      <w:pPr>
        <w:spacing w:line="360" w:lineRule="auto"/>
      </w:pPr>
    </w:p>
    <w:p w14:paraId="4D3AFBF9" w14:textId="77777777" w:rsidR="0019504D" w:rsidRDefault="0019504D" w:rsidP="00277AF1">
      <w:pPr>
        <w:spacing w:line="360" w:lineRule="auto"/>
      </w:pPr>
    </w:p>
    <w:p w14:paraId="6AE15A7E" w14:textId="77777777" w:rsidR="00CD620A" w:rsidRDefault="00CD620A" w:rsidP="00277AF1">
      <w:pPr>
        <w:spacing w:line="360" w:lineRule="auto"/>
      </w:pPr>
    </w:p>
    <w:p w14:paraId="62598836" w14:textId="77777777" w:rsidR="00CD620A" w:rsidRDefault="00CD620A" w:rsidP="00277AF1">
      <w:pPr>
        <w:spacing w:line="360" w:lineRule="auto"/>
      </w:pPr>
    </w:p>
    <w:p w14:paraId="1FCB63F3" w14:textId="77777777" w:rsidR="00CD620A" w:rsidRDefault="00CD620A" w:rsidP="00277AF1">
      <w:pPr>
        <w:spacing w:line="360" w:lineRule="auto"/>
      </w:pPr>
    </w:p>
    <w:p w14:paraId="58C61D12" w14:textId="77777777" w:rsidR="00CD620A" w:rsidRDefault="00CD620A" w:rsidP="00277AF1">
      <w:pPr>
        <w:spacing w:line="360" w:lineRule="auto"/>
      </w:pPr>
    </w:p>
    <w:p w14:paraId="4356136E" w14:textId="77777777" w:rsidR="00CD620A" w:rsidRDefault="00CD620A" w:rsidP="00277AF1">
      <w:pPr>
        <w:spacing w:line="360" w:lineRule="auto"/>
      </w:pPr>
    </w:p>
    <w:p w14:paraId="58343F45" w14:textId="77777777" w:rsidR="00EA737F" w:rsidRDefault="00EA737F" w:rsidP="00277AF1">
      <w:pPr>
        <w:spacing w:line="360" w:lineRule="auto"/>
      </w:pPr>
    </w:p>
    <w:p w14:paraId="676C31E0" w14:textId="77777777" w:rsidR="009942AA" w:rsidRDefault="009942AA" w:rsidP="00277AF1">
      <w:pPr>
        <w:spacing w:line="360" w:lineRule="auto"/>
      </w:pPr>
    </w:p>
    <w:p w14:paraId="3CC24939" w14:textId="77777777" w:rsidR="009942AA" w:rsidRDefault="009942AA" w:rsidP="00277AF1">
      <w:pPr>
        <w:spacing w:line="360" w:lineRule="auto"/>
      </w:pPr>
    </w:p>
    <w:p w14:paraId="047FEA4D" w14:textId="77777777" w:rsidR="0019504D" w:rsidRDefault="0019504D" w:rsidP="00277AF1">
      <w:pPr>
        <w:spacing w:line="360" w:lineRule="auto"/>
      </w:pPr>
    </w:p>
    <w:p w14:paraId="3A4C303D" w14:textId="77777777" w:rsidR="0019504D" w:rsidRDefault="0019504D" w:rsidP="00277AF1">
      <w:pPr>
        <w:spacing w:line="360" w:lineRule="auto"/>
      </w:pPr>
    </w:p>
    <w:p w14:paraId="17E36AB5" w14:textId="77777777" w:rsidR="00EA737F" w:rsidRPr="00EA737F" w:rsidRDefault="00CD620A" w:rsidP="00277AF1">
      <w:pPr>
        <w:spacing w:line="360" w:lineRule="auto"/>
        <w:rPr>
          <w:b/>
          <w:bCs/>
          <w:lang w:val="en-US"/>
        </w:rPr>
      </w:pPr>
      <w:r w:rsidRPr="00EA737F">
        <w:rPr>
          <w:b/>
          <w:bCs/>
          <w:lang w:val="en-US"/>
        </w:rPr>
        <w:t xml:space="preserve">In no more than </w:t>
      </w:r>
      <w:r w:rsidR="00FC3CE9">
        <w:rPr>
          <w:b/>
          <w:bCs/>
          <w:lang w:val="en-US"/>
        </w:rPr>
        <w:t>500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0A814D5E" w14:textId="77777777" w:rsidR="00EA737F" w:rsidRDefault="00EA737F" w:rsidP="00277AF1">
      <w:pPr>
        <w:spacing w:line="360" w:lineRule="auto"/>
        <w:rPr>
          <w:lang w:val="en-US"/>
        </w:rPr>
      </w:pPr>
    </w:p>
    <w:p w14:paraId="1D81B7B0" w14:textId="77777777" w:rsidR="009F1099" w:rsidRDefault="00FC3CE9" w:rsidP="00277AF1">
      <w:pPr>
        <w:spacing w:line="360" w:lineRule="auto"/>
        <w:ind w:left="360"/>
        <w:rPr>
          <w:lang w:val="en-US"/>
        </w:rPr>
      </w:pPr>
      <w:r w:rsidRPr="00FC3CE9">
        <w:rPr>
          <w:lang w:val="en-US"/>
        </w:rPr>
        <w:t xml:space="preserve">1- Explain the </w:t>
      </w:r>
      <w:r w:rsidR="003F6B06">
        <w:rPr>
          <w:lang w:val="en-US"/>
        </w:rPr>
        <w:t>f</w:t>
      </w:r>
      <w:r w:rsidR="003F6B06" w:rsidRPr="003F6B06">
        <w:rPr>
          <w:lang w:val="en-US"/>
        </w:rPr>
        <w:t xml:space="preserve">actors </w:t>
      </w:r>
      <w:r w:rsidR="003F6B06">
        <w:rPr>
          <w:lang w:val="en-US"/>
        </w:rPr>
        <w:t>i</w:t>
      </w:r>
      <w:r w:rsidR="003F6B06" w:rsidRPr="003F6B06">
        <w:rPr>
          <w:lang w:val="en-US"/>
        </w:rPr>
        <w:t xml:space="preserve">nfluencing </w:t>
      </w:r>
      <w:r w:rsidR="003F6B06">
        <w:rPr>
          <w:lang w:val="en-US"/>
        </w:rPr>
        <w:t>p</w:t>
      </w:r>
      <w:r w:rsidR="003F6B06" w:rsidRPr="003F6B06">
        <w:rPr>
          <w:lang w:val="en-US"/>
        </w:rPr>
        <w:t xml:space="preserve">ricing </w:t>
      </w:r>
      <w:r w:rsidR="003F6B06">
        <w:rPr>
          <w:lang w:val="en-US"/>
        </w:rPr>
        <w:t>d</w:t>
      </w:r>
      <w:r w:rsidR="003F6B06" w:rsidRPr="003F6B06">
        <w:rPr>
          <w:lang w:val="en-US"/>
        </w:rPr>
        <w:t xml:space="preserve">ecisions in </w:t>
      </w:r>
      <w:r w:rsidR="003F6B06">
        <w:rPr>
          <w:lang w:val="en-US"/>
        </w:rPr>
        <w:t>h</w:t>
      </w:r>
      <w:r w:rsidR="003F6B06" w:rsidRPr="003F6B06">
        <w:rPr>
          <w:lang w:val="en-US"/>
        </w:rPr>
        <w:t>otels</w:t>
      </w:r>
    </w:p>
    <w:p w14:paraId="78388B8B" w14:textId="77777777" w:rsidR="004C2619" w:rsidRDefault="004C2619" w:rsidP="00277AF1">
      <w:pPr>
        <w:spacing w:line="360" w:lineRule="auto"/>
        <w:ind w:left="360"/>
        <w:rPr>
          <w:lang w:val="en-US"/>
        </w:rPr>
      </w:pPr>
    </w:p>
    <w:p w14:paraId="531BF54A" w14:textId="77777777" w:rsidR="004C2619" w:rsidRDefault="004C2619" w:rsidP="00277AF1">
      <w:pPr>
        <w:spacing w:line="360" w:lineRule="auto"/>
        <w:ind w:left="360"/>
        <w:rPr>
          <w:lang w:val="en-US"/>
        </w:rPr>
      </w:pPr>
    </w:p>
    <w:p w14:paraId="316BAB14" w14:textId="77777777" w:rsidR="004C2619" w:rsidRDefault="004C2619" w:rsidP="00277AF1">
      <w:pPr>
        <w:spacing w:line="360" w:lineRule="auto"/>
        <w:ind w:left="360"/>
        <w:rPr>
          <w:lang w:val="en-US"/>
        </w:rPr>
      </w:pPr>
    </w:p>
    <w:p w14:paraId="261C6029" w14:textId="77777777" w:rsidR="004C2619" w:rsidRDefault="004C2619" w:rsidP="00277AF1">
      <w:pPr>
        <w:spacing w:line="360" w:lineRule="auto"/>
        <w:ind w:left="360"/>
        <w:rPr>
          <w:lang w:val="en-US"/>
        </w:rPr>
      </w:pPr>
    </w:p>
    <w:p w14:paraId="3EAEC937" w14:textId="77777777" w:rsidR="004C2619" w:rsidRDefault="004C2619" w:rsidP="00277AF1">
      <w:pPr>
        <w:spacing w:line="360" w:lineRule="auto"/>
        <w:ind w:left="360"/>
        <w:rPr>
          <w:lang w:val="en-US"/>
        </w:rPr>
      </w:pPr>
    </w:p>
    <w:p w14:paraId="4B733AE0" w14:textId="77777777" w:rsidR="004C2619" w:rsidRDefault="004C2619" w:rsidP="00277AF1">
      <w:pPr>
        <w:spacing w:line="360" w:lineRule="auto"/>
        <w:ind w:left="360"/>
        <w:rPr>
          <w:lang w:val="en-US"/>
        </w:rPr>
      </w:pPr>
    </w:p>
    <w:p w14:paraId="7485F3FE" w14:textId="77777777" w:rsidR="004C2619" w:rsidRDefault="004C2619" w:rsidP="00277AF1">
      <w:pPr>
        <w:spacing w:line="360" w:lineRule="auto"/>
        <w:ind w:left="360"/>
        <w:rPr>
          <w:lang w:val="en-US"/>
        </w:rPr>
      </w:pPr>
    </w:p>
    <w:p w14:paraId="4050ED0D" w14:textId="77777777" w:rsidR="004C2619" w:rsidRDefault="004C2619" w:rsidP="00277AF1">
      <w:pPr>
        <w:spacing w:line="360" w:lineRule="auto"/>
        <w:ind w:left="360"/>
        <w:rPr>
          <w:lang w:val="en-US"/>
        </w:rPr>
      </w:pPr>
    </w:p>
    <w:p w14:paraId="20D82202" w14:textId="77777777" w:rsidR="004C2619" w:rsidRDefault="004C2619" w:rsidP="00277AF1">
      <w:pPr>
        <w:spacing w:line="360" w:lineRule="auto"/>
        <w:rPr>
          <w:lang w:val="en-US"/>
        </w:rPr>
      </w:pPr>
    </w:p>
    <w:p w14:paraId="1A153AF7" w14:textId="77777777" w:rsidR="004C2619" w:rsidRDefault="004C2619" w:rsidP="00277AF1">
      <w:pPr>
        <w:spacing w:line="360" w:lineRule="auto"/>
        <w:ind w:left="360"/>
        <w:rPr>
          <w:lang w:val="en-US"/>
        </w:rPr>
      </w:pPr>
    </w:p>
    <w:p w14:paraId="5058E212" w14:textId="77777777" w:rsidR="004E0B50" w:rsidRPr="004E0B50" w:rsidRDefault="004E0B50" w:rsidP="004E0B50">
      <w:pPr>
        <w:spacing w:line="360" w:lineRule="auto"/>
        <w:ind w:left="360"/>
        <w:rPr>
          <w:lang w:val="en-GB"/>
        </w:rPr>
      </w:pPr>
      <w:r w:rsidRPr="004E0B50">
        <w:rPr>
          <w:lang w:val="en-GB"/>
        </w:rPr>
        <w:lastRenderedPageBreak/>
        <w:t>Hotel pricing decisions are strategic in nature and influenced by economic, operational, and behavioural factors. Because hotel inventory is time-bound and non-storable, pricing must adapt continuously to market conditions to optimise revenue.</w:t>
      </w:r>
    </w:p>
    <w:p w14:paraId="7CE5A52D" w14:textId="77777777" w:rsidR="004E0B50" w:rsidRPr="004E0B50" w:rsidRDefault="004E0B50" w:rsidP="004E0B50">
      <w:pPr>
        <w:spacing w:line="360" w:lineRule="auto"/>
        <w:ind w:left="360"/>
        <w:rPr>
          <w:lang w:val="en-GB"/>
        </w:rPr>
      </w:pPr>
      <w:r w:rsidRPr="004E0B50">
        <w:rPr>
          <w:lang w:val="en-GB"/>
        </w:rPr>
        <w:t>One critical factor influencing hotel pricing is market demand uncertainty. Demand varies depending on tourism seasons, macroeconomic conditions, and destination attractiveness. Empirical research demonstrates that hotels adjust prices based on expected occupancy levels to manage revenue risks effectively (Kimes, 2002). Higher demand allows hotels to charge premium prices, while lower demand encourages price reductions.</w:t>
      </w:r>
    </w:p>
    <w:p w14:paraId="10FEAAFC" w14:textId="77777777" w:rsidR="004E0B50" w:rsidRPr="004E0B50" w:rsidRDefault="004E0B50" w:rsidP="004E0B50">
      <w:pPr>
        <w:spacing w:line="360" w:lineRule="auto"/>
        <w:ind w:left="360"/>
        <w:rPr>
          <w:lang w:val="en-GB"/>
        </w:rPr>
      </w:pPr>
      <w:r w:rsidRPr="004E0B50">
        <w:rPr>
          <w:lang w:val="en-GB"/>
        </w:rPr>
        <w:t>Brand positioning and service quality significantly affect pricing decisions. Hotels with strong brand equity, superior service standards, or unique experiences can command higher prices because customers associate these attributes with greater value (Espinet et al., 2003). Brand reputation reduces price sensitivity and supports premium pricing strategies.</w:t>
      </w:r>
    </w:p>
    <w:p w14:paraId="14F22DF0" w14:textId="77777777" w:rsidR="004E0B50" w:rsidRPr="004E0B50" w:rsidRDefault="004E0B50" w:rsidP="004E0B50">
      <w:pPr>
        <w:spacing w:line="360" w:lineRule="auto"/>
        <w:ind w:left="360"/>
        <w:rPr>
          <w:lang w:val="en-GB"/>
        </w:rPr>
      </w:pPr>
      <w:r w:rsidRPr="004E0B50">
        <w:rPr>
          <w:lang w:val="en-GB"/>
        </w:rPr>
        <w:t>Operational and labour costs also shape pricing strategies. Rising labour costs, energy prices, and maintenance expenses place pressure on hotels to adjust room rates accordingly. Cost-based considerations often interact with demand-based strategies to ensure long-term financial sustainability (Chen &amp; Schwartz, 2008).</w:t>
      </w:r>
    </w:p>
    <w:p w14:paraId="29D8FFFE" w14:textId="77777777" w:rsidR="004E0B50" w:rsidRPr="004E0B50" w:rsidRDefault="004E0B50" w:rsidP="004E0B50">
      <w:pPr>
        <w:spacing w:line="360" w:lineRule="auto"/>
        <w:ind w:left="360"/>
        <w:rPr>
          <w:lang w:val="en-GB"/>
        </w:rPr>
      </w:pPr>
      <w:r w:rsidRPr="004E0B50">
        <w:rPr>
          <w:lang w:val="en-GB"/>
        </w:rPr>
        <w:t>The distribution channel mix plays a crucial role in hotel pricing. Prices vary across direct booking channels, online travel agencies (OTAs), and global distribution systems. Commission fees charged by intermediaries influence net room revenue, prompting hotels to differentiate prices across channels (Ling et al., 2014). Channel management strategies therefore directly impact final pricing decisions.</w:t>
      </w:r>
    </w:p>
    <w:p w14:paraId="04E188C5" w14:textId="77777777" w:rsidR="004E0B50" w:rsidRPr="004E0B50" w:rsidRDefault="004E0B50" w:rsidP="004E0B50">
      <w:pPr>
        <w:spacing w:line="360" w:lineRule="auto"/>
        <w:ind w:left="360"/>
        <w:rPr>
          <w:lang w:val="en-GB"/>
        </w:rPr>
      </w:pPr>
      <w:r w:rsidRPr="004E0B50">
        <w:rPr>
          <w:lang w:val="en-GB"/>
        </w:rPr>
        <w:t>Additionally, consumer price perception and fairness affect how prices are set. Research suggests that customers evaluate hotel prices based on perceived fairness and consistency across channels. Excessive price fluctuations may negatively affect trust and brand loyalty (Kimes, 2002). Hotels must therefore balance dynamic pricing with transparency.</w:t>
      </w:r>
    </w:p>
    <w:p w14:paraId="5B48AAB5" w14:textId="77777777" w:rsidR="004E0B50" w:rsidRPr="004E0B50" w:rsidRDefault="004E0B50" w:rsidP="004E0B50">
      <w:pPr>
        <w:spacing w:line="360" w:lineRule="auto"/>
        <w:ind w:left="360"/>
        <w:rPr>
          <w:lang w:val="en-GB"/>
        </w:rPr>
      </w:pPr>
      <w:r w:rsidRPr="004E0B50">
        <w:rPr>
          <w:lang w:val="en-GB"/>
        </w:rPr>
        <w:t>In conclusion, hotel pricing decisions are shaped by demand uncertainty, brand positioning, cost pressures, distribution channels, and consumer perceptions. An effective pricing strategy integrates these factors to maximise revenue while preserving customer satisfaction and brand integrity.</w:t>
      </w:r>
    </w:p>
    <w:p w14:paraId="0DC9C3FD" w14:textId="77777777" w:rsidR="004E0B50" w:rsidRPr="004E0B50" w:rsidRDefault="004E0B50" w:rsidP="004E0B50">
      <w:pPr>
        <w:spacing w:line="360" w:lineRule="auto"/>
        <w:ind w:left="360"/>
        <w:rPr>
          <w:b/>
          <w:bCs/>
          <w:lang w:val="en-GB"/>
        </w:rPr>
      </w:pPr>
      <w:r w:rsidRPr="004E0B50">
        <w:rPr>
          <w:b/>
          <w:bCs/>
          <w:lang w:val="en-GB"/>
        </w:rPr>
        <w:lastRenderedPageBreak/>
        <w:t>References (DOI)</w:t>
      </w:r>
    </w:p>
    <w:p w14:paraId="10707969" w14:textId="77777777" w:rsidR="004E0B50" w:rsidRPr="004E0B50" w:rsidRDefault="004E0B50" w:rsidP="004E0B50">
      <w:pPr>
        <w:spacing w:line="360" w:lineRule="auto"/>
        <w:ind w:left="360"/>
        <w:rPr>
          <w:b/>
          <w:bCs/>
          <w:lang w:val="en-GB"/>
        </w:rPr>
      </w:pPr>
      <w:r w:rsidRPr="004E0B50">
        <w:rPr>
          <w:b/>
          <w:bCs/>
          <w:lang w:val="en-GB"/>
        </w:rPr>
        <w:t xml:space="preserve">Chen, C. C., &amp; Schwartz, Z. (2008). Room rate patterns and customer expectations. </w:t>
      </w:r>
      <w:r w:rsidRPr="004E0B50">
        <w:rPr>
          <w:b/>
          <w:bCs/>
          <w:i/>
          <w:iCs/>
          <w:lang w:val="en-GB"/>
        </w:rPr>
        <w:t>International Journal of Hospitality Management, 27</w:t>
      </w:r>
      <w:r w:rsidRPr="004E0B50">
        <w:rPr>
          <w:b/>
          <w:bCs/>
          <w:lang w:val="en-GB"/>
        </w:rPr>
        <w:t>(2), 287–297. https://doi.org/10.1016/j.ijhm.2007.07.011</w:t>
      </w:r>
    </w:p>
    <w:p w14:paraId="45EE62F9" w14:textId="77777777" w:rsidR="004E0B50" w:rsidRPr="004E0B50" w:rsidRDefault="004E0B50" w:rsidP="004E0B50">
      <w:pPr>
        <w:spacing w:line="360" w:lineRule="auto"/>
        <w:ind w:left="360"/>
        <w:rPr>
          <w:b/>
          <w:bCs/>
          <w:lang w:val="en-GB"/>
        </w:rPr>
      </w:pPr>
      <w:r w:rsidRPr="004E0B50">
        <w:rPr>
          <w:b/>
          <w:bCs/>
          <w:lang w:val="en-GB"/>
        </w:rPr>
        <w:t xml:space="preserve">Espinet, J. M., Saez, M., </w:t>
      </w:r>
      <w:proofErr w:type="spellStart"/>
      <w:r w:rsidRPr="004E0B50">
        <w:rPr>
          <w:b/>
          <w:bCs/>
          <w:lang w:val="en-GB"/>
        </w:rPr>
        <w:t>Coenders</w:t>
      </w:r>
      <w:proofErr w:type="spellEnd"/>
      <w:r w:rsidRPr="004E0B50">
        <w:rPr>
          <w:b/>
          <w:bCs/>
          <w:lang w:val="en-GB"/>
        </w:rPr>
        <w:t xml:space="preserve">, G., &amp; </w:t>
      </w:r>
      <w:proofErr w:type="spellStart"/>
      <w:r w:rsidRPr="004E0B50">
        <w:rPr>
          <w:b/>
          <w:bCs/>
          <w:lang w:val="en-GB"/>
        </w:rPr>
        <w:t>Fluvià</w:t>
      </w:r>
      <w:proofErr w:type="spellEnd"/>
      <w:r w:rsidRPr="004E0B50">
        <w:rPr>
          <w:b/>
          <w:bCs/>
          <w:lang w:val="en-GB"/>
        </w:rPr>
        <w:t xml:space="preserve">, M. (2003). Effect on prices of hotel characteristics. </w:t>
      </w:r>
      <w:r w:rsidRPr="004E0B50">
        <w:rPr>
          <w:b/>
          <w:bCs/>
          <w:i/>
          <w:iCs/>
          <w:lang w:val="en-GB"/>
        </w:rPr>
        <w:t>Tourism Economics, 9</w:t>
      </w:r>
      <w:r w:rsidRPr="004E0B50">
        <w:rPr>
          <w:b/>
          <w:bCs/>
          <w:lang w:val="en-GB"/>
        </w:rPr>
        <w:t>(2), 165–177. https://doi.org/10.5367/000000003101298330</w:t>
      </w:r>
    </w:p>
    <w:p w14:paraId="6557BC47" w14:textId="77777777" w:rsidR="004E0B50" w:rsidRPr="004E0B50" w:rsidRDefault="004E0B50" w:rsidP="004E0B50">
      <w:pPr>
        <w:spacing w:line="360" w:lineRule="auto"/>
        <w:ind w:left="360"/>
        <w:rPr>
          <w:b/>
          <w:bCs/>
          <w:lang w:val="en-GB"/>
        </w:rPr>
      </w:pPr>
      <w:r w:rsidRPr="004E0B50">
        <w:rPr>
          <w:b/>
          <w:bCs/>
          <w:lang w:val="en-GB"/>
        </w:rPr>
        <w:t xml:space="preserve">Kimes, S. E. (2002). Perceived fairness of yield management. </w:t>
      </w:r>
      <w:r w:rsidRPr="004E0B50">
        <w:rPr>
          <w:b/>
          <w:bCs/>
          <w:i/>
          <w:iCs/>
          <w:lang w:val="en-GB"/>
        </w:rPr>
        <w:t>Cornell Hotel and Restaurant Administration Quarterly, 43</w:t>
      </w:r>
      <w:r w:rsidRPr="004E0B50">
        <w:rPr>
          <w:b/>
          <w:bCs/>
          <w:lang w:val="en-GB"/>
        </w:rPr>
        <w:t>(1), 21–34. https://doi.org/10.1016/S0010-8804(02)80003-8</w:t>
      </w:r>
    </w:p>
    <w:p w14:paraId="71DED71E" w14:textId="77777777" w:rsidR="004E0B50" w:rsidRPr="004E0B50" w:rsidRDefault="004E0B50" w:rsidP="004E0B50">
      <w:pPr>
        <w:spacing w:line="360" w:lineRule="auto"/>
        <w:ind w:left="360"/>
        <w:rPr>
          <w:b/>
          <w:bCs/>
          <w:lang w:val="en-GB"/>
        </w:rPr>
      </w:pPr>
      <w:r w:rsidRPr="004E0B50">
        <w:rPr>
          <w:b/>
          <w:bCs/>
          <w:lang w:val="en-GB"/>
        </w:rPr>
        <w:t xml:space="preserve">Ling, L., Guo, X., &amp; Yang, C. (2014). Optimal pricing strategy in the presence of online intermediaries. </w:t>
      </w:r>
      <w:r w:rsidRPr="004E0B50">
        <w:rPr>
          <w:b/>
          <w:bCs/>
          <w:i/>
          <w:iCs/>
          <w:lang w:val="en-GB"/>
        </w:rPr>
        <w:t>Tourism Management, 43</w:t>
      </w:r>
      <w:r w:rsidRPr="004E0B50">
        <w:rPr>
          <w:b/>
          <w:bCs/>
          <w:lang w:val="en-GB"/>
        </w:rPr>
        <w:t>, 1–13. https://doi.org/10.1016/j.tourman.2014.01.004</w:t>
      </w:r>
    </w:p>
    <w:p w14:paraId="1E00EED1" w14:textId="77777777" w:rsidR="004C2619" w:rsidRPr="00FC3CE9" w:rsidRDefault="004C2619" w:rsidP="004E0B50">
      <w:pPr>
        <w:spacing w:line="360" w:lineRule="auto"/>
        <w:ind w:left="360"/>
        <w:rPr>
          <w:lang w:val="en-US"/>
        </w:rPr>
      </w:pPr>
    </w:p>
    <w:sectPr w:rsidR="004C2619" w:rsidRPr="00FC3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CA394054-F4EF-4140-939D-E8AFBF5AFBDF}"/>
    <w:embedBold r:id="rId2" w:fontKey="{38A30651-86FE-4100-A538-6F1A8C5628CF}"/>
    <w:embedBoldItalic r:id="rId3" w:fontKey="{8FE96086-C5E7-4AAD-9BEE-874371FE2181}"/>
  </w:font>
  <w:font w:name="Cambria">
    <w:panose1 w:val="02040503050406030204"/>
    <w:charset w:val="00"/>
    <w:family w:val="roman"/>
    <w:pitch w:val="variable"/>
    <w:sig w:usb0="E00006FF" w:usb1="420024FF" w:usb2="02000000" w:usb3="00000000" w:csb0="0000019F" w:csb1="00000000"/>
    <w:embedRegular r:id="rId4" w:fontKey="{EE7FC062-7E1F-464C-9E39-245486799E27}"/>
  </w:font>
  <w:font w:name="Aptos Narrow">
    <w:charset w:val="00"/>
    <w:family w:val="swiss"/>
    <w:pitch w:val="variable"/>
    <w:sig w:usb0="20000287" w:usb1="00000003" w:usb2="00000000" w:usb3="00000000" w:csb0="0000019F" w:csb1="00000000"/>
    <w:embedRegular r:id="rId5" w:fontKey="{963FE085-9124-4315-AA30-FCAAC823D86B}"/>
  </w:font>
  <w:font w:name="Calibri Light">
    <w:panose1 w:val="020F0302020204030204"/>
    <w:charset w:val="00"/>
    <w:family w:val="swiss"/>
    <w:pitch w:val="variable"/>
    <w:sig w:usb0="E4002EFF" w:usb1="C000247B" w:usb2="00000009" w:usb3="00000000" w:csb0="000001FF" w:csb1="00000000"/>
    <w:embedRegular r:id="rId6" w:fontKey="{82BAE64B-A46B-49E5-B9EF-57F13C681D3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235DF"/>
    <w:multiLevelType w:val="multilevel"/>
    <w:tmpl w:val="F050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90FDB"/>
    <w:multiLevelType w:val="multilevel"/>
    <w:tmpl w:val="D4209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64D32FF"/>
    <w:multiLevelType w:val="multilevel"/>
    <w:tmpl w:val="5E66D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3A0303"/>
    <w:multiLevelType w:val="multilevel"/>
    <w:tmpl w:val="66984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5D5823"/>
    <w:multiLevelType w:val="multilevel"/>
    <w:tmpl w:val="0DDC2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4473F8"/>
    <w:multiLevelType w:val="multilevel"/>
    <w:tmpl w:val="6EECB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0C38E1"/>
    <w:multiLevelType w:val="multilevel"/>
    <w:tmpl w:val="7F04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11C5A77"/>
    <w:multiLevelType w:val="multilevel"/>
    <w:tmpl w:val="A87AB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6355DF"/>
    <w:multiLevelType w:val="multilevel"/>
    <w:tmpl w:val="21DA2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AA6BDA"/>
    <w:multiLevelType w:val="multilevel"/>
    <w:tmpl w:val="C896B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6"/>
  </w:num>
  <w:num w:numId="2" w16cid:durableId="561453694">
    <w:abstractNumId w:val="14"/>
  </w:num>
  <w:num w:numId="3" w16cid:durableId="770932124">
    <w:abstractNumId w:val="5"/>
  </w:num>
  <w:num w:numId="4" w16cid:durableId="1109160729">
    <w:abstractNumId w:val="10"/>
  </w:num>
  <w:num w:numId="5" w16cid:durableId="1079014838">
    <w:abstractNumId w:val="2"/>
  </w:num>
  <w:num w:numId="6" w16cid:durableId="34277552">
    <w:abstractNumId w:val="4"/>
  </w:num>
  <w:num w:numId="7" w16cid:durableId="481972325">
    <w:abstractNumId w:val="0"/>
  </w:num>
  <w:num w:numId="8" w16cid:durableId="148982234">
    <w:abstractNumId w:val="12"/>
  </w:num>
  <w:num w:numId="9" w16cid:durableId="1444112292">
    <w:abstractNumId w:val="3"/>
  </w:num>
  <w:num w:numId="10" w16cid:durableId="1321886167">
    <w:abstractNumId w:val="8"/>
  </w:num>
  <w:num w:numId="11" w16cid:durableId="173691968">
    <w:abstractNumId w:val="9"/>
  </w:num>
  <w:num w:numId="12" w16cid:durableId="775708852">
    <w:abstractNumId w:val="13"/>
  </w:num>
  <w:num w:numId="13" w16cid:durableId="621886876">
    <w:abstractNumId w:val="7"/>
  </w:num>
  <w:num w:numId="14" w16cid:durableId="311258152">
    <w:abstractNumId w:val="11"/>
  </w:num>
  <w:num w:numId="15" w16cid:durableId="2029940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E88"/>
    <w:rsid w:val="001D3D03"/>
    <w:rsid w:val="00224FD9"/>
    <w:rsid w:val="00277AF1"/>
    <w:rsid w:val="002F4AE0"/>
    <w:rsid w:val="00384E8A"/>
    <w:rsid w:val="003D1074"/>
    <w:rsid w:val="003F6B06"/>
    <w:rsid w:val="00426865"/>
    <w:rsid w:val="00477CAA"/>
    <w:rsid w:val="00494D6C"/>
    <w:rsid w:val="004C2619"/>
    <w:rsid w:val="004D2F73"/>
    <w:rsid w:val="004E0B50"/>
    <w:rsid w:val="00502E29"/>
    <w:rsid w:val="005E458B"/>
    <w:rsid w:val="00661030"/>
    <w:rsid w:val="007E1389"/>
    <w:rsid w:val="00844EC2"/>
    <w:rsid w:val="008516FE"/>
    <w:rsid w:val="008E3539"/>
    <w:rsid w:val="00903466"/>
    <w:rsid w:val="009122A2"/>
    <w:rsid w:val="009942AA"/>
    <w:rsid w:val="009C1D0A"/>
    <w:rsid w:val="009F1099"/>
    <w:rsid w:val="00A044F7"/>
    <w:rsid w:val="00A8150E"/>
    <w:rsid w:val="00B1244A"/>
    <w:rsid w:val="00B20343"/>
    <w:rsid w:val="00B85EA7"/>
    <w:rsid w:val="00BE65DD"/>
    <w:rsid w:val="00C21EBA"/>
    <w:rsid w:val="00C612A4"/>
    <w:rsid w:val="00CC6AD1"/>
    <w:rsid w:val="00CD620A"/>
    <w:rsid w:val="00CE464D"/>
    <w:rsid w:val="00CF7DEA"/>
    <w:rsid w:val="00E53D54"/>
    <w:rsid w:val="00E6778A"/>
    <w:rsid w:val="00EA737F"/>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B735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4C2619"/>
    <w:rPr>
      <w:color w:val="0563C1" w:themeColor="hyperlink"/>
      <w:u w:val="single"/>
    </w:rPr>
  </w:style>
  <w:style w:type="character" w:styleId="UnresolvedMention">
    <w:name w:val="Unresolved Mention"/>
    <w:basedOn w:val="DefaultParagraphFont"/>
    <w:uiPriority w:val="99"/>
    <w:semiHidden/>
    <w:unhideWhenUsed/>
    <w:rsid w:val="004C26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505</Words>
  <Characters>2880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2026-01-22T01:47:00Z</dcterms:created>
  <dcterms:modified xsi:type="dcterms:W3CDTF">2026-01-22T01:47:00Z</dcterms:modified>
</cp:coreProperties>
</file>