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635AB0"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635AB0" w:rsidRDefault="004A1F6F" w:rsidP="00013DBD">
      <w:pPr>
        <w:spacing w:line="480" w:lineRule="auto"/>
        <w:rPr>
          <w:rFonts w:ascii="Times New Roman" w:hAnsi="Times New Roman" w:cs="Times New Roman"/>
          <w:color w:val="000000" w:themeColor="text1"/>
          <w:szCs w:val="24"/>
          <w:lang w:val="en-US"/>
        </w:rPr>
      </w:pPr>
      <w:r w:rsidRPr="00635AB0">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635AB0"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635AB0"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635AB0"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635AB0" w:rsidRDefault="00F72ED2" w:rsidP="00013DBD">
      <w:pPr>
        <w:spacing w:line="480" w:lineRule="auto"/>
        <w:jc w:val="center"/>
        <w:rPr>
          <w:rFonts w:ascii="Times New Roman" w:hAnsi="Times New Roman" w:cs="Times New Roman"/>
          <w:b/>
          <w:bCs/>
          <w:color w:val="000000" w:themeColor="text1"/>
          <w:szCs w:val="24"/>
        </w:rPr>
      </w:pPr>
      <w:proofErr w:type="gramStart"/>
      <w:r w:rsidRPr="00635AB0">
        <w:rPr>
          <w:rFonts w:ascii="Times New Roman" w:hAnsi="Times New Roman" w:cs="Times New Roman"/>
          <w:b/>
          <w:bCs/>
          <w:color w:val="000000" w:themeColor="text1"/>
          <w:szCs w:val="24"/>
        </w:rPr>
        <w:t>Bachelor's</w:t>
      </w:r>
      <w:proofErr w:type="gramEnd"/>
      <w:r w:rsidRPr="00635AB0">
        <w:rPr>
          <w:rFonts w:ascii="Times New Roman" w:hAnsi="Times New Roman" w:cs="Times New Roman"/>
          <w:b/>
          <w:bCs/>
          <w:color w:val="000000" w:themeColor="text1"/>
          <w:szCs w:val="24"/>
        </w:rPr>
        <w:t xml:space="preserve"> in Tourism and Recreation</w:t>
      </w:r>
    </w:p>
    <w:p w14:paraId="2BA9879A" w14:textId="77777777" w:rsidR="0023731E" w:rsidRPr="0023731E" w:rsidRDefault="0023731E" w:rsidP="0023731E">
      <w:pPr>
        <w:spacing w:line="480" w:lineRule="auto"/>
        <w:jc w:val="center"/>
        <w:rPr>
          <w:rFonts w:ascii="Times New Roman" w:hAnsi="Times New Roman" w:cs="Times New Roman"/>
          <w:b/>
          <w:bCs/>
          <w:color w:val="000000" w:themeColor="text1"/>
          <w:szCs w:val="24"/>
        </w:rPr>
      </w:pPr>
      <w:r w:rsidRPr="0023731E">
        <w:rPr>
          <w:rFonts w:ascii="Times New Roman" w:hAnsi="Times New Roman" w:cs="Times New Roman"/>
          <w:b/>
          <w:bCs/>
          <w:color w:val="000000" w:themeColor="text1"/>
          <w:szCs w:val="24"/>
        </w:rPr>
        <w:t>Tourism Law</w:t>
      </w:r>
    </w:p>
    <w:p w14:paraId="024E721F" w14:textId="3730EB0D" w:rsidR="004D7D13" w:rsidRPr="00635AB0" w:rsidRDefault="0023731E" w:rsidP="0023731E">
      <w:pPr>
        <w:spacing w:line="480" w:lineRule="auto"/>
        <w:jc w:val="center"/>
        <w:rPr>
          <w:rFonts w:ascii="Times New Roman" w:hAnsi="Times New Roman" w:cs="Times New Roman"/>
          <w:color w:val="000000" w:themeColor="text1"/>
          <w:szCs w:val="24"/>
          <w:lang w:val="en-US"/>
        </w:rPr>
      </w:pPr>
      <w:r w:rsidRPr="00635AB0">
        <w:rPr>
          <w:rFonts w:ascii="Times New Roman" w:hAnsi="Times New Roman" w:cs="Times New Roman"/>
          <w:b/>
          <w:bCs/>
          <w:color w:val="000000" w:themeColor="text1"/>
          <w:szCs w:val="24"/>
        </w:rPr>
        <w:t>Assignment 1: The Role of Contract Law in the Tourism Industry</w:t>
      </w:r>
    </w:p>
    <w:p w14:paraId="2C8D5449" w14:textId="77777777" w:rsidR="00A76B20" w:rsidRPr="00635AB0"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635AB0"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635AB0"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635AB0"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635AB0"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635AB0"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Default="00857685" w:rsidP="00013DBD">
      <w:pPr>
        <w:spacing w:line="480" w:lineRule="auto"/>
        <w:rPr>
          <w:rFonts w:ascii="Times New Roman" w:hAnsi="Times New Roman" w:cs="Times New Roman"/>
          <w:color w:val="000000" w:themeColor="text1"/>
          <w:szCs w:val="24"/>
          <w:lang w:val="en-US"/>
        </w:rPr>
      </w:pPr>
    </w:p>
    <w:p w14:paraId="15F16A60" w14:textId="77777777" w:rsidR="0009281E" w:rsidRDefault="0009281E" w:rsidP="00013DBD">
      <w:pPr>
        <w:spacing w:line="480" w:lineRule="auto"/>
        <w:rPr>
          <w:rFonts w:ascii="Times New Roman" w:hAnsi="Times New Roman" w:cs="Times New Roman"/>
          <w:color w:val="000000" w:themeColor="text1"/>
          <w:szCs w:val="24"/>
          <w:lang w:val="en-US"/>
        </w:rPr>
      </w:pPr>
    </w:p>
    <w:p w14:paraId="03B055A2" w14:textId="77777777" w:rsidR="0009281E" w:rsidRPr="00635AB0" w:rsidRDefault="0009281E" w:rsidP="00013DBD">
      <w:pPr>
        <w:spacing w:line="480" w:lineRule="auto"/>
        <w:rPr>
          <w:rFonts w:ascii="Times New Roman" w:hAnsi="Times New Roman" w:cs="Times New Roman"/>
          <w:color w:val="000000" w:themeColor="text1"/>
          <w:szCs w:val="24"/>
          <w:lang w:val="en-US"/>
        </w:rPr>
      </w:pPr>
    </w:p>
    <w:p w14:paraId="6DAFC10D" w14:textId="77777777" w:rsidR="00857685" w:rsidRPr="00635AB0" w:rsidRDefault="00857685" w:rsidP="00013DBD">
      <w:pPr>
        <w:spacing w:line="480" w:lineRule="auto"/>
        <w:rPr>
          <w:rFonts w:ascii="Times New Roman" w:hAnsi="Times New Roman" w:cs="Times New Roman"/>
          <w:color w:val="000000" w:themeColor="text1"/>
          <w:szCs w:val="24"/>
          <w:lang w:val="en-US"/>
        </w:rPr>
      </w:pPr>
    </w:p>
    <w:p w14:paraId="25BE1823" w14:textId="345FFE74" w:rsidR="00EA7FD8" w:rsidRPr="00635AB0" w:rsidRDefault="00D33052" w:rsidP="005B0192">
      <w:pPr>
        <w:spacing w:line="480" w:lineRule="auto"/>
        <w:rPr>
          <w:rFonts w:ascii="Times New Roman" w:hAnsi="Times New Roman" w:cs="Times New Roman"/>
          <w:color w:val="000000" w:themeColor="text1"/>
          <w:szCs w:val="24"/>
        </w:rPr>
      </w:pPr>
      <w:bookmarkStart w:id="0" w:name="_Toc221200714"/>
      <w:r w:rsidRPr="00635AB0">
        <w:rPr>
          <w:rStyle w:val="Heading1Char"/>
          <w:rFonts w:ascii="Times New Roman" w:hAnsi="Times New Roman" w:cs="Times New Roman"/>
          <w:b/>
          <w:bCs/>
          <w:color w:val="000000" w:themeColor="text1"/>
          <w:sz w:val="24"/>
          <w:szCs w:val="24"/>
        </w:rPr>
        <w:lastRenderedPageBreak/>
        <w:t>Abstract</w:t>
      </w:r>
      <w:bookmarkEnd w:id="0"/>
    </w:p>
    <w:p w14:paraId="08B0B6EF" w14:textId="77777777" w:rsidR="00EA7FD8" w:rsidRPr="00635AB0" w:rsidRDefault="00EA7FD8" w:rsidP="00EA7FD8">
      <w:pPr>
        <w:spacing w:line="480" w:lineRule="auto"/>
        <w:rPr>
          <w:rFonts w:ascii="Times New Roman" w:eastAsiaTheme="majorEastAsia" w:hAnsi="Times New Roman" w:cs="Times New Roman"/>
          <w:color w:val="000000" w:themeColor="text1"/>
          <w:kern w:val="0"/>
          <w:szCs w:val="24"/>
          <w:lang w:bidi="ar-SA"/>
          <w14:ligatures w14:val="none"/>
        </w:rPr>
      </w:pPr>
      <w:r w:rsidRPr="00EA7FD8">
        <w:rPr>
          <w:rFonts w:ascii="Times New Roman" w:eastAsiaTheme="majorEastAsia" w:hAnsi="Times New Roman" w:cs="Times New Roman"/>
          <w:color w:val="000000" w:themeColor="text1"/>
          <w:kern w:val="0"/>
          <w:szCs w:val="24"/>
          <w:lang w:bidi="ar-SA"/>
          <w14:ligatures w14:val="none"/>
        </w:rPr>
        <w:t>Contract law plays a vital role in regulating relationships between service providers and consumers within the tourism industry. Given the cross-border nature of tourism transactions and the involvement of multiple stakeholders—such as airlines, hotels, tour operators, and travel agencies—contracts provide the legal framework that ensures certainty, accountability, and consumer protection. This assignment examines the importance of contract law in tourism by focusing on how legally binding agreements govern service delivery, pricing, liability, and dispute resolution. It explores the fundamental elements required for a valid contract, including offer, acceptance, consideration, and intention to create legal relations, and analyses their application in tourism-related agreements such as booking contracts, package tour agreements, and liability waivers. Furthermore, the assignment critically evaluates the rights and obligations of parties involved in tourism contracts, highlighting issues such as unfair contract terms, cancellation policies, and breach of contract. Real-world examples of contract disputes in the tourism sector are used to demonstrate how contract law principles are applied in practice to resolve conflicts and protect consumer interests. Overall, the study underscores the significance of contract law in promoting trust, reducing legal uncertainty, and ensuring sustainable business practices within the global tourism industry.</w:t>
      </w:r>
    </w:p>
    <w:p w14:paraId="13C9598D" w14:textId="77777777" w:rsidR="00EA7FD8" w:rsidRPr="00635AB0" w:rsidRDefault="00EA7FD8" w:rsidP="00EA7FD8">
      <w:pPr>
        <w:spacing w:line="480" w:lineRule="auto"/>
        <w:rPr>
          <w:rFonts w:ascii="Times New Roman" w:eastAsiaTheme="majorEastAsia" w:hAnsi="Times New Roman" w:cs="Times New Roman"/>
          <w:color w:val="000000" w:themeColor="text1"/>
          <w:kern w:val="0"/>
          <w:szCs w:val="24"/>
          <w:lang w:bidi="ar-SA"/>
          <w14:ligatures w14:val="none"/>
        </w:rPr>
      </w:pPr>
    </w:p>
    <w:p w14:paraId="13DD9C62" w14:textId="77777777" w:rsidR="00EA7FD8" w:rsidRPr="00635AB0" w:rsidRDefault="00EA7FD8" w:rsidP="00EA7FD8">
      <w:pPr>
        <w:spacing w:line="480" w:lineRule="auto"/>
        <w:rPr>
          <w:rFonts w:ascii="Times New Roman" w:eastAsiaTheme="majorEastAsia" w:hAnsi="Times New Roman" w:cs="Times New Roman"/>
          <w:color w:val="000000" w:themeColor="text1"/>
          <w:kern w:val="0"/>
          <w:szCs w:val="24"/>
          <w:lang w:bidi="ar-SA"/>
          <w14:ligatures w14:val="none"/>
        </w:rPr>
      </w:pPr>
    </w:p>
    <w:p w14:paraId="1D7028FC" w14:textId="77777777" w:rsidR="00EA7FD8" w:rsidRPr="00635AB0" w:rsidRDefault="00EA7FD8" w:rsidP="00EA7FD8">
      <w:pPr>
        <w:spacing w:line="480" w:lineRule="auto"/>
        <w:rPr>
          <w:rFonts w:ascii="Times New Roman" w:eastAsiaTheme="majorEastAsia" w:hAnsi="Times New Roman" w:cs="Times New Roman"/>
          <w:color w:val="000000" w:themeColor="text1"/>
          <w:kern w:val="0"/>
          <w:szCs w:val="24"/>
          <w:lang w:bidi="ar-SA"/>
          <w14:ligatures w14:val="none"/>
        </w:rPr>
      </w:pPr>
    </w:p>
    <w:p w14:paraId="0EAA8E41" w14:textId="77777777" w:rsidR="00EA7FD8" w:rsidRPr="00EA7FD8" w:rsidRDefault="00EA7FD8" w:rsidP="00EA7FD8">
      <w:pPr>
        <w:spacing w:line="480" w:lineRule="auto"/>
        <w:rPr>
          <w:rFonts w:ascii="Times New Roman" w:eastAsiaTheme="majorEastAsia" w:hAnsi="Times New Roman" w:cs="Times New Roman"/>
          <w:color w:val="000000" w:themeColor="text1"/>
          <w:kern w:val="0"/>
          <w:szCs w:val="24"/>
          <w:lang w:bidi="ar-SA"/>
          <w14:ligatures w14:val="none"/>
        </w:rPr>
      </w:pPr>
    </w:p>
    <w:sdt>
      <w:sdtPr>
        <w:rPr>
          <w:rFonts w:ascii="Times New Roman" w:hAnsi="Times New Roman" w:cs="Times New Roman"/>
          <w:color w:val="000000" w:themeColor="text1"/>
          <w:sz w:val="24"/>
          <w:szCs w:val="24"/>
        </w:rPr>
        <w:id w:val="127520408"/>
        <w:docPartObj>
          <w:docPartGallery w:val="Table of Contents"/>
          <w:docPartUnique/>
        </w:docPartObj>
      </w:sdtPr>
      <w:sdtEndPr>
        <w:rPr>
          <w:rFonts w:eastAsiaTheme="minorHAnsi"/>
          <w:b/>
          <w:bCs/>
          <w:noProof/>
          <w:kern w:val="2"/>
          <w:lang w:val="en-GB" w:bidi="hi-IN"/>
          <w14:ligatures w14:val="standardContextual"/>
        </w:rPr>
      </w:sdtEndPr>
      <w:sdtContent>
        <w:p w14:paraId="3C74B5CB" w14:textId="7EDE004A" w:rsidR="004D7D13" w:rsidRPr="00635AB0" w:rsidRDefault="004D7D13" w:rsidP="00EA7FD8">
          <w:pPr>
            <w:pStyle w:val="TOCHeading"/>
            <w:spacing w:line="480" w:lineRule="auto"/>
            <w:rPr>
              <w:rFonts w:ascii="Times New Roman" w:hAnsi="Times New Roman" w:cs="Times New Roman"/>
              <w:color w:val="000000" w:themeColor="text1"/>
              <w:sz w:val="24"/>
              <w:szCs w:val="24"/>
            </w:rPr>
          </w:pPr>
          <w:r w:rsidRPr="00635AB0">
            <w:rPr>
              <w:rFonts w:ascii="Times New Roman" w:hAnsi="Times New Roman" w:cs="Times New Roman"/>
              <w:color w:val="000000" w:themeColor="text1"/>
              <w:sz w:val="24"/>
              <w:szCs w:val="24"/>
            </w:rPr>
            <w:t>Contents</w:t>
          </w:r>
        </w:p>
        <w:p w14:paraId="00AC669A" w14:textId="24030ED4" w:rsidR="00EA7FD8" w:rsidRPr="00635AB0"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635AB0">
            <w:rPr>
              <w:rFonts w:ascii="Times New Roman" w:hAnsi="Times New Roman"/>
              <w:color w:val="000000" w:themeColor="text1"/>
              <w:sz w:val="24"/>
              <w:szCs w:val="24"/>
            </w:rPr>
            <w:fldChar w:fldCharType="begin"/>
          </w:r>
          <w:r w:rsidRPr="00635AB0">
            <w:rPr>
              <w:rFonts w:ascii="Times New Roman" w:hAnsi="Times New Roman"/>
              <w:color w:val="000000" w:themeColor="text1"/>
              <w:sz w:val="24"/>
              <w:szCs w:val="24"/>
            </w:rPr>
            <w:instrText xml:space="preserve"> TOC \o "1-3" \h \z \u </w:instrText>
          </w:r>
          <w:r w:rsidRPr="00635AB0">
            <w:rPr>
              <w:rFonts w:ascii="Times New Roman" w:hAnsi="Times New Roman"/>
              <w:color w:val="000000" w:themeColor="text1"/>
              <w:sz w:val="24"/>
              <w:szCs w:val="24"/>
            </w:rPr>
            <w:fldChar w:fldCharType="separate"/>
          </w:r>
          <w:hyperlink w:anchor="_Toc221200714" w:history="1">
            <w:r w:rsidR="00EA7FD8" w:rsidRPr="00635AB0">
              <w:rPr>
                <w:rStyle w:val="Hyperlink"/>
                <w:rFonts w:ascii="Times New Roman" w:hAnsi="Times New Roman"/>
                <w:b/>
                <w:bCs/>
                <w:noProof/>
                <w:sz w:val="24"/>
                <w:szCs w:val="24"/>
              </w:rPr>
              <w:t>Abstract</w:t>
            </w:r>
            <w:r w:rsidR="00EA7FD8" w:rsidRPr="00635AB0">
              <w:rPr>
                <w:rFonts w:ascii="Times New Roman" w:hAnsi="Times New Roman"/>
                <w:noProof/>
                <w:webHidden/>
                <w:sz w:val="24"/>
                <w:szCs w:val="24"/>
              </w:rPr>
              <w:tab/>
            </w:r>
            <w:r w:rsidR="00EA7FD8" w:rsidRPr="00635AB0">
              <w:rPr>
                <w:rFonts w:ascii="Times New Roman" w:hAnsi="Times New Roman"/>
                <w:noProof/>
                <w:webHidden/>
                <w:sz w:val="24"/>
                <w:szCs w:val="24"/>
              </w:rPr>
              <w:fldChar w:fldCharType="begin"/>
            </w:r>
            <w:r w:rsidR="00EA7FD8" w:rsidRPr="00635AB0">
              <w:rPr>
                <w:rFonts w:ascii="Times New Roman" w:hAnsi="Times New Roman"/>
                <w:noProof/>
                <w:webHidden/>
                <w:sz w:val="24"/>
                <w:szCs w:val="24"/>
              </w:rPr>
              <w:instrText xml:space="preserve"> PAGEREF _Toc221200714 \h </w:instrText>
            </w:r>
            <w:r w:rsidR="00EA7FD8" w:rsidRPr="00635AB0">
              <w:rPr>
                <w:rFonts w:ascii="Times New Roman" w:hAnsi="Times New Roman"/>
                <w:noProof/>
                <w:webHidden/>
                <w:sz w:val="24"/>
                <w:szCs w:val="24"/>
              </w:rPr>
            </w:r>
            <w:r w:rsidR="00EA7FD8" w:rsidRPr="00635AB0">
              <w:rPr>
                <w:rFonts w:ascii="Times New Roman" w:hAnsi="Times New Roman"/>
                <w:noProof/>
                <w:webHidden/>
                <w:sz w:val="24"/>
                <w:szCs w:val="24"/>
              </w:rPr>
              <w:fldChar w:fldCharType="separate"/>
            </w:r>
            <w:r w:rsidR="00EA7FD8" w:rsidRPr="00635AB0">
              <w:rPr>
                <w:rFonts w:ascii="Times New Roman" w:hAnsi="Times New Roman"/>
                <w:noProof/>
                <w:webHidden/>
                <w:sz w:val="24"/>
                <w:szCs w:val="24"/>
              </w:rPr>
              <w:t>1</w:t>
            </w:r>
            <w:r w:rsidR="00EA7FD8" w:rsidRPr="00635AB0">
              <w:rPr>
                <w:rFonts w:ascii="Times New Roman" w:hAnsi="Times New Roman"/>
                <w:noProof/>
                <w:webHidden/>
                <w:sz w:val="24"/>
                <w:szCs w:val="24"/>
              </w:rPr>
              <w:fldChar w:fldCharType="end"/>
            </w:r>
          </w:hyperlink>
        </w:p>
        <w:p w14:paraId="70E8DD83" w14:textId="0E7FC1B0" w:rsidR="00EA7FD8" w:rsidRPr="00635AB0" w:rsidRDefault="00EA7FD8">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0715" w:history="1">
            <w:r w:rsidRPr="00635AB0">
              <w:rPr>
                <w:rStyle w:val="Hyperlink"/>
                <w:rFonts w:ascii="Times New Roman" w:hAnsi="Times New Roman"/>
                <w:b/>
                <w:bCs/>
                <w:noProof/>
                <w:sz w:val="24"/>
                <w:szCs w:val="24"/>
              </w:rPr>
              <w:t>1.Introduction</w:t>
            </w:r>
            <w:r w:rsidRPr="00635AB0">
              <w:rPr>
                <w:rFonts w:ascii="Times New Roman" w:hAnsi="Times New Roman"/>
                <w:noProof/>
                <w:webHidden/>
                <w:sz w:val="24"/>
                <w:szCs w:val="24"/>
              </w:rPr>
              <w:tab/>
            </w:r>
            <w:r w:rsidRPr="00635AB0">
              <w:rPr>
                <w:rFonts w:ascii="Times New Roman" w:hAnsi="Times New Roman"/>
                <w:noProof/>
                <w:webHidden/>
                <w:sz w:val="24"/>
                <w:szCs w:val="24"/>
              </w:rPr>
              <w:fldChar w:fldCharType="begin"/>
            </w:r>
            <w:r w:rsidRPr="00635AB0">
              <w:rPr>
                <w:rFonts w:ascii="Times New Roman" w:hAnsi="Times New Roman"/>
                <w:noProof/>
                <w:webHidden/>
                <w:sz w:val="24"/>
                <w:szCs w:val="24"/>
              </w:rPr>
              <w:instrText xml:space="preserve"> PAGEREF _Toc221200715 \h </w:instrText>
            </w:r>
            <w:r w:rsidRPr="00635AB0">
              <w:rPr>
                <w:rFonts w:ascii="Times New Roman" w:hAnsi="Times New Roman"/>
                <w:noProof/>
                <w:webHidden/>
                <w:sz w:val="24"/>
                <w:szCs w:val="24"/>
              </w:rPr>
            </w:r>
            <w:r w:rsidRPr="00635AB0">
              <w:rPr>
                <w:rFonts w:ascii="Times New Roman" w:hAnsi="Times New Roman"/>
                <w:noProof/>
                <w:webHidden/>
                <w:sz w:val="24"/>
                <w:szCs w:val="24"/>
              </w:rPr>
              <w:fldChar w:fldCharType="separate"/>
            </w:r>
            <w:r w:rsidRPr="00635AB0">
              <w:rPr>
                <w:rFonts w:ascii="Times New Roman" w:hAnsi="Times New Roman"/>
                <w:noProof/>
                <w:webHidden/>
                <w:sz w:val="24"/>
                <w:szCs w:val="24"/>
              </w:rPr>
              <w:t>4</w:t>
            </w:r>
            <w:r w:rsidRPr="00635AB0">
              <w:rPr>
                <w:rFonts w:ascii="Times New Roman" w:hAnsi="Times New Roman"/>
                <w:noProof/>
                <w:webHidden/>
                <w:sz w:val="24"/>
                <w:szCs w:val="24"/>
              </w:rPr>
              <w:fldChar w:fldCharType="end"/>
            </w:r>
          </w:hyperlink>
        </w:p>
        <w:p w14:paraId="3086D3F1" w14:textId="7B0B4039" w:rsidR="00EA7FD8" w:rsidRPr="00635AB0" w:rsidRDefault="00EA7FD8">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0716" w:history="1">
            <w:r w:rsidRPr="00635AB0">
              <w:rPr>
                <w:rStyle w:val="Hyperlink"/>
                <w:rFonts w:ascii="Times New Roman" w:hAnsi="Times New Roman"/>
                <w:b/>
                <w:bCs/>
                <w:noProof/>
                <w:sz w:val="24"/>
                <w:szCs w:val="24"/>
              </w:rPr>
              <w:t>2. Literature Review</w:t>
            </w:r>
            <w:r w:rsidRPr="00635AB0">
              <w:rPr>
                <w:rFonts w:ascii="Times New Roman" w:hAnsi="Times New Roman"/>
                <w:noProof/>
                <w:webHidden/>
                <w:sz w:val="24"/>
                <w:szCs w:val="24"/>
              </w:rPr>
              <w:tab/>
            </w:r>
            <w:r w:rsidRPr="00635AB0">
              <w:rPr>
                <w:rFonts w:ascii="Times New Roman" w:hAnsi="Times New Roman"/>
                <w:noProof/>
                <w:webHidden/>
                <w:sz w:val="24"/>
                <w:szCs w:val="24"/>
              </w:rPr>
              <w:fldChar w:fldCharType="begin"/>
            </w:r>
            <w:r w:rsidRPr="00635AB0">
              <w:rPr>
                <w:rFonts w:ascii="Times New Roman" w:hAnsi="Times New Roman"/>
                <w:noProof/>
                <w:webHidden/>
                <w:sz w:val="24"/>
                <w:szCs w:val="24"/>
              </w:rPr>
              <w:instrText xml:space="preserve"> PAGEREF _Toc221200716 \h </w:instrText>
            </w:r>
            <w:r w:rsidRPr="00635AB0">
              <w:rPr>
                <w:rFonts w:ascii="Times New Roman" w:hAnsi="Times New Roman"/>
                <w:noProof/>
                <w:webHidden/>
                <w:sz w:val="24"/>
                <w:szCs w:val="24"/>
              </w:rPr>
            </w:r>
            <w:r w:rsidRPr="00635AB0">
              <w:rPr>
                <w:rFonts w:ascii="Times New Roman" w:hAnsi="Times New Roman"/>
                <w:noProof/>
                <w:webHidden/>
                <w:sz w:val="24"/>
                <w:szCs w:val="24"/>
              </w:rPr>
              <w:fldChar w:fldCharType="separate"/>
            </w:r>
            <w:r w:rsidRPr="00635AB0">
              <w:rPr>
                <w:rFonts w:ascii="Times New Roman" w:hAnsi="Times New Roman"/>
                <w:noProof/>
                <w:webHidden/>
                <w:sz w:val="24"/>
                <w:szCs w:val="24"/>
              </w:rPr>
              <w:t>6</w:t>
            </w:r>
            <w:r w:rsidRPr="00635AB0">
              <w:rPr>
                <w:rFonts w:ascii="Times New Roman" w:hAnsi="Times New Roman"/>
                <w:noProof/>
                <w:webHidden/>
                <w:sz w:val="24"/>
                <w:szCs w:val="24"/>
              </w:rPr>
              <w:fldChar w:fldCharType="end"/>
            </w:r>
          </w:hyperlink>
        </w:p>
        <w:p w14:paraId="3F7D9267" w14:textId="4F4C161D" w:rsidR="00EA7FD8" w:rsidRPr="00635AB0" w:rsidRDefault="00EA7FD8">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0717" w:history="1">
            <w:r w:rsidRPr="00635AB0">
              <w:rPr>
                <w:rStyle w:val="Hyperlink"/>
                <w:rFonts w:ascii="Times New Roman" w:hAnsi="Times New Roman"/>
                <w:b/>
                <w:bCs/>
                <w:noProof/>
                <w:sz w:val="24"/>
                <w:szCs w:val="24"/>
              </w:rPr>
              <w:t>3 Methodology</w:t>
            </w:r>
            <w:r w:rsidRPr="00635AB0">
              <w:rPr>
                <w:rFonts w:ascii="Times New Roman" w:hAnsi="Times New Roman"/>
                <w:noProof/>
                <w:webHidden/>
                <w:sz w:val="24"/>
                <w:szCs w:val="24"/>
              </w:rPr>
              <w:tab/>
            </w:r>
            <w:r w:rsidRPr="00635AB0">
              <w:rPr>
                <w:rFonts w:ascii="Times New Roman" w:hAnsi="Times New Roman"/>
                <w:noProof/>
                <w:webHidden/>
                <w:sz w:val="24"/>
                <w:szCs w:val="24"/>
              </w:rPr>
              <w:fldChar w:fldCharType="begin"/>
            </w:r>
            <w:r w:rsidRPr="00635AB0">
              <w:rPr>
                <w:rFonts w:ascii="Times New Roman" w:hAnsi="Times New Roman"/>
                <w:noProof/>
                <w:webHidden/>
                <w:sz w:val="24"/>
                <w:szCs w:val="24"/>
              </w:rPr>
              <w:instrText xml:space="preserve"> PAGEREF _Toc221200717 \h </w:instrText>
            </w:r>
            <w:r w:rsidRPr="00635AB0">
              <w:rPr>
                <w:rFonts w:ascii="Times New Roman" w:hAnsi="Times New Roman"/>
                <w:noProof/>
                <w:webHidden/>
                <w:sz w:val="24"/>
                <w:szCs w:val="24"/>
              </w:rPr>
            </w:r>
            <w:r w:rsidRPr="00635AB0">
              <w:rPr>
                <w:rFonts w:ascii="Times New Roman" w:hAnsi="Times New Roman"/>
                <w:noProof/>
                <w:webHidden/>
                <w:sz w:val="24"/>
                <w:szCs w:val="24"/>
              </w:rPr>
              <w:fldChar w:fldCharType="separate"/>
            </w:r>
            <w:r w:rsidRPr="00635AB0">
              <w:rPr>
                <w:rFonts w:ascii="Times New Roman" w:hAnsi="Times New Roman"/>
                <w:noProof/>
                <w:webHidden/>
                <w:sz w:val="24"/>
                <w:szCs w:val="24"/>
              </w:rPr>
              <w:t>12</w:t>
            </w:r>
            <w:r w:rsidRPr="00635AB0">
              <w:rPr>
                <w:rFonts w:ascii="Times New Roman" w:hAnsi="Times New Roman"/>
                <w:noProof/>
                <w:webHidden/>
                <w:sz w:val="24"/>
                <w:szCs w:val="24"/>
              </w:rPr>
              <w:fldChar w:fldCharType="end"/>
            </w:r>
          </w:hyperlink>
        </w:p>
        <w:p w14:paraId="4F6648B1" w14:textId="587690E3" w:rsidR="00EA7FD8" w:rsidRPr="00635AB0" w:rsidRDefault="00EA7FD8">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0718" w:history="1">
            <w:r w:rsidRPr="00635AB0">
              <w:rPr>
                <w:rStyle w:val="Hyperlink"/>
                <w:rFonts w:ascii="Times New Roman" w:hAnsi="Times New Roman"/>
                <w:b/>
                <w:bCs/>
                <w:noProof/>
                <w:sz w:val="24"/>
                <w:szCs w:val="24"/>
              </w:rPr>
              <w:t>4 Finding</w:t>
            </w:r>
            <w:r w:rsidRPr="00635AB0">
              <w:rPr>
                <w:rFonts w:ascii="Times New Roman" w:hAnsi="Times New Roman"/>
                <w:noProof/>
                <w:webHidden/>
                <w:sz w:val="24"/>
                <w:szCs w:val="24"/>
              </w:rPr>
              <w:tab/>
            </w:r>
            <w:r w:rsidRPr="00635AB0">
              <w:rPr>
                <w:rFonts w:ascii="Times New Roman" w:hAnsi="Times New Roman"/>
                <w:noProof/>
                <w:webHidden/>
                <w:sz w:val="24"/>
                <w:szCs w:val="24"/>
              </w:rPr>
              <w:fldChar w:fldCharType="begin"/>
            </w:r>
            <w:r w:rsidRPr="00635AB0">
              <w:rPr>
                <w:rFonts w:ascii="Times New Roman" w:hAnsi="Times New Roman"/>
                <w:noProof/>
                <w:webHidden/>
                <w:sz w:val="24"/>
                <w:szCs w:val="24"/>
              </w:rPr>
              <w:instrText xml:space="preserve"> PAGEREF _Toc221200718 \h </w:instrText>
            </w:r>
            <w:r w:rsidRPr="00635AB0">
              <w:rPr>
                <w:rFonts w:ascii="Times New Roman" w:hAnsi="Times New Roman"/>
                <w:noProof/>
                <w:webHidden/>
                <w:sz w:val="24"/>
                <w:szCs w:val="24"/>
              </w:rPr>
            </w:r>
            <w:r w:rsidRPr="00635AB0">
              <w:rPr>
                <w:rFonts w:ascii="Times New Roman" w:hAnsi="Times New Roman"/>
                <w:noProof/>
                <w:webHidden/>
                <w:sz w:val="24"/>
                <w:szCs w:val="24"/>
              </w:rPr>
              <w:fldChar w:fldCharType="separate"/>
            </w:r>
            <w:r w:rsidRPr="00635AB0">
              <w:rPr>
                <w:rFonts w:ascii="Times New Roman" w:hAnsi="Times New Roman"/>
                <w:noProof/>
                <w:webHidden/>
                <w:sz w:val="24"/>
                <w:szCs w:val="24"/>
              </w:rPr>
              <w:t>14</w:t>
            </w:r>
            <w:r w:rsidRPr="00635AB0">
              <w:rPr>
                <w:rFonts w:ascii="Times New Roman" w:hAnsi="Times New Roman"/>
                <w:noProof/>
                <w:webHidden/>
                <w:sz w:val="24"/>
                <w:szCs w:val="24"/>
              </w:rPr>
              <w:fldChar w:fldCharType="end"/>
            </w:r>
          </w:hyperlink>
        </w:p>
        <w:p w14:paraId="21FF8EE3" w14:textId="6145CC4B" w:rsidR="00EA7FD8" w:rsidRPr="00635AB0" w:rsidRDefault="00EA7FD8">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0719" w:history="1">
            <w:r w:rsidRPr="00635AB0">
              <w:rPr>
                <w:rStyle w:val="Hyperlink"/>
                <w:rFonts w:ascii="Times New Roman" w:hAnsi="Times New Roman"/>
                <w:b/>
                <w:bCs/>
                <w:noProof/>
                <w:sz w:val="24"/>
                <w:szCs w:val="24"/>
              </w:rPr>
              <w:t>5. Discussion</w:t>
            </w:r>
            <w:r w:rsidRPr="00635AB0">
              <w:rPr>
                <w:rFonts w:ascii="Times New Roman" w:hAnsi="Times New Roman"/>
                <w:noProof/>
                <w:webHidden/>
                <w:sz w:val="24"/>
                <w:szCs w:val="24"/>
              </w:rPr>
              <w:tab/>
            </w:r>
            <w:r w:rsidRPr="00635AB0">
              <w:rPr>
                <w:rFonts w:ascii="Times New Roman" w:hAnsi="Times New Roman"/>
                <w:noProof/>
                <w:webHidden/>
                <w:sz w:val="24"/>
                <w:szCs w:val="24"/>
              </w:rPr>
              <w:fldChar w:fldCharType="begin"/>
            </w:r>
            <w:r w:rsidRPr="00635AB0">
              <w:rPr>
                <w:rFonts w:ascii="Times New Roman" w:hAnsi="Times New Roman"/>
                <w:noProof/>
                <w:webHidden/>
                <w:sz w:val="24"/>
                <w:szCs w:val="24"/>
              </w:rPr>
              <w:instrText xml:space="preserve"> PAGEREF _Toc221200719 \h </w:instrText>
            </w:r>
            <w:r w:rsidRPr="00635AB0">
              <w:rPr>
                <w:rFonts w:ascii="Times New Roman" w:hAnsi="Times New Roman"/>
                <w:noProof/>
                <w:webHidden/>
                <w:sz w:val="24"/>
                <w:szCs w:val="24"/>
              </w:rPr>
            </w:r>
            <w:r w:rsidRPr="00635AB0">
              <w:rPr>
                <w:rFonts w:ascii="Times New Roman" w:hAnsi="Times New Roman"/>
                <w:noProof/>
                <w:webHidden/>
                <w:sz w:val="24"/>
                <w:szCs w:val="24"/>
              </w:rPr>
              <w:fldChar w:fldCharType="separate"/>
            </w:r>
            <w:r w:rsidRPr="00635AB0">
              <w:rPr>
                <w:rFonts w:ascii="Times New Roman" w:hAnsi="Times New Roman"/>
                <w:noProof/>
                <w:webHidden/>
                <w:sz w:val="24"/>
                <w:szCs w:val="24"/>
              </w:rPr>
              <w:t>18</w:t>
            </w:r>
            <w:r w:rsidRPr="00635AB0">
              <w:rPr>
                <w:rFonts w:ascii="Times New Roman" w:hAnsi="Times New Roman"/>
                <w:noProof/>
                <w:webHidden/>
                <w:sz w:val="24"/>
                <w:szCs w:val="24"/>
              </w:rPr>
              <w:fldChar w:fldCharType="end"/>
            </w:r>
          </w:hyperlink>
        </w:p>
        <w:p w14:paraId="6419531C" w14:textId="258BF7A9" w:rsidR="00EA7FD8" w:rsidRPr="00635AB0" w:rsidRDefault="00EA7FD8">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0720" w:history="1">
            <w:r w:rsidRPr="00635AB0">
              <w:rPr>
                <w:rStyle w:val="Hyperlink"/>
                <w:rFonts w:ascii="Times New Roman" w:hAnsi="Times New Roman"/>
                <w:b/>
                <w:bCs/>
                <w:noProof/>
                <w:sz w:val="24"/>
                <w:szCs w:val="24"/>
              </w:rPr>
              <w:t>6. Conclusion</w:t>
            </w:r>
            <w:r w:rsidRPr="00635AB0">
              <w:rPr>
                <w:rFonts w:ascii="Times New Roman" w:hAnsi="Times New Roman"/>
                <w:noProof/>
                <w:webHidden/>
                <w:sz w:val="24"/>
                <w:szCs w:val="24"/>
              </w:rPr>
              <w:tab/>
            </w:r>
            <w:r w:rsidRPr="00635AB0">
              <w:rPr>
                <w:rFonts w:ascii="Times New Roman" w:hAnsi="Times New Roman"/>
                <w:noProof/>
                <w:webHidden/>
                <w:sz w:val="24"/>
                <w:szCs w:val="24"/>
              </w:rPr>
              <w:fldChar w:fldCharType="begin"/>
            </w:r>
            <w:r w:rsidRPr="00635AB0">
              <w:rPr>
                <w:rFonts w:ascii="Times New Roman" w:hAnsi="Times New Roman"/>
                <w:noProof/>
                <w:webHidden/>
                <w:sz w:val="24"/>
                <w:szCs w:val="24"/>
              </w:rPr>
              <w:instrText xml:space="preserve"> PAGEREF _Toc221200720 \h </w:instrText>
            </w:r>
            <w:r w:rsidRPr="00635AB0">
              <w:rPr>
                <w:rFonts w:ascii="Times New Roman" w:hAnsi="Times New Roman"/>
                <w:noProof/>
                <w:webHidden/>
                <w:sz w:val="24"/>
                <w:szCs w:val="24"/>
              </w:rPr>
            </w:r>
            <w:r w:rsidRPr="00635AB0">
              <w:rPr>
                <w:rFonts w:ascii="Times New Roman" w:hAnsi="Times New Roman"/>
                <w:noProof/>
                <w:webHidden/>
                <w:sz w:val="24"/>
                <w:szCs w:val="24"/>
              </w:rPr>
              <w:fldChar w:fldCharType="separate"/>
            </w:r>
            <w:r w:rsidRPr="00635AB0">
              <w:rPr>
                <w:rFonts w:ascii="Times New Roman" w:hAnsi="Times New Roman"/>
                <w:noProof/>
                <w:webHidden/>
                <w:sz w:val="24"/>
                <w:szCs w:val="24"/>
              </w:rPr>
              <w:t>21</w:t>
            </w:r>
            <w:r w:rsidRPr="00635AB0">
              <w:rPr>
                <w:rFonts w:ascii="Times New Roman" w:hAnsi="Times New Roman"/>
                <w:noProof/>
                <w:webHidden/>
                <w:sz w:val="24"/>
                <w:szCs w:val="24"/>
              </w:rPr>
              <w:fldChar w:fldCharType="end"/>
            </w:r>
          </w:hyperlink>
        </w:p>
        <w:p w14:paraId="3A963F4D" w14:textId="399D7198" w:rsidR="00EA7FD8" w:rsidRPr="00635AB0" w:rsidRDefault="00EA7FD8">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0721" w:history="1">
            <w:r w:rsidRPr="00635AB0">
              <w:rPr>
                <w:rStyle w:val="Hyperlink"/>
                <w:rFonts w:ascii="Times New Roman" w:hAnsi="Times New Roman"/>
                <w:b/>
                <w:bCs/>
                <w:noProof/>
                <w:sz w:val="24"/>
                <w:szCs w:val="24"/>
              </w:rPr>
              <w:t>Reference List</w:t>
            </w:r>
            <w:r w:rsidRPr="00635AB0">
              <w:rPr>
                <w:rFonts w:ascii="Times New Roman" w:hAnsi="Times New Roman"/>
                <w:noProof/>
                <w:webHidden/>
                <w:sz w:val="24"/>
                <w:szCs w:val="24"/>
              </w:rPr>
              <w:tab/>
            </w:r>
            <w:r w:rsidRPr="00635AB0">
              <w:rPr>
                <w:rFonts w:ascii="Times New Roman" w:hAnsi="Times New Roman"/>
                <w:noProof/>
                <w:webHidden/>
                <w:sz w:val="24"/>
                <w:szCs w:val="24"/>
              </w:rPr>
              <w:fldChar w:fldCharType="begin"/>
            </w:r>
            <w:r w:rsidRPr="00635AB0">
              <w:rPr>
                <w:rFonts w:ascii="Times New Roman" w:hAnsi="Times New Roman"/>
                <w:noProof/>
                <w:webHidden/>
                <w:sz w:val="24"/>
                <w:szCs w:val="24"/>
              </w:rPr>
              <w:instrText xml:space="preserve"> PAGEREF _Toc221200721 \h </w:instrText>
            </w:r>
            <w:r w:rsidRPr="00635AB0">
              <w:rPr>
                <w:rFonts w:ascii="Times New Roman" w:hAnsi="Times New Roman"/>
                <w:noProof/>
                <w:webHidden/>
                <w:sz w:val="24"/>
                <w:szCs w:val="24"/>
              </w:rPr>
            </w:r>
            <w:r w:rsidRPr="00635AB0">
              <w:rPr>
                <w:rFonts w:ascii="Times New Roman" w:hAnsi="Times New Roman"/>
                <w:noProof/>
                <w:webHidden/>
                <w:sz w:val="24"/>
                <w:szCs w:val="24"/>
              </w:rPr>
              <w:fldChar w:fldCharType="separate"/>
            </w:r>
            <w:r w:rsidRPr="00635AB0">
              <w:rPr>
                <w:rFonts w:ascii="Times New Roman" w:hAnsi="Times New Roman"/>
                <w:noProof/>
                <w:webHidden/>
                <w:sz w:val="24"/>
                <w:szCs w:val="24"/>
              </w:rPr>
              <w:t>23</w:t>
            </w:r>
            <w:r w:rsidRPr="00635AB0">
              <w:rPr>
                <w:rFonts w:ascii="Times New Roman" w:hAnsi="Times New Roman"/>
                <w:noProof/>
                <w:webHidden/>
                <w:sz w:val="24"/>
                <w:szCs w:val="24"/>
              </w:rPr>
              <w:fldChar w:fldCharType="end"/>
            </w:r>
          </w:hyperlink>
        </w:p>
        <w:p w14:paraId="646EF9D8" w14:textId="3107368E" w:rsidR="004D7D13" w:rsidRPr="00635AB0" w:rsidRDefault="004D7D13" w:rsidP="00013DBD">
          <w:pPr>
            <w:spacing w:line="480" w:lineRule="auto"/>
            <w:rPr>
              <w:rFonts w:ascii="Times New Roman" w:hAnsi="Times New Roman" w:cs="Times New Roman"/>
              <w:color w:val="000000" w:themeColor="text1"/>
              <w:szCs w:val="24"/>
            </w:rPr>
          </w:pPr>
          <w:r w:rsidRPr="00635AB0">
            <w:rPr>
              <w:rFonts w:ascii="Times New Roman" w:hAnsi="Times New Roman" w:cs="Times New Roman"/>
              <w:b/>
              <w:bCs/>
              <w:noProof/>
              <w:color w:val="000000" w:themeColor="text1"/>
              <w:szCs w:val="24"/>
            </w:rPr>
            <w:fldChar w:fldCharType="end"/>
          </w:r>
        </w:p>
      </w:sdtContent>
    </w:sdt>
    <w:p w14:paraId="1EDA022C" w14:textId="77777777" w:rsidR="004D7D13" w:rsidRPr="00635AB0" w:rsidRDefault="004D7D13" w:rsidP="00013DBD">
      <w:pPr>
        <w:spacing w:line="480" w:lineRule="auto"/>
        <w:rPr>
          <w:rFonts w:ascii="Times New Roman" w:hAnsi="Times New Roman" w:cs="Times New Roman"/>
          <w:color w:val="000000" w:themeColor="text1"/>
          <w:szCs w:val="24"/>
        </w:rPr>
      </w:pPr>
    </w:p>
    <w:p w14:paraId="19B15F5F" w14:textId="77777777" w:rsidR="0095171B" w:rsidRPr="00635AB0" w:rsidRDefault="0095171B" w:rsidP="00013DBD">
      <w:pPr>
        <w:spacing w:line="480" w:lineRule="auto"/>
        <w:rPr>
          <w:rFonts w:ascii="Times New Roman" w:hAnsi="Times New Roman" w:cs="Times New Roman"/>
          <w:color w:val="000000" w:themeColor="text1"/>
          <w:szCs w:val="24"/>
        </w:rPr>
      </w:pPr>
    </w:p>
    <w:p w14:paraId="73636B03" w14:textId="77777777" w:rsidR="0095171B" w:rsidRPr="00635AB0" w:rsidRDefault="0095171B" w:rsidP="00013DBD">
      <w:pPr>
        <w:spacing w:line="480" w:lineRule="auto"/>
        <w:rPr>
          <w:rFonts w:ascii="Times New Roman" w:hAnsi="Times New Roman" w:cs="Times New Roman"/>
          <w:color w:val="000000" w:themeColor="text1"/>
          <w:szCs w:val="24"/>
        </w:rPr>
      </w:pPr>
      <w:r w:rsidRPr="00635AB0">
        <w:rPr>
          <w:rFonts w:ascii="Times New Roman" w:hAnsi="Times New Roman" w:cs="Times New Roman"/>
          <w:color w:val="000000" w:themeColor="text1"/>
          <w:szCs w:val="24"/>
        </w:rPr>
        <w:br w:type="page"/>
      </w:r>
    </w:p>
    <w:p w14:paraId="48512045" w14:textId="2774FE42" w:rsidR="00B06124" w:rsidRPr="00635AB0" w:rsidRDefault="000E04F4" w:rsidP="00B06124">
      <w:pPr>
        <w:spacing w:line="480" w:lineRule="auto"/>
        <w:rPr>
          <w:rFonts w:ascii="Times New Roman" w:hAnsi="Times New Roman" w:cs="Times New Roman"/>
          <w:color w:val="000000" w:themeColor="text1"/>
          <w:szCs w:val="24"/>
        </w:rPr>
      </w:pPr>
      <w:bookmarkStart w:id="1" w:name="_Toc221200715"/>
      <w:r w:rsidRPr="00635AB0">
        <w:rPr>
          <w:rStyle w:val="Heading1Char"/>
          <w:rFonts w:ascii="Times New Roman" w:hAnsi="Times New Roman" w:cs="Times New Roman"/>
          <w:b/>
          <w:bCs/>
          <w:color w:val="000000" w:themeColor="text1"/>
          <w:sz w:val="24"/>
          <w:szCs w:val="24"/>
        </w:rPr>
        <w:lastRenderedPageBreak/>
        <w:t>1</w:t>
      </w:r>
      <w:r w:rsidR="004D7D13" w:rsidRPr="00635AB0">
        <w:rPr>
          <w:rStyle w:val="Heading1Char"/>
          <w:rFonts w:ascii="Times New Roman" w:hAnsi="Times New Roman" w:cs="Times New Roman"/>
          <w:b/>
          <w:bCs/>
          <w:color w:val="000000" w:themeColor="text1"/>
          <w:sz w:val="24"/>
          <w:szCs w:val="24"/>
        </w:rPr>
        <w:t>.</w:t>
      </w:r>
      <w:r w:rsidR="0095171B" w:rsidRPr="00635AB0">
        <w:rPr>
          <w:rStyle w:val="Heading1Char"/>
          <w:rFonts w:ascii="Times New Roman" w:hAnsi="Times New Roman" w:cs="Times New Roman"/>
          <w:b/>
          <w:bCs/>
          <w:color w:val="000000" w:themeColor="text1"/>
          <w:sz w:val="24"/>
          <w:szCs w:val="24"/>
        </w:rPr>
        <w:t>Introduction</w:t>
      </w:r>
      <w:bookmarkEnd w:id="1"/>
      <w:r w:rsidR="0095171B" w:rsidRPr="00635AB0">
        <w:rPr>
          <w:rStyle w:val="Heading1Char"/>
          <w:rFonts w:ascii="Times New Roman" w:hAnsi="Times New Roman" w:cs="Times New Roman"/>
          <w:color w:val="000000" w:themeColor="text1"/>
          <w:sz w:val="24"/>
          <w:szCs w:val="24"/>
        </w:rPr>
        <w:t xml:space="preserve"> </w:t>
      </w:r>
    </w:p>
    <w:p w14:paraId="0210C579" w14:textId="77777777" w:rsidR="00EA7FD8" w:rsidRPr="00EA7FD8" w:rsidRDefault="00EA7FD8" w:rsidP="00EA7FD8">
      <w:pPr>
        <w:spacing w:line="480" w:lineRule="auto"/>
        <w:rPr>
          <w:rFonts w:ascii="Times New Roman" w:hAnsi="Times New Roman" w:cs="Times New Roman"/>
          <w:color w:val="000000" w:themeColor="text1"/>
          <w:szCs w:val="24"/>
        </w:rPr>
      </w:pPr>
      <w:r w:rsidRPr="00EA7FD8">
        <w:rPr>
          <w:rFonts w:ascii="Times New Roman" w:hAnsi="Times New Roman" w:cs="Times New Roman"/>
          <w:color w:val="000000" w:themeColor="text1"/>
          <w:szCs w:val="24"/>
        </w:rPr>
        <w:t xml:space="preserve">The tourism industry is one of the world’s largest and most dynamic economic sectors, involving complex interactions between consumers and a wide range of service providers, including airlines, hotels, tour operators, and travel agencies. These interactions are primarily governed by contracts, making contract law a foundational legal framework within tourism operations. Contract law establishes the rules that regulate agreements between parties, ensuring that rights and obligations are clearly defined and legally enforceable. In an industry where services are often purchased in advance and delivered </w:t>
      </w:r>
      <w:proofErr w:type="gramStart"/>
      <w:r w:rsidRPr="00EA7FD8">
        <w:rPr>
          <w:rFonts w:ascii="Times New Roman" w:hAnsi="Times New Roman" w:cs="Times New Roman"/>
          <w:color w:val="000000" w:themeColor="text1"/>
          <w:szCs w:val="24"/>
        </w:rPr>
        <w:t>at a later date</w:t>
      </w:r>
      <w:proofErr w:type="gramEnd"/>
      <w:r w:rsidRPr="00EA7FD8">
        <w:rPr>
          <w:rFonts w:ascii="Times New Roman" w:hAnsi="Times New Roman" w:cs="Times New Roman"/>
          <w:color w:val="000000" w:themeColor="text1"/>
          <w:szCs w:val="24"/>
        </w:rPr>
        <w:t>—sometimes across national borders—contractual certainty is essential to protect both consumers and service providers (Dickerson, 2021).</w:t>
      </w:r>
    </w:p>
    <w:p w14:paraId="587452CD" w14:textId="77777777" w:rsidR="00EA7FD8" w:rsidRPr="00EA7FD8" w:rsidRDefault="00EA7FD8" w:rsidP="00EA7FD8">
      <w:pPr>
        <w:spacing w:line="480" w:lineRule="auto"/>
        <w:rPr>
          <w:rFonts w:ascii="Times New Roman" w:hAnsi="Times New Roman" w:cs="Times New Roman"/>
          <w:color w:val="000000" w:themeColor="text1"/>
          <w:szCs w:val="24"/>
        </w:rPr>
      </w:pPr>
      <w:r w:rsidRPr="00EA7FD8">
        <w:rPr>
          <w:rFonts w:ascii="Times New Roman" w:hAnsi="Times New Roman" w:cs="Times New Roman"/>
          <w:color w:val="000000" w:themeColor="text1"/>
          <w:szCs w:val="24"/>
        </w:rPr>
        <w:t>Contracts in tourism typically arise when a consumer books accommodation, purchases a travel package, or agrees to transportation services. These agreements may be formed online, through intermediaries, or directly with suppliers, yet they must still satisfy the core legal requirements of a valid contract. The key elements—offer, acceptance, consideration, and intention to create legal relations—form the basis upon which tourism contracts are assessed by courts (Poole, 2020). A failure to meet these requirements can result in disputes regarding enforceability, particularly in cases involving misleading offers, unclear terms, or inadequate disclosure of conditions.</w:t>
      </w:r>
    </w:p>
    <w:p w14:paraId="019963E3" w14:textId="77777777" w:rsidR="00EA7FD8" w:rsidRPr="00EA7FD8" w:rsidRDefault="00EA7FD8" w:rsidP="00EA7FD8">
      <w:pPr>
        <w:spacing w:line="480" w:lineRule="auto"/>
        <w:rPr>
          <w:rFonts w:ascii="Times New Roman" w:hAnsi="Times New Roman" w:cs="Times New Roman"/>
          <w:color w:val="000000" w:themeColor="text1"/>
          <w:szCs w:val="24"/>
        </w:rPr>
      </w:pPr>
      <w:r w:rsidRPr="00EA7FD8">
        <w:rPr>
          <w:rFonts w:ascii="Times New Roman" w:hAnsi="Times New Roman" w:cs="Times New Roman"/>
          <w:color w:val="000000" w:themeColor="text1"/>
          <w:szCs w:val="24"/>
        </w:rPr>
        <w:t xml:space="preserve">The importance of contract law in tourism has increased significantly due to the growth of digital booking platforms and international travel. Online terms and conditions, cancellation policies, and liability disclaimers have become standard features of tourism contracts, raising concerns about fairness and transparency. Consumers are often in a weaker bargaining position, which has prompted courts and regulators to scrutinise unfair contract terms and impose greater obligations on service providers (European Commission, 2022). As a result, contract law not only governs </w:t>
      </w:r>
      <w:r w:rsidRPr="00EA7FD8">
        <w:rPr>
          <w:rFonts w:ascii="Times New Roman" w:hAnsi="Times New Roman" w:cs="Times New Roman"/>
          <w:color w:val="000000" w:themeColor="text1"/>
          <w:szCs w:val="24"/>
        </w:rPr>
        <w:lastRenderedPageBreak/>
        <w:t>private agreements but also supports broader consumer protection objectives within the tourism sector.</w:t>
      </w:r>
    </w:p>
    <w:p w14:paraId="7499A4AC" w14:textId="77777777" w:rsidR="00EA7FD8" w:rsidRPr="00EA7FD8" w:rsidRDefault="00EA7FD8" w:rsidP="00EA7FD8">
      <w:pPr>
        <w:spacing w:line="480" w:lineRule="auto"/>
        <w:rPr>
          <w:rFonts w:ascii="Times New Roman" w:hAnsi="Times New Roman" w:cs="Times New Roman"/>
          <w:color w:val="000000" w:themeColor="text1"/>
          <w:szCs w:val="24"/>
        </w:rPr>
      </w:pPr>
      <w:r w:rsidRPr="00EA7FD8">
        <w:rPr>
          <w:rFonts w:ascii="Times New Roman" w:hAnsi="Times New Roman" w:cs="Times New Roman"/>
          <w:color w:val="000000" w:themeColor="text1"/>
          <w:szCs w:val="24"/>
        </w:rPr>
        <w:t>Additionally, disputes in tourism frequently arise from breaches of contract, such as cancelled flights, overbooked hotels, or failure to deliver promised services. Contract law provides mechanisms for resolving these disputes through remedies such as damages, refunds, or specific performance. By analysing real-world examples of tourism contract disputes, this assignment highlights how legal principles are applied in practice to balance commercial interests with consumer rights.</w:t>
      </w:r>
    </w:p>
    <w:p w14:paraId="454F56F1" w14:textId="77777777" w:rsidR="00EA7FD8" w:rsidRPr="00EA7FD8" w:rsidRDefault="00EA7FD8" w:rsidP="00EA7FD8">
      <w:pPr>
        <w:spacing w:line="480" w:lineRule="auto"/>
        <w:rPr>
          <w:rFonts w:ascii="Times New Roman" w:hAnsi="Times New Roman" w:cs="Times New Roman"/>
          <w:color w:val="000000" w:themeColor="text1"/>
          <w:szCs w:val="24"/>
        </w:rPr>
      </w:pPr>
      <w:r w:rsidRPr="00EA7FD8">
        <w:rPr>
          <w:rFonts w:ascii="Times New Roman" w:hAnsi="Times New Roman" w:cs="Times New Roman"/>
          <w:color w:val="000000" w:themeColor="text1"/>
          <w:szCs w:val="24"/>
        </w:rPr>
        <w:t>Overall, this assignment aims to explore the role of contract law in the tourism industry by examining the formation of tourism contracts, the rights and obligations of contracting parties, and the resolution of contractual disputes. Through this analysis, the study demonstrates how contract law contributes to legal certainty, consumer confidence, and the sustainable functioning of the tourism industry.</w:t>
      </w:r>
    </w:p>
    <w:p w14:paraId="35441EF1" w14:textId="77777777" w:rsidR="0086710E" w:rsidRPr="00635AB0" w:rsidRDefault="0086710E" w:rsidP="0086710E">
      <w:pPr>
        <w:spacing w:line="480" w:lineRule="auto"/>
        <w:rPr>
          <w:rFonts w:ascii="Times New Roman" w:hAnsi="Times New Roman" w:cs="Times New Roman"/>
          <w:color w:val="000000" w:themeColor="text1"/>
          <w:szCs w:val="24"/>
        </w:rPr>
      </w:pPr>
    </w:p>
    <w:p w14:paraId="6DA37A19" w14:textId="77777777" w:rsidR="00EA7FD8" w:rsidRPr="00635AB0" w:rsidRDefault="00EA7FD8" w:rsidP="0086710E">
      <w:pPr>
        <w:spacing w:line="480" w:lineRule="auto"/>
        <w:rPr>
          <w:rFonts w:ascii="Times New Roman" w:hAnsi="Times New Roman" w:cs="Times New Roman"/>
          <w:color w:val="000000" w:themeColor="text1"/>
          <w:szCs w:val="24"/>
        </w:rPr>
      </w:pPr>
    </w:p>
    <w:p w14:paraId="3747A29D" w14:textId="77777777" w:rsidR="00EA7FD8" w:rsidRPr="00635AB0" w:rsidRDefault="00EA7FD8" w:rsidP="0086710E">
      <w:pPr>
        <w:spacing w:line="480" w:lineRule="auto"/>
        <w:rPr>
          <w:rFonts w:ascii="Times New Roman" w:hAnsi="Times New Roman" w:cs="Times New Roman"/>
          <w:color w:val="000000" w:themeColor="text1"/>
          <w:szCs w:val="24"/>
        </w:rPr>
      </w:pPr>
    </w:p>
    <w:p w14:paraId="01CBBF99" w14:textId="77777777" w:rsidR="00EA7FD8" w:rsidRPr="00635AB0" w:rsidRDefault="00EA7FD8" w:rsidP="0086710E">
      <w:pPr>
        <w:spacing w:line="480" w:lineRule="auto"/>
        <w:rPr>
          <w:rFonts w:ascii="Times New Roman" w:hAnsi="Times New Roman" w:cs="Times New Roman"/>
          <w:color w:val="000000" w:themeColor="text1"/>
          <w:szCs w:val="24"/>
        </w:rPr>
      </w:pPr>
    </w:p>
    <w:p w14:paraId="18C84F45" w14:textId="77777777" w:rsidR="00EA7FD8" w:rsidRPr="00635AB0" w:rsidRDefault="00EA7FD8" w:rsidP="0086710E">
      <w:pPr>
        <w:spacing w:line="480" w:lineRule="auto"/>
        <w:rPr>
          <w:rFonts w:ascii="Times New Roman" w:hAnsi="Times New Roman" w:cs="Times New Roman"/>
          <w:color w:val="000000" w:themeColor="text1"/>
          <w:szCs w:val="24"/>
        </w:rPr>
      </w:pPr>
    </w:p>
    <w:p w14:paraId="291338F8" w14:textId="77777777" w:rsidR="00EA7FD8" w:rsidRPr="00635AB0" w:rsidRDefault="00EA7FD8" w:rsidP="0086710E">
      <w:pPr>
        <w:spacing w:line="480" w:lineRule="auto"/>
        <w:rPr>
          <w:rFonts w:ascii="Times New Roman" w:hAnsi="Times New Roman" w:cs="Times New Roman"/>
          <w:color w:val="000000" w:themeColor="text1"/>
          <w:szCs w:val="24"/>
        </w:rPr>
      </w:pPr>
    </w:p>
    <w:p w14:paraId="2164EFB0" w14:textId="77777777" w:rsidR="00EA7FD8" w:rsidRPr="00635AB0" w:rsidRDefault="00EA7FD8" w:rsidP="0086710E">
      <w:pPr>
        <w:spacing w:line="480" w:lineRule="auto"/>
        <w:rPr>
          <w:rFonts w:ascii="Times New Roman" w:hAnsi="Times New Roman" w:cs="Times New Roman"/>
          <w:color w:val="000000" w:themeColor="text1"/>
          <w:szCs w:val="24"/>
        </w:rPr>
      </w:pPr>
    </w:p>
    <w:p w14:paraId="0445814D" w14:textId="77777777" w:rsidR="00BA1A47" w:rsidRPr="00635AB0" w:rsidRDefault="00BA1A47" w:rsidP="0086710E">
      <w:pPr>
        <w:spacing w:line="480" w:lineRule="auto"/>
        <w:rPr>
          <w:rFonts w:ascii="Times New Roman" w:hAnsi="Times New Roman" w:cs="Times New Roman"/>
          <w:color w:val="000000" w:themeColor="text1"/>
          <w:szCs w:val="24"/>
        </w:rPr>
      </w:pPr>
    </w:p>
    <w:p w14:paraId="5FEB03D5" w14:textId="77777777" w:rsidR="0086710E" w:rsidRPr="00635AB0" w:rsidRDefault="0086710E" w:rsidP="0086710E">
      <w:pPr>
        <w:spacing w:line="480" w:lineRule="auto"/>
        <w:rPr>
          <w:rFonts w:ascii="Times New Roman" w:hAnsi="Times New Roman" w:cs="Times New Roman"/>
          <w:color w:val="000000" w:themeColor="text1"/>
          <w:szCs w:val="24"/>
        </w:rPr>
      </w:pPr>
    </w:p>
    <w:p w14:paraId="3B5FC67B" w14:textId="77777777" w:rsidR="00CE4EE4" w:rsidRPr="00635AB0" w:rsidRDefault="000E04F4" w:rsidP="00CE4EE4">
      <w:pPr>
        <w:spacing w:line="480" w:lineRule="auto"/>
        <w:rPr>
          <w:rFonts w:ascii="Times New Roman" w:hAnsi="Times New Roman" w:cs="Times New Roman"/>
          <w:color w:val="000000" w:themeColor="text1"/>
          <w:szCs w:val="24"/>
        </w:rPr>
      </w:pPr>
      <w:bookmarkStart w:id="2" w:name="_Toc221200716"/>
      <w:r w:rsidRPr="00635AB0">
        <w:rPr>
          <w:rStyle w:val="Heading1Char"/>
          <w:rFonts w:ascii="Times New Roman" w:hAnsi="Times New Roman" w:cs="Times New Roman"/>
          <w:b/>
          <w:bCs/>
          <w:color w:val="000000" w:themeColor="text1"/>
          <w:sz w:val="24"/>
          <w:szCs w:val="24"/>
        </w:rPr>
        <w:t>2</w:t>
      </w:r>
      <w:r w:rsidR="0095171B" w:rsidRPr="00635AB0">
        <w:rPr>
          <w:rStyle w:val="Heading1Char"/>
          <w:rFonts w:ascii="Times New Roman" w:hAnsi="Times New Roman" w:cs="Times New Roman"/>
          <w:b/>
          <w:bCs/>
          <w:color w:val="000000" w:themeColor="text1"/>
          <w:sz w:val="24"/>
          <w:szCs w:val="24"/>
        </w:rPr>
        <w:t>. Literature Review</w:t>
      </w:r>
      <w:bookmarkEnd w:id="2"/>
      <w:r w:rsidR="0095171B" w:rsidRPr="00635AB0">
        <w:rPr>
          <w:rFonts w:ascii="Times New Roman" w:hAnsi="Times New Roman" w:cs="Times New Roman"/>
          <w:color w:val="000000" w:themeColor="text1"/>
          <w:szCs w:val="24"/>
        </w:rPr>
        <w:t xml:space="preserve"> </w:t>
      </w:r>
      <w:r w:rsidR="0095171B" w:rsidRPr="00635AB0">
        <w:rPr>
          <w:rFonts w:ascii="Times New Roman" w:hAnsi="Times New Roman" w:cs="Times New Roman"/>
          <w:color w:val="000000" w:themeColor="text1"/>
          <w:szCs w:val="24"/>
        </w:rPr>
        <w:br/>
      </w:r>
      <w:r w:rsidR="00CE4EE4" w:rsidRPr="00635AB0">
        <w:rPr>
          <w:rFonts w:ascii="Times New Roman" w:hAnsi="Times New Roman" w:cs="Times New Roman"/>
          <w:color w:val="000000" w:themeColor="text1"/>
          <w:szCs w:val="24"/>
        </w:rPr>
        <w:t>Contract law constitutes the legal backbone of the tourism industry by regulating the relationships between service providers and consumers. Existing literature consistently highlights that tourism transactions are predominantly contractual in nature, involving advance payments, deferred performance, and reliance on promised services (Dickerson, 2021). Unlike traditional goods-based transactions, tourism contracts are service-oriented and experiential, making legal certainty and enforceability especially significant. Scholars argue that the intangible nature of tourism services increases consumers’ vulnerability to contractual breaches, thereby amplifying the importance of contract law in protecting consumer interests (Poole, 2020).</w:t>
      </w:r>
    </w:p>
    <w:p w14:paraId="644E20A4" w14:textId="77777777" w:rsidR="00CE4EE4" w:rsidRPr="00CE4EE4" w:rsidRDefault="00CE4EE4" w:rsidP="00CE4EE4">
      <w:pPr>
        <w:spacing w:line="480" w:lineRule="auto"/>
        <w:rPr>
          <w:rFonts w:ascii="Times New Roman" w:hAnsi="Times New Roman" w:cs="Times New Roman"/>
          <w:b/>
          <w:bCs/>
          <w:color w:val="000000" w:themeColor="text1"/>
          <w:szCs w:val="24"/>
        </w:rPr>
      </w:pPr>
      <w:r w:rsidRPr="00CE4EE4">
        <w:rPr>
          <w:rFonts w:ascii="Times New Roman" w:hAnsi="Times New Roman" w:cs="Times New Roman"/>
          <w:b/>
          <w:bCs/>
          <w:color w:val="000000" w:themeColor="text1"/>
          <w:szCs w:val="24"/>
        </w:rPr>
        <w:t>Concept and Importance of Contract Law in Tourism</w:t>
      </w:r>
    </w:p>
    <w:p w14:paraId="24472A1E" w14:textId="77777777" w:rsidR="00CE4EE4" w:rsidRPr="00CE4EE4" w:rsidRDefault="00CE4EE4" w:rsidP="00CE4EE4">
      <w:pPr>
        <w:spacing w:line="480" w:lineRule="auto"/>
        <w:rPr>
          <w:rFonts w:ascii="Times New Roman" w:hAnsi="Times New Roman" w:cs="Times New Roman"/>
          <w:color w:val="000000" w:themeColor="text1"/>
          <w:szCs w:val="24"/>
        </w:rPr>
      </w:pPr>
      <w:r w:rsidRPr="00CE4EE4">
        <w:rPr>
          <w:rFonts w:ascii="Times New Roman" w:hAnsi="Times New Roman" w:cs="Times New Roman"/>
          <w:color w:val="000000" w:themeColor="text1"/>
          <w:szCs w:val="24"/>
        </w:rPr>
        <w:t xml:space="preserve">Contract law is defined as the body of legal rules governing the formation, performance, and enforcement of legally binding agreements. In the context of tourism, contracts facilitate trust between parties who often have no prior relationship and may </w:t>
      </w:r>
      <w:proofErr w:type="gramStart"/>
      <w:r w:rsidRPr="00CE4EE4">
        <w:rPr>
          <w:rFonts w:ascii="Times New Roman" w:hAnsi="Times New Roman" w:cs="Times New Roman"/>
          <w:color w:val="000000" w:themeColor="text1"/>
          <w:szCs w:val="24"/>
        </w:rPr>
        <w:t>be located in</w:t>
      </w:r>
      <w:proofErr w:type="gramEnd"/>
      <w:r w:rsidRPr="00CE4EE4">
        <w:rPr>
          <w:rFonts w:ascii="Times New Roman" w:hAnsi="Times New Roman" w:cs="Times New Roman"/>
          <w:color w:val="000000" w:themeColor="text1"/>
          <w:szCs w:val="24"/>
        </w:rPr>
        <w:t xml:space="preserve"> different jurisdictions (Hudson &amp; Hudson, 2017). Literature emphasises that tourism contracts reduce uncertainty by clearly outlining rights, obligations, pricing, cancellation policies, and liability limitations. According to Dickerson (2021), the absence of well-defined contractual terms can result in disputes that damage consumer confidence and the reputation of tourism businesses.</w:t>
      </w:r>
    </w:p>
    <w:p w14:paraId="59278203" w14:textId="77777777" w:rsidR="00CE4EE4" w:rsidRPr="00CE4EE4" w:rsidRDefault="00CE4EE4" w:rsidP="00CE4EE4">
      <w:pPr>
        <w:spacing w:line="480" w:lineRule="auto"/>
        <w:rPr>
          <w:rFonts w:ascii="Times New Roman" w:hAnsi="Times New Roman" w:cs="Times New Roman"/>
          <w:color w:val="000000" w:themeColor="text1"/>
          <w:szCs w:val="24"/>
        </w:rPr>
      </w:pPr>
      <w:r w:rsidRPr="00CE4EE4">
        <w:rPr>
          <w:rFonts w:ascii="Times New Roman" w:hAnsi="Times New Roman" w:cs="Times New Roman"/>
          <w:color w:val="000000" w:themeColor="text1"/>
          <w:szCs w:val="24"/>
        </w:rPr>
        <w:t xml:space="preserve">Several studies note that tourism contracts play a dual role: they enable commercial operations while also serving as a consumer protection mechanism. This is particularly relevant in mass tourism, where standard-form contracts dominate transactions (European Commission, 2022). While such contracts improve efficiency for service providers, they also raise concerns about </w:t>
      </w:r>
      <w:r w:rsidRPr="00CE4EE4">
        <w:rPr>
          <w:rFonts w:ascii="Times New Roman" w:hAnsi="Times New Roman" w:cs="Times New Roman"/>
          <w:color w:val="000000" w:themeColor="text1"/>
          <w:szCs w:val="24"/>
        </w:rPr>
        <w:lastRenderedPageBreak/>
        <w:t>fairness and imbalance of bargaining power, a theme widely discussed in tourism law scholarship.</w:t>
      </w:r>
    </w:p>
    <w:p w14:paraId="5BB38102" w14:textId="77777777" w:rsidR="00CE4EE4" w:rsidRPr="00CE4EE4" w:rsidRDefault="00CE4EE4" w:rsidP="00CE4EE4">
      <w:pPr>
        <w:spacing w:line="480" w:lineRule="auto"/>
        <w:rPr>
          <w:rFonts w:ascii="Times New Roman" w:hAnsi="Times New Roman" w:cs="Times New Roman"/>
          <w:b/>
          <w:bCs/>
          <w:color w:val="000000" w:themeColor="text1"/>
          <w:szCs w:val="24"/>
        </w:rPr>
      </w:pPr>
      <w:r w:rsidRPr="00CE4EE4">
        <w:rPr>
          <w:rFonts w:ascii="Times New Roman" w:hAnsi="Times New Roman" w:cs="Times New Roman"/>
          <w:b/>
          <w:bCs/>
          <w:color w:val="000000" w:themeColor="text1"/>
          <w:szCs w:val="24"/>
        </w:rPr>
        <w:t>Elements of a Valid Contract in Tourism Agreements</w:t>
      </w:r>
    </w:p>
    <w:p w14:paraId="1069145A" w14:textId="77777777" w:rsidR="00CE4EE4" w:rsidRPr="00CE4EE4" w:rsidRDefault="00CE4EE4" w:rsidP="00CE4EE4">
      <w:pPr>
        <w:spacing w:line="480" w:lineRule="auto"/>
        <w:rPr>
          <w:rFonts w:ascii="Times New Roman" w:hAnsi="Times New Roman" w:cs="Times New Roman"/>
          <w:color w:val="000000" w:themeColor="text1"/>
          <w:szCs w:val="24"/>
        </w:rPr>
      </w:pPr>
      <w:r w:rsidRPr="00CE4EE4">
        <w:rPr>
          <w:rFonts w:ascii="Times New Roman" w:hAnsi="Times New Roman" w:cs="Times New Roman"/>
          <w:color w:val="000000" w:themeColor="text1"/>
          <w:szCs w:val="24"/>
        </w:rPr>
        <w:t>A substantial body of literature focuses on the fundamental elements required for a valid contract—offer, acceptance, consideration, and intention to create legal relations—and their application in tourism contexts. An offer in tourism may include advertised prices for hotel rooms, flight tickets, or package holidays. However, courts have frequently distinguished between invitations to treat and legally binding offers, particularly in online booking environments (Poole, 2020).</w:t>
      </w:r>
    </w:p>
    <w:p w14:paraId="2A3E8661" w14:textId="77777777" w:rsidR="00CE4EE4" w:rsidRPr="00CE4EE4" w:rsidRDefault="00CE4EE4" w:rsidP="00CE4EE4">
      <w:pPr>
        <w:spacing w:line="480" w:lineRule="auto"/>
        <w:rPr>
          <w:rFonts w:ascii="Times New Roman" w:hAnsi="Times New Roman" w:cs="Times New Roman"/>
          <w:color w:val="000000" w:themeColor="text1"/>
          <w:szCs w:val="24"/>
        </w:rPr>
      </w:pPr>
      <w:r w:rsidRPr="00CE4EE4">
        <w:rPr>
          <w:rFonts w:ascii="Times New Roman" w:hAnsi="Times New Roman" w:cs="Times New Roman"/>
          <w:color w:val="000000" w:themeColor="text1"/>
          <w:szCs w:val="24"/>
        </w:rPr>
        <w:t xml:space="preserve">Acceptance occurs when a consumer confirms a booking, often electronically, which has led scholars to analyse the legal validity of click-wrap and browse-wrap agreements. Research suggests that electronic acceptance is legally valid </w:t>
      </w:r>
      <w:proofErr w:type="gramStart"/>
      <w:r w:rsidRPr="00CE4EE4">
        <w:rPr>
          <w:rFonts w:ascii="Times New Roman" w:hAnsi="Times New Roman" w:cs="Times New Roman"/>
          <w:color w:val="000000" w:themeColor="text1"/>
          <w:szCs w:val="24"/>
        </w:rPr>
        <w:t>provided that</w:t>
      </w:r>
      <w:proofErr w:type="gramEnd"/>
      <w:r w:rsidRPr="00CE4EE4">
        <w:rPr>
          <w:rFonts w:ascii="Times New Roman" w:hAnsi="Times New Roman" w:cs="Times New Roman"/>
          <w:color w:val="000000" w:themeColor="text1"/>
          <w:szCs w:val="24"/>
        </w:rPr>
        <w:t xml:space="preserve"> terms are clearly communicated and accessible before confirmation (Bennett &amp; Baird, 2018). Consideration in tourism contracts usually involves monetary payment in exchange for services, although non-monetary consideration may arise in promotional or loyalty-based agreements.</w:t>
      </w:r>
    </w:p>
    <w:p w14:paraId="3BB60E3B" w14:textId="77777777" w:rsidR="00CE4EE4" w:rsidRPr="00635AB0" w:rsidRDefault="00CE4EE4" w:rsidP="00CE4EE4">
      <w:pPr>
        <w:spacing w:line="480" w:lineRule="auto"/>
        <w:rPr>
          <w:rFonts w:ascii="Times New Roman" w:hAnsi="Times New Roman" w:cs="Times New Roman"/>
          <w:color w:val="000000" w:themeColor="text1"/>
          <w:szCs w:val="24"/>
        </w:rPr>
      </w:pPr>
      <w:r w:rsidRPr="00CE4EE4">
        <w:rPr>
          <w:rFonts w:ascii="Times New Roman" w:hAnsi="Times New Roman" w:cs="Times New Roman"/>
          <w:color w:val="000000" w:themeColor="text1"/>
          <w:szCs w:val="24"/>
        </w:rPr>
        <w:t>The intention to create legal relations is generally presumed in commercial tourism contracts. However, disputes may arise in informal arrangements, such as community-based tourism experiences or peer-to-peer platforms. Literature highlights that courts increasingly recognise intention where financial transactions occur, even in non-traditional tourism settings (Dickerson, 2021).</w:t>
      </w:r>
    </w:p>
    <w:p w14:paraId="6E341CF7" w14:textId="77777777" w:rsidR="00CE4EE4" w:rsidRPr="00635AB0" w:rsidRDefault="00CE4EE4" w:rsidP="00CE4EE4">
      <w:pPr>
        <w:spacing w:line="480" w:lineRule="auto"/>
        <w:rPr>
          <w:rFonts w:ascii="Times New Roman" w:hAnsi="Times New Roman" w:cs="Times New Roman"/>
          <w:color w:val="000000" w:themeColor="text1"/>
          <w:szCs w:val="24"/>
        </w:rPr>
      </w:pPr>
    </w:p>
    <w:p w14:paraId="49BA744C" w14:textId="77777777" w:rsidR="00CE4EE4" w:rsidRPr="00CE4EE4" w:rsidRDefault="00CE4EE4" w:rsidP="00CE4EE4">
      <w:pPr>
        <w:spacing w:line="480" w:lineRule="auto"/>
        <w:rPr>
          <w:rFonts w:ascii="Times New Roman" w:hAnsi="Times New Roman" w:cs="Times New Roman"/>
          <w:color w:val="000000" w:themeColor="text1"/>
          <w:szCs w:val="24"/>
        </w:rPr>
      </w:pPr>
    </w:p>
    <w:p w14:paraId="524CC2DA" w14:textId="77777777" w:rsidR="00CE4EE4" w:rsidRPr="00CE4EE4" w:rsidRDefault="00CE4EE4" w:rsidP="00CE4EE4">
      <w:pPr>
        <w:spacing w:line="480" w:lineRule="auto"/>
        <w:rPr>
          <w:rFonts w:ascii="Times New Roman" w:hAnsi="Times New Roman" w:cs="Times New Roman"/>
          <w:b/>
          <w:bCs/>
          <w:color w:val="000000" w:themeColor="text1"/>
          <w:szCs w:val="24"/>
        </w:rPr>
      </w:pPr>
      <w:r w:rsidRPr="00CE4EE4">
        <w:rPr>
          <w:rFonts w:ascii="Times New Roman" w:hAnsi="Times New Roman" w:cs="Times New Roman"/>
          <w:b/>
          <w:bCs/>
          <w:color w:val="000000" w:themeColor="text1"/>
          <w:szCs w:val="24"/>
        </w:rPr>
        <w:lastRenderedPageBreak/>
        <w:t>Types of Contracts in the Tourism Industry</w:t>
      </w:r>
    </w:p>
    <w:p w14:paraId="65DC01BB" w14:textId="77777777" w:rsidR="00CE4EE4" w:rsidRPr="00CE4EE4" w:rsidRDefault="00CE4EE4" w:rsidP="00CE4EE4">
      <w:pPr>
        <w:spacing w:line="480" w:lineRule="auto"/>
        <w:rPr>
          <w:rFonts w:ascii="Times New Roman" w:hAnsi="Times New Roman" w:cs="Times New Roman"/>
          <w:color w:val="000000" w:themeColor="text1"/>
          <w:szCs w:val="24"/>
        </w:rPr>
      </w:pPr>
      <w:r w:rsidRPr="00CE4EE4">
        <w:rPr>
          <w:rFonts w:ascii="Times New Roman" w:hAnsi="Times New Roman" w:cs="Times New Roman"/>
          <w:color w:val="000000" w:themeColor="text1"/>
          <w:szCs w:val="24"/>
        </w:rPr>
        <w:t>Tourism literature identifies several common types of contracts, including booking contracts, package tour agreements, transport contracts, and liability waivers. Package travel contracts have received significant academic attention due to their complexity and regulatory oversight. Under the EU Package Travel Directive, organisers are held responsible for the performance of all services included in a package, regardless of whether those services are delivered by third parties (European Commission, 2022).</w:t>
      </w:r>
    </w:p>
    <w:p w14:paraId="443B4949" w14:textId="77777777" w:rsidR="00CE4EE4" w:rsidRPr="00CE4EE4" w:rsidRDefault="00CE4EE4" w:rsidP="00CE4EE4">
      <w:pPr>
        <w:spacing w:line="480" w:lineRule="auto"/>
        <w:rPr>
          <w:rFonts w:ascii="Times New Roman" w:hAnsi="Times New Roman" w:cs="Times New Roman"/>
          <w:color w:val="000000" w:themeColor="text1"/>
          <w:szCs w:val="24"/>
        </w:rPr>
      </w:pPr>
      <w:r w:rsidRPr="00CE4EE4">
        <w:rPr>
          <w:rFonts w:ascii="Times New Roman" w:hAnsi="Times New Roman" w:cs="Times New Roman"/>
          <w:color w:val="000000" w:themeColor="text1"/>
          <w:szCs w:val="24"/>
        </w:rPr>
        <w:t>Booking contracts between hotels and guests form another major category. Studies highlight recurring disputes related to overbooking, misrepresentation of facilities, and cancellation charges. Hudson and Hudson (2017) argue that ambiguous contract terms often favour service providers, prompting courts to interpret such clauses against the drafting party under the contra proferentem rule.</w:t>
      </w:r>
    </w:p>
    <w:p w14:paraId="31775401" w14:textId="77777777" w:rsidR="00CE4EE4" w:rsidRPr="00CE4EE4" w:rsidRDefault="00CE4EE4" w:rsidP="00CE4EE4">
      <w:pPr>
        <w:spacing w:line="480" w:lineRule="auto"/>
        <w:rPr>
          <w:rFonts w:ascii="Times New Roman" w:hAnsi="Times New Roman" w:cs="Times New Roman"/>
          <w:color w:val="000000" w:themeColor="text1"/>
          <w:szCs w:val="24"/>
        </w:rPr>
      </w:pPr>
      <w:r w:rsidRPr="00CE4EE4">
        <w:rPr>
          <w:rFonts w:ascii="Times New Roman" w:hAnsi="Times New Roman" w:cs="Times New Roman"/>
          <w:color w:val="000000" w:themeColor="text1"/>
          <w:szCs w:val="24"/>
        </w:rPr>
        <w:t>Liability waivers are also widely discussed in the literature, particularly in adventure and recreational tourism. While waivers aim to limit liability for service providers, scholars note that courts frequently scrutinise these clauses for fairness, transparency, and compliance with consumer protection laws (Bennett &amp; Baird, 2018). Unfair or excessively broad exclusion clauses may be deemed unenforceable.</w:t>
      </w:r>
    </w:p>
    <w:p w14:paraId="49DE8613" w14:textId="77777777" w:rsidR="00CE4EE4" w:rsidRPr="00CE4EE4" w:rsidRDefault="00CE4EE4" w:rsidP="00CE4EE4">
      <w:pPr>
        <w:spacing w:line="480" w:lineRule="auto"/>
        <w:rPr>
          <w:rFonts w:ascii="Times New Roman" w:hAnsi="Times New Roman" w:cs="Times New Roman"/>
          <w:b/>
          <w:bCs/>
          <w:color w:val="000000" w:themeColor="text1"/>
          <w:szCs w:val="24"/>
        </w:rPr>
      </w:pPr>
      <w:r w:rsidRPr="00CE4EE4">
        <w:rPr>
          <w:rFonts w:ascii="Times New Roman" w:hAnsi="Times New Roman" w:cs="Times New Roman"/>
          <w:b/>
          <w:bCs/>
          <w:color w:val="000000" w:themeColor="text1"/>
          <w:szCs w:val="24"/>
        </w:rPr>
        <w:t>Rights and Obligations of Parties in Tourism Contracts</w:t>
      </w:r>
    </w:p>
    <w:p w14:paraId="78CA6D54" w14:textId="77777777" w:rsidR="00CE4EE4" w:rsidRPr="00CE4EE4" w:rsidRDefault="00CE4EE4" w:rsidP="00CE4EE4">
      <w:pPr>
        <w:spacing w:line="480" w:lineRule="auto"/>
        <w:rPr>
          <w:rFonts w:ascii="Times New Roman" w:hAnsi="Times New Roman" w:cs="Times New Roman"/>
          <w:color w:val="000000" w:themeColor="text1"/>
          <w:szCs w:val="24"/>
        </w:rPr>
      </w:pPr>
      <w:r w:rsidRPr="00CE4EE4">
        <w:rPr>
          <w:rFonts w:ascii="Times New Roman" w:hAnsi="Times New Roman" w:cs="Times New Roman"/>
          <w:color w:val="000000" w:themeColor="text1"/>
          <w:szCs w:val="24"/>
        </w:rPr>
        <w:t xml:space="preserve">A recurring theme in the literature is the balance of rights and obligations between consumers and tourism service providers. Service providers are generally obligated to deliver services with reasonable care and skill, as promised in the contract. Failure to meet these obligations may </w:t>
      </w:r>
      <w:r w:rsidRPr="00CE4EE4">
        <w:rPr>
          <w:rFonts w:ascii="Times New Roman" w:hAnsi="Times New Roman" w:cs="Times New Roman"/>
          <w:color w:val="000000" w:themeColor="text1"/>
          <w:szCs w:val="24"/>
        </w:rPr>
        <w:lastRenderedPageBreak/>
        <w:t>constitute a breach of contract, entitling consumers to remedies such as refunds or damages (Poole, 2020).</w:t>
      </w:r>
    </w:p>
    <w:p w14:paraId="08D114F9" w14:textId="77777777" w:rsidR="00CE4EE4" w:rsidRPr="00CE4EE4" w:rsidRDefault="00CE4EE4" w:rsidP="00CE4EE4">
      <w:pPr>
        <w:spacing w:line="480" w:lineRule="auto"/>
        <w:rPr>
          <w:rFonts w:ascii="Times New Roman" w:hAnsi="Times New Roman" w:cs="Times New Roman"/>
          <w:color w:val="000000" w:themeColor="text1"/>
          <w:szCs w:val="24"/>
        </w:rPr>
      </w:pPr>
      <w:r w:rsidRPr="00CE4EE4">
        <w:rPr>
          <w:rFonts w:ascii="Times New Roman" w:hAnsi="Times New Roman" w:cs="Times New Roman"/>
          <w:color w:val="000000" w:themeColor="text1"/>
          <w:szCs w:val="24"/>
        </w:rPr>
        <w:t>Consumers, on the other hand, are obligated to comply with payment terms, behavioural standards, and cancellation policies. However, scholars argue that consumer obligations should not undermine statutory protections. Research shows that courts increasingly intervene where contract terms are unfair or misleading, particularly in cases involving hidden fees or restrictive cancellation policies (European Commission, 2022).</w:t>
      </w:r>
    </w:p>
    <w:p w14:paraId="581E45D5" w14:textId="77777777" w:rsidR="00CE4EE4" w:rsidRPr="00CE4EE4" w:rsidRDefault="00CE4EE4" w:rsidP="00CE4EE4">
      <w:pPr>
        <w:spacing w:line="480" w:lineRule="auto"/>
        <w:rPr>
          <w:rFonts w:ascii="Times New Roman" w:hAnsi="Times New Roman" w:cs="Times New Roman"/>
          <w:color w:val="000000" w:themeColor="text1"/>
          <w:szCs w:val="24"/>
        </w:rPr>
      </w:pPr>
      <w:r w:rsidRPr="00CE4EE4">
        <w:rPr>
          <w:rFonts w:ascii="Times New Roman" w:hAnsi="Times New Roman" w:cs="Times New Roman"/>
          <w:color w:val="000000" w:themeColor="text1"/>
          <w:szCs w:val="24"/>
        </w:rPr>
        <w:t>The literature also highlights the role of implied terms in tourism contracts. Even when not expressly stated, contracts may include implied terms relating to safety, quality, and fitness for purpose. Dickerson (2021) notes that implied terms have been crucial in protecting tourists in cases where service providers attempted to rely on narrowly drafted contracts to avoid liability.</w:t>
      </w:r>
    </w:p>
    <w:p w14:paraId="1C69F11F" w14:textId="77777777" w:rsidR="00CE4EE4" w:rsidRPr="00CE4EE4" w:rsidRDefault="00CE4EE4" w:rsidP="00CE4EE4">
      <w:pPr>
        <w:spacing w:line="480" w:lineRule="auto"/>
        <w:rPr>
          <w:rFonts w:ascii="Times New Roman" w:hAnsi="Times New Roman" w:cs="Times New Roman"/>
          <w:b/>
          <w:bCs/>
          <w:color w:val="000000" w:themeColor="text1"/>
          <w:szCs w:val="24"/>
        </w:rPr>
      </w:pPr>
      <w:r w:rsidRPr="00CE4EE4">
        <w:rPr>
          <w:rFonts w:ascii="Times New Roman" w:hAnsi="Times New Roman" w:cs="Times New Roman"/>
          <w:b/>
          <w:bCs/>
          <w:color w:val="000000" w:themeColor="text1"/>
          <w:szCs w:val="24"/>
        </w:rPr>
        <w:t>Contract Disputes and Legal Remedies in Tourism</w:t>
      </w:r>
    </w:p>
    <w:p w14:paraId="2753E597" w14:textId="77777777" w:rsidR="00CE4EE4" w:rsidRPr="00CE4EE4" w:rsidRDefault="00CE4EE4" w:rsidP="00CE4EE4">
      <w:pPr>
        <w:spacing w:line="480" w:lineRule="auto"/>
        <w:rPr>
          <w:rFonts w:ascii="Times New Roman" w:hAnsi="Times New Roman" w:cs="Times New Roman"/>
          <w:color w:val="000000" w:themeColor="text1"/>
          <w:szCs w:val="24"/>
        </w:rPr>
      </w:pPr>
      <w:r w:rsidRPr="00CE4EE4">
        <w:rPr>
          <w:rFonts w:ascii="Times New Roman" w:hAnsi="Times New Roman" w:cs="Times New Roman"/>
          <w:color w:val="000000" w:themeColor="text1"/>
          <w:szCs w:val="24"/>
        </w:rPr>
        <w:t>Dispute resolution is a major area of focus in tourism contract law literature. Common disputes include flight cancellations, hotel misrepresentation, failure to deliver package tour components, and denied boarding. Scholars note that contractual remedies such as damages, rescission, and specific performance play a central role in resolving these disputes (Hudson &amp; Hudson, 2017).</w:t>
      </w:r>
    </w:p>
    <w:p w14:paraId="589B9597" w14:textId="77777777" w:rsidR="00CE4EE4" w:rsidRPr="00CE4EE4" w:rsidRDefault="00CE4EE4" w:rsidP="00CE4EE4">
      <w:pPr>
        <w:spacing w:line="480" w:lineRule="auto"/>
        <w:rPr>
          <w:rFonts w:ascii="Times New Roman" w:hAnsi="Times New Roman" w:cs="Times New Roman"/>
          <w:color w:val="000000" w:themeColor="text1"/>
          <w:szCs w:val="24"/>
        </w:rPr>
      </w:pPr>
      <w:r w:rsidRPr="00CE4EE4">
        <w:rPr>
          <w:rFonts w:ascii="Times New Roman" w:hAnsi="Times New Roman" w:cs="Times New Roman"/>
          <w:color w:val="000000" w:themeColor="text1"/>
          <w:szCs w:val="24"/>
        </w:rPr>
        <w:t>Recent studies highlight the growing importance of alternative dispute resolution (ADR) mechanisms, including arbitration and mediation, in tourism contracts. Many standard tourism contracts include arbitration clauses, particularly in international travel agreements. While ADR offers efficiency and cost savings, critics argue that mandatory arbitration clauses may limit consumers’ access to justice (Bennett &amp; Baird, 2018).</w:t>
      </w:r>
    </w:p>
    <w:p w14:paraId="63C6A37C" w14:textId="77777777" w:rsidR="00CE4EE4" w:rsidRPr="00CE4EE4" w:rsidRDefault="00CE4EE4" w:rsidP="00CE4EE4">
      <w:pPr>
        <w:spacing w:line="480" w:lineRule="auto"/>
        <w:rPr>
          <w:rFonts w:ascii="Times New Roman" w:hAnsi="Times New Roman" w:cs="Times New Roman"/>
          <w:color w:val="000000" w:themeColor="text1"/>
          <w:szCs w:val="24"/>
        </w:rPr>
      </w:pPr>
      <w:r w:rsidRPr="00CE4EE4">
        <w:rPr>
          <w:rFonts w:ascii="Times New Roman" w:hAnsi="Times New Roman" w:cs="Times New Roman"/>
          <w:color w:val="000000" w:themeColor="text1"/>
          <w:szCs w:val="24"/>
        </w:rPr>
        <w:lastRenderedPageBreak/>
        <w:t>The COVID-19 pandemic has further intensified scholarly discussion on contract frustration and force majeure in tourism. Literature indicates that courts adopted varied approaches to cancellations and refunds, depending on contract terms and applicable consumer laws. This period reinforced the importance of clear contractual drafting and equitable risk allocation (Dickerson, 2021).</w:t>
      </w:r>
    </w:p>
    <w:p w14:paraId="567ABFE3" w14:textId="77777777" w:rsidR="00CE4EE4" w:rsidRPr="00CE4EE4" w:rsidRDefault="00CE4EE4" w:rsidP="00CE4EE4">
      <w:pPr>
        <w:spacing w:line="480" w:lineRule="auto"/>
        <w:rPr>
          <w:rFonts w:ascii="Times New Roman" w:hAnsi="Times New Roman" w:cs="Times New Roman"/>
          <w:b/>
          <w:bCs/>
          <w:color w:val="000000" w:themeColor="text1"/>
          <w:szCs w:val="24"/>
        </w:rPr>
      </w:pPr>
      <w:r w:rsidRPr="00CE4EE4">
        <w:rPr>
          <w:rFonts w:ascii="Times New Roman" w:hAnsi="Times New Roman" w:cs="Times New Roman"/>
          <w:b/>
          <w:bCs/>
          <w:color w:val="000000" w:themeColor="text1"/>
          <w:szCs w:val="24"/>
        </w:rPr>
        <w:t>Critical Evaluation of Existing Literature</w:t>
      </w:r>
    </w:p>
    <w:p w14:paraId="3E203A43" w14:textId="77777777" w:rsidR="00CE4EE4" w:rsidRPr="00CE4EE4" w:rsidRDefault="00CE4EE4" w:rsidP="00CE4EE4">
      <w:pPr>
        <w:spacing w:line="480" w:lineRule="auto"/>
        <w:rPr>
          <w:rFonts w:ascii="Times New Roman" w:hAnsi="Times New Roman" w:cs="Times New Roman"/>
          <w:color w:val="000000" w:themeColor="text1"/>
          <w:szCs w:val="24"/>
        </w:rPr>
      </w:pPr>
      <w:r w:rsidRPr="00CE4EE4">
        <w:rPr>
          <w:rFonts w:ascii="Times New Roman" w:hAnsi="Times New Roman" w:cs="Times New Roman"/>
          <w:color w:val="000000" w:themeColor="text1"/>
          <w:szCs w:val="24"/>
        </w:rPr>
        <w:t>While the existing literature provides comprehensive insights into contract law in tourism, several gaps remain. Much of the research focuses on European and North American legal systems, with limited attention to developing tourism markets. Additionally, rapid digitalisation has outpaced legal scholarship in some areas, particularly regarding online platforms and algorithm-driven pricing.</w:t>
      </w:r>
    </w:p>
    <w:p w14:paraId="7567EB29" w14:textId="77777777" w:rsidR="00CE4EE4" w:rsidRPr="00CE4EE4" w:rsidRDefault="00CE4EE4" w:rsidP="00CE4EE4">
      <w:pPr>
        <w:spacing w:line="480" w:lineRule="auto"/>
        <w:rPr>
          <w:rFonts w:ascii="Times New Roman" w:hAnsi="Times New Roman" w:cs="Times New Roman"/>
          <w:color w:val="000000" w:themeColor="text1"/>
          <w:szCs w:val="24"/>
        </w:rPr>
      </w:pPr>
      <w:r w:rsidRPr="00CE4EE4">
        <w:rPr>
          <w:rFonts w:ascii="Times New Roman" w:hAnsi="Times New Roman" w:cs="Times New Roman"/>
          <w:color w:val="000000" w:themeColor="text1"/>
          <w:szCs w:val="24"/>
        </w:rPr>
        <w:t>Moreover, scholars argue that although consumer protection has improved, enforcement remains inconsistent across jurisdictions. There is a need for further research into harmonised legal standards that address the global nature of tourism contracts. Overall, the literature confirms that contract law remains essential for maintaining fairness, accountability, and sustainability within the tourism industry, while also highlighting areas requiring continued legal and academic attention.</w:t>
      </w:r>
    </w:p>
    <w:p w14:paraId="3E426F89" w14:textId="2EB58765" w:rsidR="00BA1A47" w:rsidRPr="00635AB0" w:rsidRDefault="00BA1A47" w:rsidP="00BA1A47">
      <w:pPr>
        <w:spacing w:line="480" w:lineRule="auto"/>
        <w:rPr>
          <w:rFonts w:ascii="Times New Roman" w:hAnsi="Times New Roman" w:cs="Times New Roman"/>
          <w:color w:val="000000" w:themeColor="text1"/>
          <w:szCs w:val="24"/>
        </w:rPr>
      </w:pPr>
      <w:r w:rsidRPr="00635AB0">
        <w:rPr>
          <w:rFonts w:ascii="Times New Roman" w:hAnsi="Times New Roman" w:cs="Times New Roman"/>
          <w:color w:val="000000" w:themeColor="text1"/>
          <w:szCs w:val="24"/>
        </w:rPr>
        <w:t>.</w:t>
      </w:r>
    </w:p>
    <w:p w14:paraId="25CB38CB" w14:textId="77777777" w:rsidR="00BA1A47" w:rsidRPr="00635AB0" w:rsidRDefault="00BA1A47" w:rsidP="00BA1A47">
      <w:pPr>
        <w:spacing w:line="480" w:lineRule="auto"/>
        <w:rPr>
          <w:rStyle w:val="Heading1Char"/>
          <w:rFonts w:ascii="Times New Roman" w:hAnsi="Times New Roman" w:cs="Times New Roman"/>
          <w:b/>
          <w:bCs/>
          <w:color w:val="000000" w:themeColor="text1"/>
          <w:sz w:val="24"/>
          <w:szCs w:val="24"/>
        </w:rPr>
      </w:pPr>
    </w:p>
    <w:p w14:paraId="5F40405B" w14:textId="77777777" w:rsidR="00BA1A47" w:rsidRPr="00635AB0" w:rsidRDefault="00BA1A47" w:rsidP="00BA1A47">
      <w:pPr>
        <w:spacing w:line="480" w:lineRule="auto"/>
        <w:rPr>
          <w:rStyle w:val="Heading1Char"/>
          <w:rFonts w:ascii="Times New Roman" w:hAnsi="Times New Roman" w:cs="Times New Roman"/>
          <w:b/>
          <w:bCs/>
          <w:color w:val="000000" w:themeColor="text1"/>
          <w:sz w:val="24"/>
          <w:szCs w:val="24"/>
        </w:rPr>
      </w:pPr>
    </w:p>
    <w:p w14:paraId="64CFADDC" w14:textId="77777777" w:rsidR="00BA1A47" w:rsidRPr="00635AB0" w:rsidRDefault="00BA1A47" w:rsidP="00BA1A47">
      <w:pPr>
        <w:spacing w:line="480" w:lineRule="auto"/>
        <w:rPr>
          <w:rStyle w:val="Heading1Char"/>
          <w:rFonts w:ascii="Times New Roman" w:hAnsi="Times New Roman" w:cs="Times New Roman"/>
          <w:b/>
          <w:bCs/>
          <w:color w:val="000000" w:themeColor="text1"/>
          <w:sz w:val="24"/>
          <w:szCs w:val="24"/>
        </w:rPr>
      </w:pPr>
    </w:p>
    <w:p w14:paraId="243DDC87" w14:textId="77777777" w:rsidR="00AB5112" w:rsidRPr="00635AB0" w:rsidRDefault="00843EDD" w:rsidP="00AB5112">
      <w:pPr>
        <w:spacing w:line="480" w:lineRule="auto"/>
        <w:rPr>
          <w:rFonts w:ascii="Times New Roman" w:hAnsi="Times New Roman" w:cs="Times New Roman"/>
          <w:color w:val="000000" w:themeColor="text1"/>
          <w:szCs w:val="24"/>
        </w:rPr>
      </w:pPr>
      <w:bookmarkStart w:id="3" w:name="_Toc221200717"/>
      <w:r w:rsidRPr="00635AB0">
        <w:rPr>
          <w:rStyle w:val="Heading1Char"/>
          <w:rFonts w:ascii="Times New Roman" w:hAnsi="Times New Roman" w:cs="Times New Roman"/>
          <w:b/>
          <w:bCs/>
          <w:color w:val="000000" w:themeColor="text1"/>
          <w:sz w:val="24"/>
          <w:szCs w:val="24"/>
        </w:rPr>
        <w:lastRenderedPageBreak/>
        <w:t>3</w:t>
      </w:r>
      <w:r w:rsidR="00582227" w:rsidRPr="00635AB0">
        <w:rPr>
          <w:rStyle w:val="Heading1Char"/>
          <w:rFonts w:ascii="Times New Roman" w:hAnsi="Times New Roman" w:cs="Times New Roman"/>
          <w:b/>
          <w:bCs/>
          <w:color w:val="000000" w:themeColor="text1"/>
          <w:sz w:val="24"/>
          <w:szCs w:val="24"/>
        </w:rPr>
        <w:t xml:space="preserve"> Methodology</w:t>
      </w:r>
      <w:bookmarkEnd w:id="3"/>
      <w:r w:rsidR="00582227" w:rsidRPr="00635AB0">
        <w:rPr>
          <w:rFonts w:ascii="Times New Roman" w:hAnsi="Times New Roman" w:cs="Times New Roman"/>
          <w:b/>
          <w:bCs/>
          <w:color w:val="000000" w:themeColor="text1"/>
          <w:szCs w:val="24"/>
        </w:rPr>
        <w:t xml:space="preserve"> </w:t>
      </w:r>
      <w:r w:rsidR="00582227" w:rsidRPr="00635AB0">
        <w:rPr>
          <w:rFonts w:ascii="Times New Roman" w:hAnsi="Times New Roman" w:cs="Times New Roman"/>
          <w:color w:val="000000" w:themeColor="text1"/>
          <w:szCs w:val="24"/>
        </w:rPr>
        <w:br/>
      </w:r>
      <w:bookmarkStart w:id="4" w:name="_Toc221200718"/>
      <w:r w:rsidR="00AB5112" w:rsidRPr="00635AB0">
        <w:rPr>
          <w:rFonts w:ascii="Times New Roman" w:hAnsi="Times New Roman" w:cs="Times New Roman"/>
          <w:color w:val="000000" w:themeColor="text1"/>
          <w:szCs w:val="24"/>
        </w:rPr>
        <w:t xml:space="preserve">This study adopts a </w:t>
      </w:r>
      <w:r w:rsidR="00AB5112" w:rsidRPr="00635AB0">
        <w:rPr>
          <w:rFonts w:ascii="Times New Roman" w:hAnsi="Times New Roman" w:cs="Times New Roman"/>
          <w:b/>
          <w:bCs/>
          <w:color w:val="000000" w:themeColor="text1"/>
          <w:szCs w:val="24"/>
        </w:rPr>
        <w:t>qualitative doctrinal research methodology</w:t>
      </w:r>
      <w:r w:rsidR="00AB5112" w:rsidRPr="00635AB0">
        <w:rPr>
          <w:rFonts w:ascii="Times New Roman" w:hAnsi="Times New Roman" w:cs="Times New Roman"/>
          <w:color w:val="000000" w:themeColor="text1"/>
          <w:szCs w:val="24"/>
        </w:rPr>
        <w:t xml:space="preserve"> to examine the role of contract law in the tourism industry. Doctrinal legal research is widely used in legal scholarship to analyse existing laws, judicial decisions, and academic commentary </w:t>
      </w:r>
      <w:proofErr w:type="gramStart"/>
      <w:r w:rsidR="00AB5112" w:rsidRPr="00635AB0">
        <w:rPr>
          <w:rFonts w:ascii="Times New Roman" w:hAnsi="Times New Roman" w:cs="Times New Roman"/>
          <w:color w:val="000000" w:themeColor="text1"/>
          <w:szCs w:val="24"/>
        </w:rPr>
        <w:t>in order to</w:t>
      </w:r>
      <w:proofErr w:type="gramEnd"/>
      <w:r w:rsidR="00AB5112" w:rsidRPr="00635AB0">
        <w:rPr>
          <w:rFonts w:ascii="Times New Roman" w:hAnsi="Times New Roman" w:cs="Times New Roman"/>
          <w:color w:val="000000" w:themeColor="text1"/>
          <w:szCs w:val="24"/>
        </w:rPr>
        <w:t xml:space="preserve"> interpret legal principles and evaluate their application in specific contexts (McConville &amp; Chui, 2017). Given that the focus of this assignment is on understanding how contract law governs tourism-related agreements, a qualitative and analytical approach is considered the most appropriate.</w:t>
      </w:r>
    </w:p>
    <w:p w14:paraId="7441DB57" w14:textId="77777777" w:rsidR="00AB5112" w:rsidRPr="00AB5112" w:rsidRDefault="00AB5112" w:rsidP="00AB5112">
      <w:pPr>
        <w:spacing w:line="480" w:lineRule="auto"/>
        <w:rPr>
          <w:rFonts w:ascii="Times New Roman" w:hAnsi="Times New Roman" w:cs="Times New Roman"/>
          <w:b/>
          <w:bCs/>
          <w:color w:val="000000" w:themeColor="text1"/>
          <w:szCs w:val="24"/>
        </w:rPr>
      </w:pPr>
      <w:r w:rsidRPr="00AB5112">
        <w:rPr>
          <w:rFonts w:ascii="Times New Roman" w:hAnsi="Times New Roman" w:cs="Times New Roman"/>
          <w:b/>
          <w:bCs/>
          <w:color w:val="000000" w:themeColor="text1"/>
          <w:szCs w:val="24"/>
        </w:rPr>
        <w:t>Research Design</w:t>
      </w:r>
    </w:p>
    <w:p w14:paraId="1D889091" w14:textId="77777777" w:rsidR="00AB5112" w:rsidRPr="00AB5112" w:rsidRDefault="00AB5112" w:rsidP="00AB5112">
      <w:p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 xml:space="preserve">The research is </w:t>
      </w:r>
      <w:r w:rsidRPr="00AB5112">
        <w:rPr>
          <w:rFonts w:ascii="Times New Roman" w:hAnsi="Times New Roman" w:cs="Times New Roman"/>
          <w:b/>
          <w:bCs/>
          <w:color w:val="000000" w:themeColor="text1"/>
          <w:szCs w:val="24"/>
        </w:rPr>
        <w:t>descriptive and analytical</w:t>
      </w:r>
      <w:r w:rsidRPr="00AB5112">
        <w:rPr>
          <w:rFonts w:ascii="Times New Roman" w:hAnsi="Times New Roman" w:cs="Times New Roman"/>
          <w:color w:val="000000" w:themeColor="text1"/>
          <w:szCs w:val="24"/>
        </w:rPr>
        <w:t xml:space="preserve"> in nature. It seeks to describe the legal framework governing tourism contracts while critically analysing how contract law principles such as offer, acceptance, consideration, and intention to create legal relations operate within the tourism sector. This design allows for an in-depth exploration of contractual relationships between tourism service providers—such as airlines, hotels, and tour operators—and consumers, without relying on empirical data collection (Poole, 2020).</w:t>
      </w:r>
    </w:p>
    <w:p w14:paraId="1B1EDD2D" w14:textId="77777777" w:rsidR="00AB5112" w:rsidRPr="00AB5112" w:rsidRDefault="00AB5112" w:rsidP="00AB5112">
      <w:p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The study does not involve primary data collection through surveys or interviews. Instead, it relies on secondary legal sources to ensure accuracy, reliability, and alignment with established legal interpretations. This approach is consistent with previous tourism law studies that focus on legal doctrine and policy analysis rather than behavioural research (Dickerson, 2021).</w:t>
      </w:r>
    </w:p>
    <w:p w14:paraId="0A17BA4D" w14:textId="77777777" w:rsidR="00AB5112" w:rsidRPr="00AB5112" w:rsidRDefault="00AB5112" w:rsidP="00AB5112">
      <w:pPr>
        <w:spacing w:line="480" w:lineRule="auto"/>
        <w:rPr>
          <w:rFonts w:ascii="Times New Roman" w:hAnsi="Times New Roman" w:cs="Times New Roman"/>
          <w:b/>
          <w:bCs/>
          <w:color w:val="000000" w:themeColor="text1"/>
          <w:szCs w:val="24"/>
        </w:rPr>
      </w:pPr>
      <w:r w:rsidRPr="00AB5112">
        <w:rPr>
          <w:rFonts w:ascii="Times New Roman" w:hAnsi="Times New Roman" w:cs="Times New Roman"/>
          <w:b/>
          <w:bCs/>
          <w:color w:val="000000" w:themeColor="text1"/>
          <w:szCs w:val="24"/>
        </w:rPr>
        <w:t>Data Collection Methods</w:t>
      </w:r>
    </w:p>
    <w:p w14:paraId="4B52E33B" w14:textId="77777777" w:rsidR="00AB5112" w:rsidRPr="00AB5112" w:rsidRDefault="00AB5112" w:rsidP="00AB5112">
      <w:p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 xml:space="preserve">Data for this study were collected exclusively from </w:t>
      </w:r>
      <w:r w:rsidRPr="00AB5112">
        <w:rPr>
          <w:rFonts w:ascii="Times New Roman" w:hAnsi="Times New Roman" w:cs="Times New Roman"/>
          <w:b/>
          <w:bCs/>
          <w:color w:val="000000" w:themeColor="text1"/>
          <w:szCs w:val="24"/>
        </w:rPr>
        <w:t>secondary sources</w:t>
      </w:r>
      <w:r w:rsidRPr="00AB5112">
        <w:rPr>
          <w:rFonts w:ascii="Times New Roman" w:hAnsi="Times New Roman" w:cs="Times New Roman"/>
          <w:color w:val="000000" w:themeColor="text1"/>
          <w:szCs w:val="24"/>
        </w:rPr>
        <w:t>, including:</w:t>
      </w:r>
    </w:p>
    <w:p w14:paraId="45E41E4F" w14:textId="77777777" w:rsidR="00AB5112" w:rsidRPr="00AB5112" w:rsidRDefault="00AB5112" w:rsidP="00AB5112">
      <w:pPr>
        <w:numPr>
          <w:ilvl w:val="0"/>
          <w:numId w:val="33"/>
        </w:num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Academic textbooks on contract and tourism law</w:t>
      </w:r>
    </w:p>
    <w:p w14:paraId="5B6B884D" w14:textId="77777777" w:rsidR="00AB5112" w:rsidRPr="00AB5112" w:rsidRDefault="00AB5112" w:rsidP="00AB5112">
      <w:pPr>
        <w:numPr>
          <w:ilvl w:val="0"/>
          <w:numId w:val="33"/>
        </w:num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lastRenderedPageBreak/>
        <w:t>Peer-reviewed journal articles</w:t>
      </w:r>
    </w:p>
    <w:p w14:paraId="4758D660" w14:textId="77777777" w:rsidR="00AB5112" w:rsidRPr="00AB5112" w:rsidRDefault="00AB5112" w:rsidP="00AB5112">
      <w:pPr>
        <w:numPr>
          <w:ilvl w:val="0"/>
          <w:numId w:val="33"/>
        </w:num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Government and regulatory publications</w:t>
      </w:r>
    </w:p>
    <w:p w14:paraId="36250A00" w14:textId="77777777" w:rsidR="00AB5112" w:rsidRPr="00AB5112" w:rsidRDefault="00AB5112" w:rsidP="00AB5112">
      <w:pPr>
        <w:numPr>
          <w:ilvl w:val="0"/>
          <w:numId w:val="33"/>
        </w:num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European Union directives and official guidance documents</w:t>
      </w:r>
    </w:p>
    <w:p w14:paraId="45FD75C5" w14:textId="77777777" w:rsidR="00AB5112" w:rsidRPr="00AB5112" w:rsidRDefault="00AB5112" w:rsidP="00AB5112">
      <w:pPr>
        <w:numPr>
          <w:ilvl w:val="0"/>
          <w:numId w:val="33"/>
        </w:num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Reported case law related to tourism contract disputes</w:t>
      </w:r>
    </w:p>
    <w:p w14:paraId="279BE341" w14:textId="77777777" w:rsidR="00AB5112" w:rsidRPr="00AB5112" w:rsidRDefault="00AB5112" w:rsidP="00AB5112">
      <w:p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 xml:space="preserve">Key sources such as </w:t>
      </w:r>
      <w:r w:rsidRPr="00AB5112">
        <w:rPr>
          <w:rFonts w:ascii="Times New Roman" w:hAnsi="Times New Roman" w:cs="Times New Roman"/>
          <w:i/>
          <w:iCs/>
          <w:color w:val="000000" w:themeColor="text1"/>
          <w:szCs w:val="24"/>
        </w:rPr>
        <w:t>Travel Law</w:t>
      </w:r>
      <w:r w:rsidRPr="00AB5112">
        <w:rPr>
          <w:rFonts w:ascii="Times New Roman" w:hAnsi="Times New Roman" w:cs="Times New Roman"/>
          <w:color w:val="000000" w:themeColor="text1"/>
          <w:szCs w:val="24"/>
        </w:rPr>
        <w:t xml:space="preserve"> by Dickerson (2021) and </w:t>
      </w:r>
      <w:r w:rsidRPr="00AB5112">
        <w:rPr>
          <w:rFonts w:ascii="Times New Roman" w:hAnsi="Times New Roman" w:cs="Times New Roman"/>
          <w:i/>
          <w:iCs/>
          <w:color w:val="000000" w:themeColor="text1"/>
          <w:szCs w:val="24"/>
        </w:rPr>
        <w:t>Textbook on Contract Law</w:t>
      </w:r>
      <w:r w:rsidRPr="00AB5112">
        <w:rPr>
          <w:rFonts w:ascii="Times New Roman" w:hAnsi="Times New Roman" w:cs="Times New Roman"/>
          <w:color w:val="000000" w:themeColor="text1"/>
          <w:szCs w:val="24"/>
        </w:rPr>
        <w:t xml:space="preserve"> by Poole (2020) were used to establish foundational legal principles. Policy documents, including guidance issued under the EU Package Travel Directive, were analysed to understand regulatory obligations imposed on tourism service providers (European Commission, 2022).</w:t>
      </w:r>
    </w:p>
    <w:p w14:paraId="226A028A" w14:textId="77777777" w:rsidR="00AB5112" w:rsidRPr="00AB5112" w:rsidRDefault="00AB5112" w:rsidP="00AB5112">
      <w:p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Case law examples were selected based on their relevance to tourism contracts, particularly disputes involving cancellations, misrepresentation, liability limitations, and breach of contract. These cases were used to illustrate how courts interpret and enforce contractual obligations in real-world tourism scenarios.</w:t>
      </w:r>
    </w:p>
    <w:p w14:paraId="57F03E60" w14:textId="77777777" w:rsidR="00AB5112" w:rsidRPr="00AB5112" w:rsidRDefault="00AB5112" w:rsidP="00AB5112">
      <w:pPr>
        <w:spacing w:line="480" w:lineRule="auto"/>
        <w:rPr>
          <w:rFonts w:ascii="Times New Roman" w:hAnsi="Times New Roman" w:cs="Times New Roman"/>
          <w:b/>
          <w:bCs/>
          <w:color w:val="000000" w:themeColor="text1"/>
          <w:szCs w:val="24"/>
        </w:rPr>
      </w:pPr>
      <w:r w:rsidRPr="00AB5112">
        <w:rPr>
          <w:rFonts w:ascii="Times New Roman" w:hAnsi="Times New Roman" w:cs="Times New Roman"/>
          <w:b/>
          <w:bCs/>
          <w:color w:val="000000" w:themeColor="text1"/>
          <w:szCs w:val="24"/>
        </w:rPr>
        <w:t>Data Analysis Technique</w:t>
      </w:r>
    </w:p>
    <w:p w14:paraId="3695C556" w14:textId="77777777" w:rsidR="00AB5112" w:rsidRPr="00AB5112" w:rsidRDefault="00AB5112" w:rsidP="00AB5112">
      <w:p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 xml:space="preserve">The collected data were analysed using </w:t>
      </w:r>
      <w:r w:rsidRPr="00AB5112">
        <w:rPr>
          <w:rFonts w:ascii="Times New Roman" w:hAnsi="Times New Roman" w:cs="Times New Roman"/>
          <w:b/>
          <w:bCs/>
          <w:color w:val="000000" w:themeColor="text1"/>
          <w:szCs w:val="24"/>
        </w:rPr>
        <w:t>thematic legal analysis</w:t>
      </w:r>
      <w:r w:rsidRPr="00AB5112">
        <w:rPr>
          <w:rFonts w:ascii="Times New Roman" w:hAnsi="Times New Roman" w:cs="Times New Roman"/>
          <w:color w:val="000000" w:themeColor="text1"/>
          <w:szCs w:val="24"/>
        </w:rPr>
        <w:t>. This involved identifying recurring legal themes within the literature, such as consumer protection, contractual fairness, imbalance of bargaining power, and dispute resolution mechanisms. Legal principles were examined in relation to different types of tourism contracts, including booking agreements, package tours, and liability waivers.</w:t>
      </w:r>
    </w:p>
    <w:p w14:paraId="2AC053A1" w14:textId="77777777" w:rsidR="00AB5112" w:rsidRPr="00AB5112" w:rsidRDefault="00AB5112" w:rsidP="00AB5112">
      <w:p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 xml:space="preserve">Comparative analysis was also employed to assess how contract law principles are applied across different tourism contexts. For instance, distinctions were drawn between traditional offline </w:t>
      </w:r>
      <w:r w:rsidRPr="00AB5112">
        <w:rPr>
          <w:rFonts w:ascii="Times New Roman" w:hAnsi="Times New Roman" w:cs="Times New Roman"/>
          <w:color w:val="000000" w:themeColor="text1"/>
          <w:szCs w:val="24"/>
        </w:rPr>
        <w:lastRenderedPageBreak/>
        <w:t>contracts and modern online booking agreements to highlight emerging legal challenges associated with digitalisation in tourism (Bennett &amp; Baird, 2018).</w:t>
      </w:r>
    </w:p>
    <w:p w14:paraId="2F5503BB" w14:textId="77777777" w:rsidR="00AB5112" w:rsidRPr="00AB5112" w:rsidRDefault="00AB5112" w:rsidP="00AB5112">
      <w:pPr>
        <w:spacing w:line="480" w:lineRule="auto"/>
        <w:rPr>
          <w:rFonts w:ascii="Times New Roman" w:hAnsi="Times New Roman" w:cs="Times New Roman"/>
          <w:b/>
          <w:bCs/>
          <w:color w:val="000000" w:themeColor="text1"/>
          <w:szCs w:val="24"/>
        </w:rPr>
      </w:pPr>
      <w:r w:rsidRPr="00AB5112">
        <w:rPr>
          <w:rFonts w:ascii="Times New Roman" w:hAnsi="Times New Roman" w:cs="Times New Roman"/>
          <w:b/>
          <w:bCs/>
          <w:color w:val="000000" w:themeColor="text1"/>
          <w:szCs w:val="24"/>
        </w:rPr>
        <w:t>Ethical Considerations</w:t>
      </w:r>
    </w:p>
    <w:p w14:paraId="6B7CF845" w14:textId="77777777" w:rsidR="00AB5112" w:rsidRPr="00AB5112" w:rsidRDefault="00AB5112" w:rsidP="00AB5112">
      <w:p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As this research is based entirely on secondary sources, no direct ethical risks involving human participants arise. All sources used in the study have been properly cited in accordance with APA 7th-edition guidelines to avoid plagiarism and ensure academic integrity. The study maintains objectivity by presenting balanced interpretations of legal principles and acknowledging differing scholarly perspectives.</w:t>
      </w:r>
    </w:p>
    <w:p w14:paraId="344D5904" w14:textId="77777777" w:rsidR="00AB5112" w:rsidRPr="00AB5112" w:rsidRDefault="00AB5112" w:rsidP="00AB5112">
      <w:pPr>
        <w:spacing w:line="480" w:lineRule="auto"/>
        <w:rPr>
          <w:rFonts w:ascii="Times New Roman" w:hAnsi="Times New Roman" w:cs="Times New Roman"/>
          <w:b/>
          <w:bCs/>
          <w:color w:val="000000" w:themeColor="text1"/>
          <w:szCs w:val="24"/>
        </w:rPr>
      </w:pPr>
      <w:r w:rsidRPr="00AB5112">
        <w:rPr>
          <w:rFonts w:ascii="Times New Roman" w:hAnsi="Times New Roman" w:cs="Times New Roman"/>
          <w:b/>
          <w:bCs/>
          <w:color w:val="000000" w:themeColor="text1"/>
          <w:szCs w:val="24"/>
        </w:rPr>
        <w:t>Limitations of the Methodology</w:t>
      </w:r>
    </w:p>
    <w:p w14:paraId="165CC24D" w14:textId="77777777" w:rsidR="00AB5112" w:rsidRPr="00AB5112" w:rsidRDefault="00AB5112" w:rsidP="00AB5112">
      <w:p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Despite its strengths, this methodology has certain limitations. The reliance on secondary data means that the study does not capture the lived experiences or perceptions of tourists and service providers. Additionally, the legal analysis primarily reflects perspectives from developed jurisdictions, particularly Europe and common law systems, which may limit generalisability to emerging tourism markets.</w:t>
      </w:r>
    </w:p>
    <w:p w14:paraId="7F96C143" w14:textId="77777777" w:rsidR="00AB5112" w:rsidRPr="00AB5112" w:rsidRDefault="00AB5112" w:rsidP="00AB5112">
      <w:pPr>
        <w:spacing w:line="480" w:lineRule="auto"/>
        <w:rPr>
          <w:rFonts w:ascii="Times New Roman" w:hAnsi="Times New Roman" w:cs="Times New Roman"/>
          <w:color w:val="000000" w:themeColor="text1"/>
          <w:szCs w:val="24"/>
        </w:rPr>
      </w:pPr>
      <w:r w:rsidRPr="00AB5112">
        <w:rPr>
          <w:rFonts w:ascii="Times New Roman" w:hAnsi="Times New Roman" w:cs="Times New Roman"/>
          <w:color w:val="000000" w:themeColor="text1"/>
          <w:szCs w:val="24"/>
        </w:rPr>
        <w:t>Nevertheless, doctrinal research remains highly effective for achieving the aims of this assignment, as it enables a structured and authoritative analysis of contract law’s role in regulating tourism relationships.</w:t>
      </w:r>
    </w:p>
    <w:p w14:paraId="7911B28B" w14:textId="77777777" w:rsidR="00AB5112" w:rsidRPr="00635AB0" w:rsidRDefault="00AB5112" w:rsidP="00AB5112">
      <w:pPr>
        <w:spacing w:line="480" w:lineRule="auto"/>
        <w:rPr>
          <w:rStyle w:val="Heading1Char"/>
          <w:rFonts w:ascii="Times New Roman" w:hAnsi="Times New Roman" w:cs="Times New Roman"/>
          <w:b/>
          <w:bCs/>
          <w:color w:val="000000" w:themeColor="text1"/>
          <w:sz w:val="24"/>
          <w:szCs w:val="24"/>
        </w:rPr>
      </w:pPr>
    </w:p>
    <w:p w14:paraId="66EE0528" w14:textId="77777777" w:rsidR="00AB5112" w:rsidRPr="00635AB0" w:rsidRDefault="00AB5112" w:rsidP="00AB5112">
      <w:pPr>
        <w:spacing w:line="480" w:lineRule="auto"/>
        <w:rPr>
          <w:rStyle w:val="Heading1Char"/>
          <w:rFonts w:ascii="Times New Roman" w:hAnsi="Times New Roman" w:cs="Times New Roman"/>
          <w:b/>
          <w:bCs/>
          <w:color w:val="000000" w:themeColor="text1"/>
          <w:sz w:val="24"/>
          <w:szCs w:val="24"/>
        </w:rPr>
      </w:pPr>
    </w:p>
    <w:p w14:paraId="03120DA0" w14:textId="77777777" w:rsidR="00AB5112" w:rsidRPr="00635AB0" w:rsidRDefault="00AB5112" w:rsidP="00AB5112">
      <w:pPr>
        <w:spacing w:line="480" w:lineRule="auto"/>
        <w:rPr>
          <w:rStyle w:val="Heading1Char"/>
          <w:rFonts w:ascii="Times New Roman" w:hAnsi="Times New Roman" w:cs="Times New Roman"/>
          <w:b/>
          <w:bCs/>
          <w:color w:val="000000" w:themeColor="text1"/>
          <w:sz w:val="24"/>
          <w:szCs w:val="24"/>
        </w:rPr>
      </w:pPr>
    </w:p>
    <w:p w14:paraId="5B093B2D" w14:textId="77777777" w:rsidR="00AB5112" w:rsidRPr="00635AB0" w:rsidRDefault="00AB5112" w:rsidP="00AB5112">
      <w:pPr>
        <w:spacing w:line="480" w:lineRule="auto"/>
        <w:rPr>
          <w:rStyle w:val="Heading1Char"/>
          <w:rFonts w:ascii="Times New Roman" w:hAnsi="Times New Roman" w:cs="Times New Roman"/>
          <w:b/>
          <w:bCs/>
          <w:color w:val="000000" w:themeColor="text1"/>
          <w:sz w:val="24"/>
          <w:szCs w:val="24"/>
        </w:rPr>
      </w:pPr>
    </w:p>
    <w:p w14:paraId="33BFA5F9" w14:textId="66A174C3" w:rsidR="00C82410" w:rsidRPr="00635AB0" w:rsidRDefault="00A433D7" w:rsidP="00AB5112">
      <w:pPr>
        <w:spacing w:line="480" w:lineRule="auto"/>
        <w:rPr>
          <w:rStyle w:val="Heading1Char"/>
          <w:rFonts w:ascii="Times New Roman" w:hAnsi="Times New Roman" w:cs="Times New Roman"/>
          <w:b/>
          <w:bCs/>
          <w:color w:val="000000" w:themeColor="text1"/>
          <w:sz w:val="24"/>
          <w:szCs w:val="24"/>
        </w:rPr>
      </w:pPr>
      <w:r w:rsidRPr="00635AB0">
        <w:rPr>
          <w:rStyle w:val="Heading1Char"/>
          <w:rFonts w:ascii="Times New Roman" w:hAnsi="Times New Roman" w:cs="Times New Roman"/>
          <w:b/>
          <w:bCs/>
          <w:color w:val="000000" w:themeColor="text1"/>
          <w:sz w:val="24"/>
          <w:szCs w:val="24"/>
        </w:rPr>
        <w:lastRenderedPageBreak/>
        <w:t>4</w:t>
      </w:r>
      <w:r w:rsidR="00582227" w:rsidRPr="00635AB0">
        <w:rPr>
          <w:rStyle w:val="Heading1Char"/>
          <w:rFonts w:ascii="Times New Roman" w:hAnsi="Times New Roman" w:cs="Times New Roman"/>
          <w:b/>
          <w:bCs/>
          <w:color w:val="000000" w:themeColor="text1"/>
          <w:sz w:val="24"/>
          <w:szCs w:val="24"/>
        </w:rPr>
        <w:t xml:space="preserve"> </w:t>
      </w:r>
      <w:r w:rsidR="00160E9C" w:rsidRPr="00635AB0">
        <w:rPr>
          <w:rStyle w:val="Heading1Char"/>
          <w:rFonts w:ascii="Times New Roman" w:hAnsi="Times New Roman" w:cs="Times New Roman"/>
          <w:b/>
          <w:bCs/>
          <w:color w:val="000000" w:themeColor="text1"/>
          <w:sz w:val="24"/>
          <w:szCs w:val="24"/>
        </w:rPr>
        <w:t>Finding</w:t>
      </w:r>
      <w:bookmarkEnd w:id="4"/>
    </w:p>
    <w:p w14:paraId="34A3728E" w14:textId="77777777" w:rsidR="00763D1C" w:rsidRPr="00763D1C" w:rsidRDefault="00763D1C" w:rsidP="00763D1C">
      <w:pPr>
        <w:spacing w:line="480" w:lineRule="auto"/>
        <w:rPr>
          <w:rFonts w:ascii="Times New Roman" w:hAnsi="Times New Roman" w:cs="Times New Roman"/>
          <w:color w:val="000000" w:themeColor="text1"/>
          <w:szCs w:val="24"/>
        </w:rPr>
      </w:pPr>
      <w:bookmarkStart w:id="5" w:name="_Toc221200719"/>
      <w:r w:rsidRPr="00763D1C">
        <w:rPr>
          <w:rFonts w:ascii="Times New Roman" w:hAnsi="Times New Roman" w:cs="Times New Roman"/>
          <w:color w:val="000000" w:themeColor="text1"/>
          <w:szCs w:val="24"/>
        </w:rPr>
        <w:t>The analysis of legal literature, statutory frameworks, and case law reveals that contract law plays a central and indispensable role in regulating relationships within the tourism industry. The findings indicate that tourism transactions are overwhelmingly contractual and that disputes frequently arise due to ambiguity, imbalance of power, and failure to meet contractual obligations. These findings are discussed under key thematic areas derived from the doctrinal analysis.</w:t>
      </w:r>
    </w:p>
    <w:p w14:paraId="7D6E7BFC" w14:textId="77777777" w:rsidR="00763D1C" w:rsidRPr="00763D1C" w:rsidRDefault="00763D1C" w:rsidP="00763D1C">
      <w:pPr>
        <w:spacing w:line="480" w:lineRule="auto"/>
        <w:rPr>
          <w:rFonts w:ascii="Times New Roman" w:hAnsi="Times New Roman" w:cs="Times New Roman"/>
          <w:b/>
          <w:bCs/>
          <w:color w:val="000000" w:themeColor="text1"/>
          <w:szCs w:val="24"/>
        </w:rPr>
      </w:pPr>
      <w:r w:rsidRPr="00763D1C">
        <w:rPr>
          <w:rFonts w:ascii="Times New Roman" w:hAnsi="Times New Roman" w:cs="Times New Roman"/>
          <w:b/>
          <w:bCs/>
          <w:color w:val="000000" w:themeColor="text1"/>
          <w:szCs w:val="24"/>
        </w:rPr>
        <w:t>Prevalence of Standard-Form Contracts in Tourism</w:t>
      </w:r>
    </w:p>
    <w:p w14:paraId="129780EA" w14:textId="77777777" w:rsidR="00763D1C" w:rsidRPr="00763D1C" w:rsidRDefault="00763D1C" w:rsidP="00763D1C">
      <w:pPr>
        <w:spacing w:line="480" w:lineRule="auto"/>
        <w:rPr>
          <w:rFonts w:ascii="Times New Roman" w:hAnsi="Times New Roman" w:cs="Times New Roman"/>
          <w:color w:val="000000" w:themeColor="text1"/>
          <w:szCs w:val="24"/>
        </w:rPr>
      </w:pPr>
      <w:r w:rsidRPr="00763D1C">
        <w:rPr>
          <w:rFonts w:ascii="Times New Roman" w:hAnsi="Times New Roman" w:cs="Times New Roman"/>
          <w:color w:val="000000" w:themeColor="text1"/>
          <w:szCs w:val="24"/>
        </w:rPr>
        <w:t>One of the most significant findings is the widespread use of standard-form contracts across the tourism sector. Airlines, hotels, online travel agencies, and tour operators commonly rely on pre-drafted contractual terms to govern transactions. While these contracts enhance operational efficiency and reduce administrative costs for service providers, the literature indicates that they often place consumers at a disadvantage due to limited opportunity for negotiation (Poole, 2020). Courts and regulators have increasingly scrutinised such contracts, particularly where terms are complex, unclear, or disproportionately favour service providers.</w:t>
      </w:r>
    </w:p>
    <w:p w14:paraId="593948FA" w14:textId="77777777" w:rsidR="00763D1C" w:rsidRPr="00763D1C" w:rsidRDefault="00763D1C" w:rsidP="00763D1C">
      <w:pPr>
        <w:spacing w:line="480" w:lineRule="auto"/>
        <w:rPr>
          <w:rFonts w:ascii="Times New Roman" w:hAnsi="Times New Roman" w:cs="Times New Roman"/>
          <w:b/>
          <w:bCs/>
          <w:color w:val="000000" w:themeColor="text1"/>
          <w:szCs w:val="24"/>
        </w:rPr>
      </w:pPr>
      <w:r w:rsidRPr="00763D1C">
        <w:rPr>
          <w:rFonts w:ascii="Times New Roman" w:hAnsi="Times New Roman" w:cs="Times New Roman"/>
          <w:b/>
          <w:bCs/>
          <w:color w:val="000000" w:themeColor="text1"/>
          <w:szCs w:val="24"/>
        </w:rPr>
        <w:t>Frequent Breaches Related to Performance and Misrepresentation</w:t>
      </w:r>
    </w:p>
    <w:p w14:paraId="05B192F7" w14:textId="77777777" w:rsidR="00763D1C" w:rsidRPr="00763D1C" w:rsidRDefault="00763D1C" w:rsidP="00763D1C">
      <w:pPr>
        <w:spacing w:line="480" w:lineRule="auto"/>
        <w:rPr>
          <w:rFonts w:ascii="Times New Roman" w:hAnsi="Times New Roman" w:cs="Times New Roman"/>
          <w:color w:val="000000" w:themeColor="text1"/>
          <w:szCs w:val="24"/>
        </w:rPr>
      </w:pPr>
      <w:r w:rsidRPr="00763D1C">
        <w:rPr>
          <w:rFonts w:ascii="Times New Roman" w:hAnsi="Times New Roman" w:cs="Times New Roman"/>
          <w:color w:val="000000" w:themeColor="text1"/>
          <w:szCs w:val="24"/>
        </w:rPr>
        <w:t>The findings show that a large proportion of tourism contract disputes arise from failure to perform services as promised. Common examples include cancelled flights, downgraded accommodation, misleading advertising, and incomplete delivery of package tours. In many cases, courts have found that promotional materials and online descriptions form part of the contractual offer, making service providers legally accountable for inaccuracies (Dickerson, 2021). This highlights the legal significance of representations made prior to contract formation.</w:t>
      </w:r>
    </w:p>
    <w:p w14:paraId="085FAFAD" w14:textId="77777777" w:rsidR="00763D1C" w:rsidRPr="00763D1C" w:rsidRDefault="00763D1C" w:rsidP="00763D1C">
      <w:pPr>
        <w:spacing w:line="480" w:lineRule="auto"/>
        <w:rPr>
          <w:rFonts w:ascii="Times New Roman" w:hAnsi="Times New Roman" w:cs="Times New Roman"/>
          <w:b/>
          <w:bCs/>
          <w:color w:val="000000" w:themeColor="text1"/>
          <w:szCs w:val="24"/>
        </w:rPr>
      </w:pPr>
      <w:r w:rsidRPr="00763D1C">
        <w:rPr>
          <w:rFonts w:ascii="Times New Roman" w:hAnsi="Times New Roman" w:cs="Times New Roman"/>
          <w:b/>
          <w:bCs/>
          <w:color w:val="000000" w:themeColor="text1"/>
          <w:szCs w:val="24"/>
        </w:rPr>
        <w:lastRenderedPageBreak/>
        <w:t>Imbalance of Rights and Obligations</w:t>
      </w:r>
    </w:p>
    <w:p w14:paraId="59E33E30" w14:textId="77777777" w:rsidR="00763D1C" w:rsidRPr="00763D1C" w:rsidRDefault="00763D1C" w:rsidP="00763D1C">
      <w:pPr>
        <w:spacing w:line="480" w:lineRule="auto"/>
        <w:rPr>
          <w:rFonts w:ascii="Times New Roman" w:hAnsi="Times New Roman" w:cs="Times New Roman"/>
          <w:color w:val="000000" w:themeColor="text1"/>
          <w:szCs w:val="24"/>
        </w:rPr>
      </w:pPr>
      <w:r w:rsidRPr="00763D1C">
        <w:rPr>
          <w:rFonts w:ascii="Times New Roman" w:hAnsi="Times New Roman" w:cs="Times New Roman"/>
          <w:color w:val="000000" w:themeColor="text1"/>
          <w:szCs w:val="24"/>
        </w:rPr>
        <w:t>Another key finding is the imbalance between the rights and obligations of tourism service providers and consumers. Service providers often include limitation of liability clauses, strict cancellation policies, and exclusion clauses within contracts. While such clauses aim to manage commercial risk, legal analysis reveals that courts frequently invalidate them when they are deemed unfair, unclear, or contrary to consumer protection laws (European Commission, 2022). This demonstrates a judicial trend towards safeguarding consumer interests, particularly in mass tourism markets.</w:t>
      </w:r>
    </w:p>
    <w:p w14:paraId="7DD59612" w14:textId="77777777" w:rsidR="00763D1C" w:rsidRPr="00763D1C" w:rsidRDefault="00763D1C" w:rsidP="00763D1C">
      <w:pPr>
        <w:spacing w:line="480" w:lineRule="auto"/>
        <w:rPr>
          <w:rFonts w:ascii="Times New Roman" w:hAnsi="Times New Roman" w:cs="Times New Roman"/>
          <w:b/>
          <w:bCs/>
          <w:color w:val="000000" w:themeColor="text1"/>
          <w:szCs w:val="24"/>
        </w:rPr>
      </w:pPr>
      <w:r w:rsidRPr="00763D1C">
        <w:rPr>
          <w:rFonts w:ascii="Times New Roman" w:hAnsi="Times New Roman" w:cs="Times New Roman"/>
          <w:b/>
          <w:bCs/>
          <w:color w:val="000000" w:themeColor="text1"/>
          <w:szCs w:val="24"/>
        </w:rPr>
        <w:t>Importance of Implied Contractual Terms</w:t>
      </w:r>
    </w:p>
    <w:p w14:paraId="05EB1A31" w14:textId="77777777" w:rsidR="00763D1C" w:rsidRPr="00763D1C" w:rsidRDefault="00763D1C" w:rsidP="00763D1C">
      <w:pPr>
        <w:spacing w:line="480" w:lineRule="auto"/>
        <w:rPr>
          <w:rFonts w:ascii="Times New Roman" w:hAnsi="Times New Roman" w:cs="Times New Roman"/>
          <w:color w:val="000000" w:themeColor="text1"/>
          <w:szCs w:val="24"/>
        </w:rPr>
      </w:pPr>
      <w:r w:rsidRPr="00763D1C">
        <w:rPr>
          <w:rFonts w:ascii="Times New Roman" w:hAnsi="Times New Roman" w:cs="Times New Roman"/>
          <w:color w:val="000000" w:themeColor="text1"/>
          <w:szCs w:val="24"/>
        </w:rPr>
        <w:t>The research identifies implied terms as a crucial mechanism for protecting tourists. Even when contracts do not explicitly state obligations related to safety, quality, or reasonable care, courts often imply such terms to ensure fairness and accountability. Findings from case law analysis indicate that implied terms have been instrumental in holding tourism operators liable in situations involving unsafe facilities or inadequate service standards (Poole, 2020). This reinforces the protective function of contract law in tourism.</w:t>
      </w:r>
    </w:p>
    <w:p w14:paraId="275881C6" w14:textId="77777777" w:rsidR="00763D1C" w:rsidRPr="00763D1C" w:rsidRDefault="00763D1C" w:rsidP="00763D1C">
      <w:pPr>
        <w:spacing w:line="480" w:lineRule="auto"/>
        <w:rPr>
          <w:rFonts w:ascii="Times New Roman" w:hAnsi="Times New Roman" w:cs="Times New Roman"/>
          <w:b/>
          <w:bCs/>
          <w:color w:val="000000" w:themeColor="text1"/>
          <w:szCs w:val="24"/>
        </w:rPr>
      </w:pPr>
      <w:r w:rsidRPr="00763D1C">
        <w:rPr>
          <w:rFonts w:ascii="Times New Roman" w:hAnsi="Times New Roman" w:cs="Times New Roman"/>
          <w:b/>
          <w:bCs/>
          <w:color w:val="000000" w:themeColor="text1"/>
          <w:szCs w:val="24"/>
        </w:rPr>
        <w:t>Regulatory Influence on Tourism Contracts</w:t>
      </w:r>
    </w:p>
    <w:p w14:paraId="097756B5" w14:textId="77777777" w:rsidR="00763D1C" w:rsidRPr="00763D1C" w:rsidRDefault="00763D1C" w:rsidP="00763D1C">
      <w:pPr>
        <w:spacing w:line="480" w:lineRule="auto"/>
        <w:rPr>
          <w:rFonts w:ascii="Times New Roman" w:hAnsi="Times New Roman" w:cs="Times New Roman"/>
          <w:color w:val="000000" w:themeColor="text1"/>
          <w:szCs w:val="24"/>
        </w:rPr>
      </w:pPr>
      <w:r w:rsidRPr="00763D1C">
        <w:rPr>
          <w:rFonts w:ascii="Times New Roman" w:hAnsi="Times New Roman" w:cs="Times New Roman"/>
          <w:color w:val="000000" w:themeColor="text1"/>
          <w:szCs w:val="24"/>
        </w:rPr>
        <w:t xml:space="preserve">The findings further demonstrate that regulatory frameworks significantly shape tourism contracts. The EU Package Travel Directive, for example, imposes strict obligations on tour organisers, making them responsible for the overall performance of package holidays regardless of third-party involvement. This has strengthened consumer rights related to refunds, compensation, and assistance during disruptions (European Commission, 2022). Such </w:t>
      </w:r>
      <w:r w:rsidRPr="00763D1C">
        <w:rPr>
          <w:rFonts w:ascii="Times New Roman" w:hAnsi="Times New Roman" w:cs="Times New Roman"/>
          <w:color w:val="000000" w:themeColor="text1"/>
          <w:szCs w:val="24"/>
        </w:rPr>
        <w:lastRenderedPageBreak/>
        <w:t>regulations have reduced legal uncertainty and improved accountability across the tourism supply chain.</w:t>
      </w:r>
    </w:p>
    <w:p w14:paraId="4246260F" w14:textId="77777777" w:rsidR="00763D1C" w:rsidRPr="00763D1C" w:rsidRDefault="00763D1C" w:rsidP="00763D1C">
      <w:pPr>
        <w:spacing w:line="480" w:lineRule="auto"/>
        <w:rPr>
          <w:rFonts w:ascii="Times New Roman" w:hAnsi="Times New Roman" w:cs="Times New Roman"/>
          <w:b/>
          <w:bCs/>
          <w:color w:val="000000" w:themeColor="text1"/>
          <w:szCs w:val="24"/>
        </w:rPr>
      </w:pPr>
      <w:r w:rsidRPr="00763D1C">
        <w:rPr>
          <w:rFonts w:ascii="Times New Roman" w:hAnsi="Times New Roman" w:cs="Times New Roman"/>
          <w:b/>
          <w:bCs/>
          <w:color w:val="000000" w:themeColor="text1"/>
          <w:szCs w:val="24"/>
        </w:rPr>
        <w:t>Growth of Dispute Resolution Mechanisms</w:t>
      </w:r>
    </w:p>
    <w:p w14:paraId="182EF228" w14:textId="77777777" w:rsidR="00763D1C" w:rsidRPr="00763D1C" w:rsidRDefault="00763D1C" w:rsidP="00763D1C">
      <w:pPr>
        <w:spacing w:line="480" w:lineRule="auto"/>
        <w:rPr>
          <w:rFonts w:ascii="Times New Roman" w:hAnsi="Times New Roman" w:cs="Times New Roman"/>
          <w:color w:val="000000" w:themeColor="text1"/>
          <w:szCs w:val="24"/>
        </w:rPr>
      </w:pPr>
      <w:r w:rsidRPr="00763D1C">
        <w:rPr>
          <w:rFonts w:ascii="Times New Roman" w:hAnsi="Times New Roman" w:cs="Times New Roman"/>
          <w:color w:val="000000" w:themeColor="text1"/>
          <w:szCs w:val="24"/>
        </w:rPr>
        <w:t>The analysis also reveals an increasing reliance on alternative dispute resolution (ADR) mechanisms in tourism contracts. Arbitration and mediation clauses are commonly embedded in international travel agreements. While ADR offers efficiency and cost-effectiveness, findings indicate concerns regarding accessibility and fairness, particularly when consumers are required to resolve disputes in foreign jurisdictions (Dickerson, 2021). This raises questions about procedural justice and informed consent in tourism contracts.</w:t>
      </w:r>
    </w:p>
    <w:p w14:paraId="5C0CA0CD" w14:textId="77777777" w:rsidR="00763D1C" w:rsidRPr="00763D1C" w:rsidRDefault="00763D1C" w:rsidP="00763D1C">
      <w:pPr>
        <w:spacing w:line="480" w:lineRule="auto"/>
        <w:rPr>
          <w:rFonts w:ascii="Times New Roman" w:hAnsi="Times New Roman" w:cs="Times New Roman"/>
          <w:b/>
          <w:bCs/>
          <w:color w:val="000000" w:themeColor="text1"/>
          <w:szCs w:val="24"/>
        </w:rPr>
      </w:pPr>
      <w:r w:rsidRPr="00763D1C">
        <w:rPr>
          <w:rFonts w:ascii="Times New Roman" w:hAnsi="Times New Roman" w:cs="Times New Roman"/>
          <w:b/>
          <w:bCs/>
          <w:color w:val="000000" w:themeColor="text1"/>
          <w:szCs w:val="24"/>
        </w:rPr>
        <w:t>Impact of External Events on Contractual Stability</w:t>
      </w:r>
    </w:p>
    <w:p w14:paraId="6B81C21F" w14:textId="77777777" w:rsidR="00763D1C" w:rsidRPr="00763D1C" w:rsidRDefault="00763D1C" w:rsidP="00763D1C">
      <w:pPr>
        <w:spacing w:line="480" w:lineRule="auto"/>
        <w:rPr>
          <w:rFonts w:ascii="Times New Roman" w:hAnsi="Times New Roman" w:cs="Times New Roman"/>
          <w:color w:val="000000" w:themeColor="text1"/>
          <w:szCs w:val="24"/>
        </w:rPr>
      </w:pPr>
      <w:r w:rsidRPr="00763D1C">
        <w:rPr>
          <w:rFonts w:ascii="Times New Roman" w:hAnsi="Times New Roman" w:cs="Times New Roman"/>
          <w:color w:val="000000" w:themeColor="text1"/>
          <w:szCs w:val="24"/>
        </w:rPr>
        <w:t>Finally, the findings highlight how external events, such as global health crises, significantly impact tourism contracts. The COVID-19 pandemic exposed weaknesses in contractual risk allocation, particularly regarding cancellations and refunds. Courts and regulators adopted varied interpretations of force majeure and frustration doctrines, emphasising the need for clearer contractual drafting and equitable risk sharing (Poole, 2020).</w:t>
      </w:r>
    </w:p>
    <w:p w14:paraId="227D6D90" w14:textId="77777777" w:rsidR="00763D1C" w:rsidRPr="00635AB0" w:rsidRDefault="00763D1C" w:rsidP="008C18CC">
      <w:pPr>
        <w:spacing w:line="480" w:lineRule="auto"/>
        <w:rPr>
          <w:rStyle w:val="Heading1Char"/>
          <w:rFonts w:ascii="Times New Roman" w:hAnsi="Times New Roman" w:cs="Times New Roman"/>
          <w:b/>
          <w:bCs/>
          <w:color w:val="000000" w:themeColor="text1"/>
          <w:sz w:val="24"/>
          <w:szCs w:val="24"/>
        </w:rPr>
      </w:pPr>
    </w:p>
    <w:p w14:paraId="0F7E0727" w14:textId="77777777" w:rsidR="00763D1C" w:rsidRPr="00635AB0" w:rsidRDefault="00763D1C" w:rsidP="008C18CC">
      <w:pPr>
        <w:spacing w:line="480" w:lineRule="auto"/>
        <w:rPr>
          <w:rStyle w:val="Heading1Char"/>
          <w:rFonts w:ascii="Times New Roman" w:hAnsi="Times New Roman" w:cs="Times New Roman"/>
          <w:b/>
          <w:bCs/>
          <w:color w:val="000000" w:themeColor="text1"/>
          <w:sz w:val="24"/>
          <w:szCs w:val="24"/>
        </w:rPr>
      </w:pPr>
    </w:p>
    <w:p w14:paraId="1E57F87D" w14:textId="77777777" w:rsidR="00763D1C" w:rsidRPr="00635AB0" w:rsidRDefault="00763D1C" w:rsidP="008C18CC">
      <w:pPr>
        <w:spacing w:line="480" w:lineRule="auto"/>
        <w:rPr>
          <w:rStyle w:val="Heading1Char"/>
          <w:rFonts w:ascii="Times New Roman" w:hAnsi="Times New Roman" w:cs="Times New Roman"/>
          <w:b/>
          <w:bCs/>
          <w:color w:val="000000" w:themeColor="text1"/>
          <w:sz w:val="24"/>
          <w:szCs w:val="24"/>
        </w:rPr>
      </w:pPr>
    </w:p>
    <w:p w14:paraId="6F116D5F" w14:textId="77777777" w:rsidR="00763D1C" w:rsidRPr="00635AB0" w:rsidRDefault="00763D1C" w:rsidP="008C18CC">
      <w:pPr>
        <w:spacing w:line="480" w:lineRule="auto"/>
        <w:rPr>
          <w:rStyle w:val="Heading1Char"/>
          <w:rFonts w:ascii="Times New Roman" w:hAnsi="Times New Roman" w:cs="Times New Roman"/>
          <w:b/>
          <w:bCs/>
          <w:color w:val="000000" w:themeColor="text1"/>
          <w:sz w:val="24"/>
          <w:szCs w:val="24"/>
        </w:rPr>
      </w:pPr>
    </w:p>
    <w:p w14:paraId="649559CB" w14:textId="77777777" w:rsidR="00763D1C" w:rsidRPr="00635AB0" w:rsidRDefault="00763D1C" w:rsidP="008C18CC">
      <w:pPr>
        <w:spacing w:line="480" w:lineRule="auto"/>
        <w:rPr>
          <w:rStyle w:val="Heading1Char"/>
          <w:rFonts w:ascii="Times New Roman" w:hAnsi="Times New Roman" w:cs="Times New Roman"/>
          <w:b/>
          <w:bCs/>
          <w:color w:val="000000" w:themeColor="text1"/>
          <w:sz w:val="24"/>
          <w:szCs w:val="24"/>
        </w:rPr>
      </w:pPr>
    </w:p>
    <w:p w14:paraId="0CD9F296" w14:textId="77777777" w:rsidR="00763D1C" w:rsidRPr="00635AB0" w:rsidRDefault="00763D1C" w:rsidP="008C18CC">
      <w:pPr>
        <w:spacing w:line="480" w:lineRule="auto"/>
        <w:rPr>
          <w:rStyle w:val="Heading1Char"/>
          <w:rFonts w:ascii="Times New Roman" w:hAnsi="Times New Roman" w:cs="Times New Roman"/>
          <w:b/>
          <w:bCs/>
          <w:color w:val="000000" w:themeColor="text1"/>
          <w:sz w:val="24"/>
          <w:szCs w:val="24"/>
        </w:rPr>
      </w:pPr>
    </w:p>
    <w:p w14:paraId="1AC31556" w14:textId="77777777" w:rsidR="00825AA5" w:rsidRPr="00635AB0" w:rsidRDefault="00496E55" w:rsidP="00825AA5">
      <w:pPr>
        <w:spacing w:line="480" w:lineRule="auto"/>
        <w:rPr>
          <w:rFonts w:ascii="Times New Roman" w:hAnsi="Times New Roman" w:cs="Times New Roman"/>
          <w:color w:val="000000" w:themeColor="text1"/>
          <w:szCs w:val="24"/>
        </w:rPr>
      </w:pPr>
      <w:r w:rsidRPr="00635AB0">
        <w:rPr>
          <w:rStyle w:val="Heading1Char"/>
          <w:rFonts w:ascii="Times New Roman" w:hAnsi="Times New Roman" w:cs="Times New Roman"/>
          <w:b/>
          <w:bCs/>
          <w:color w:val="000000" w:themeColor="text1"/>
          <w:sz w:val="24"/>
          <w:szCs w:val="24"/>
        </w:rPr>
        <w:lastRenderedPageBreak/>
        <w:t>5</w:t>
      </w:r>
      <w:r w:rsidR="00F11085" w:rsidRPr="00635AB0">
        <w:rPr>
          <w:rStyle w:val="Heading1Char"/>
          <w:rFonts w:ascii="Times New Roman" w:hAnsi="Times New Roman" w:cs="Times New Roman"/>
          <w:b/>
          <w:bCs/>
          <w:color w:val="000000" w:themeColor="text1"/>
          <w:sz w:val="24"/>
          <w:szCs w:val="24"/>
        </w:rPr>
        <w:t>. Discussion</w:t>
      </w:r>
      <w:bookmarkEnd w:id="5"/>
      <w:r w:rsidR="00F11085" w:rsidRPr="00635AB0">
        <w:rPr>
          <w:rFonts w:ascii="Times New Roman" w:hAnsi="Times New Roman" w:cs="Times New Roman"/>
          <w:color w:val="000000" w:themeColor="text1"/>
          <w:szCs w:val="24"/>
        </w:rPr>
        <w:t xml:space="preserve"> </w:t>
      </w:r>
      <w:r w:rsidR="00F11085" w:rsidRPr="00635AB0">
        <w:rPr>
          <w:rFonts w:ascii="Times New Roman" w:hAnsi="Times New Roman" w:cs="Times New Roman"/>
          <w:color w:val="000000" w:themeColor="text1"/>
          <w:szCs w:val="24"/>
        </w:rPr>
        <w:br/>
      </w:r>
      <w:r w:rsidR="00825AA5" w:rsidRPr="00635AB0">
        <w:rPr>
          <w:rFonts w:ascii="Times New Roman" w:hAnsi="Times New Roman" w:cs="Times New Roman"/>
          <w:color w:val="000000" w:themeColor="text1"/>
          <w:szCs w:val="24"/>
        </w:rPr>
        <w:t>The findings of this study reaffirm the central role of contract law in structuring and regulating relationships within the tourism industry. When interpreted alongside existing literature, the results demonstrate that contract law not only facilitates commercial efficiency but also serves as a critical mechanism for consumer protection in an industry characterised by advance payments, service uncertainty, and cross-border transactions (Dickerson, 2021). The discussion below critically evaluates these findings in relation to established legal principles and scholarly debates.</w:t>
      </w:r>
    </w:p>
    <w:p w14:paraId="49164BE0" w14:textId="77777777" w:rsidR="00825AA5" w:rsidRPr="00825AA5" w:rsidRDefault="00825AA5" w:rsidP="00825AA5">
      <w:pPr>
        <w:spacing w:line="480" w:lineRule="auto"/>
        <w:rPr>
          <w:rFonts w:ascii="Times New Roman" w:hAnsi="Times New Roman" w:cs="Times New Roman"/>
          <w:color w:val="000000" w:themeColor="text1"/>
          <w:szCs w:val="24"/>
        </w:rPr>
      </w:pPr>
      <w:r w:rsidRPr="00825AA5">
        <w:rPr>
          <w:rFonts w:ascii="Times New Roman" w:hAnsi="Times New Roman" w:cs="Times New Roman"/>
          <w:color w:val="000000" w:themeColor="text1"/>
          <w:szCs w:val="24"/>
        </w:rPr>
        <w:t>A key issue highlighted in the findings is the dominance of standard-form contracts in tourism. While scholars acknowledge that such contracts are necessary for operational efficiency, their widespread use raises concerns about inequality of bargaining power between consumers and service providers (Poole, 2020). This imbalance is particularly evident in online booking environments, where consumers often accept terms without fully understanding their implications. The findings support the view that judicial intervention and regulatory oversight are essential to ensure fairness, aligning with previous studies that emphasise the protective function of contract law in mass tourism markets (European Commission, 2022).</w:t>
      </w:r>
    </w:p>
    <w:p w14:paraId="77699CB9" w14:textId="77777777" w:rsidR="00825AA5" w:rsidRPr="00825AA5" w:rsidRDefault="00825AA5" w:rsidP="00825AA5">
      <w:pPr>
        <w:spacing w:line="480" w:lineRule="auto"/>
        <w:rPr>
          <w:rFonts w:ascii="Times New Roman" w:hAnsi="Times New Roman" w:cs="Times New Roman"/>
          <w:color w:val="000000" w:themeColor="text1"/>
          <w:szCs w:val="24"/>
        </w:rPr>
      </w:pPr>
      <w:r w:rsidRPr="00825AA5">
        <w:rPr>
          <w:rFonts w:ascii="Times New Roman" w:hAnsi="Times New Roman" w:cs="Times New Roman"/>
          <w:color w:val="000000" w:themeColor="text1"/>
          <w:szCs w:val="24"/>
        </w:rPr>
        <w:t>The findings relating to breaches of contract due to non-performance and misrepresentation further illustrate the practical relevance of contract law. Promotional materials, online descriptions, and advertised amenities increasingly form part of the contractual offer, reinforcing service providers’ legal accountability. This supports Dickerson’s (2021) argument that modern tourism contracts extend beyond written terms to include pre-contractual representations. From a legal perspective, this development strengthens consumer rights but also increases compliance obligations for tourism businesses, requiring greater accuracy and transparency in marketing practices.</w:t>
      </w:r>
    </w:p>
    <w:p w14:paraId="29AE68EF" w14:textId="77777777" w:rsidR="00825AA5" w:rsidRPr="00825AA5" w:rsidRDefault="00825AA5" w:rsidP="00825AA5">
      <w:pPr>
        <w:spacing w:line="480" w:lineRule="auto"/>
        <w:rPr>
          <w:rFonts w:ascii="Times New Roman" w:hAnsi="Times New Roman" w:cs="Times New Roman"/>
          <w:color w:val="000000" w:themeColor="text1"/>
          <w:szCs w:val="24"/>
        </w:rPr>
      </w:pPr>
      <w:r w:rsidRPr="00825AA5">
        <w:rPr>
          <w:rFonts w:ascii="Times New Roman" w:hAnsi="Times New Roman" w:cs="Times New Roman"/>
          <w:color w:val="000000" w:themeColor="text1"/>
          <w:szCs w:val="24"/>
        </w:rPr>
        <w:lastRenderedPageBreak/>
        <w:t>Another significant area of discussion concerns the use of exclusion and limitation of liability clauses. While such clauses are intended to manage commercial risk, the findings indicate that courts frequently invalidate them when they conflict with consumer protection principles. This reflects a broader legal trend towards prioritising substantive fairness over strict contractual freedom (Poole, 2020). The implication is that tourism operators must carefully draft contractual terms to balance risk management with legal enforceability, particularly in jurisdictions with strong consumer protection regimes.</w:t>
      </w:r>
    </w:p>
    <w:p w14:paraId="22FC58E4" w14:textId="77777777" w:rsidR="00825AA5" w:rsidRPr="00825AA5" w:rsidRDefault="00825AA5" w:rsidP="00825AA5">
      <w:pPr>
        <w:spacing w:line="480" w:lineRule="auto"/>
        <w:rPr>
          <w:rFonts w:ascii="Times New Roman" w:hAnsi="Times New Roman" w:cs="Times New Roman"/>
          <w:color w:val="000000" w:themeColor="text1"/>
          <w:szCs w:val="24"/>
        </w:rPr>
      </w:pPr>
      <w:r w:rsidRPr="00825AA5">
        <w:rPr>
          <w:rFonts w:ascii="Times New Roman" w:hAnsi="Times New Roman" w:cs="Times New Roman"/>
          <w:color w:val="000000" w:themeColor="text1"/>
          <w:szCs w:val="24"/>
        </w:rPr>
        <w:t>The role of implied terms also warrants critical discussion. The findings demonstrate that implied obligations relating to safety, quality, and reasonable care have played a crucial role in addressing gaps within express contracts. This supports scholarly arguments that implied terms function as corrective tools, ensuring that contractual relationships remain fair even when express terms are inadequate (Dickerson, 2021). In the tourism context, where consumer safety is paramount, the judicial willingness to imply such terms enhances accountability and promotes higher service standards.</w:t>
      </w:r>
    </w:p>
    <w:p w14:paraId="45EAE1EB" w14:textId="77777777" w:rsidR="00825AA5" w:rsidRPr="00825AA5" w:rsidRDefault="00825AA5" w:rsidP="00825AA5">
      <w:pPr>
        <w:spacing w:line="480" w:lineRule="auto"/>
        <w:rPr>
          <w:rFonts w:ascii="Times New Roman" w:hAnsi="Times New Roman" w:cs="Times New Roman"/>
          <w:color w:val="000000" w:themeColor="text1"/>
          <w:szCs w:val="24"/>
        </w:rPr>
      </w:pPr>
      <w:r w:rsidRPr="00825AA5">
        <w:rPr>
          <w:rFonts w:ascii="Times New Roman" w:hAnsi="Times New Roman" w:cs="Times New Roman"/>
          <w:color w:val="000000" w:themeColor="text1"/>
          <w:szCs w:val="24"/>
        </w:rPr>
        <w:t>Regulatory frameworks, particularly the EU Package Travel Directive, emerge as a transformative influence on tourism contracts. The findings confirm that regulatory intervention has significantly strengthened consumer rights by imposing clear responsibilities on tour organisers. This aligns with academic literature advocating for harmonised legal standards to address the fragmented nature of tourism supply chains (European Commission, 2022). However, the discussion also highlights challenges in implementation, especially for small and medium-sized tourism enterprises facing increased compliance costs.</w:t>
      </w:r>
    </w:p>
    <w:p w14:paraId="5EE9CBF6" w14:textId="77777777" w:rsidR="00825AA5" w:rsidRPr="00825AA5" w:rsidRDefault="00825AA5" w:rsidP="00825AA5">
      <w:pPr>
        <w:spacing w:line="480" w:lineRule="auto"/>
        <w:rPr>
          <w:rFonts w:ascii="Times New Roman" w:hAnsi="Times New Roman" w:cs="Times New Roman"/>
          <w:color w:val="000000" w:themeColor="text1"/>
          <w:szCs w:val="24"/>
        </w:rPr>
      </w:pPr>
      <w:r w:rsidRPr="00825AA5">
        <w:rPr>
          <w:rFonts w:ascii="Times New Roman" w:hAnsi="Times New Roman" w:cs="Times New Roman"/>
          <w:color w:val="000000" w:themeColor="text1"/>
          <w:szCs w:val="24"/>
        </w:rPr>
        <w:t xml:space="preserve">The growing reliance on alternative dispute resolution mechanisms presents another important area of discussion. While ADR offers efficiency and reduces litigation costs, concerns remain </w:t>
      </w:r>
      <w:r w:rsidRPr="00825AA5">
        <w:rPr>
          <w:rFonts w:ascii="Times New Roman" w:hAnsi="Times New Roman" w:cs="Times New Roman"/>
          <w:color w:val="000000" w:themeColor="text1"/>
          <w:szCs w:val="24"/>
        </w:rPr>
        <w:lastRenderedPageBreak/>
        <w:t>regarding transparency and accessibility for consumers. Mandatory arbitration clauses, particularly in international tourism contracts, may restrict consumers’ ability to seek redress through courts (Bennett &amp; Baird, 2018). This raises critical questions about informed consent and procedural fairness, suggesting the need for clearer regulatory safeguards.</w:t>
      </w:r>
    </w:p>
    <w:p w14:paraId="4A42832B" w14:textId="77777777" w:rsidR="00825AA5" w:rsidRPr="00825AA5" w:rsidRDefault="00825AA5" w:rsidP="00825AA5">
      <w:pPr>
        <w:spacing w:line="480" w:lineRule="auto"/>
        <w:rPr>
          <w:rFonts w:ascii="Times New Roman" w:hAnsi="Times New Roman" w:cs="Times New Roman"/>
          <w:color w:val="000000" w:themeColor="text1"/>
          <w:szCs w:val="24"/>
        </w:rPr>
      </w:pPr>
      <w:r w:rsidRPr="00825AA5">
        <w:rPr>
          <w:rFonts w:ascii="Times New Roman" w:hAnsi="Times New Roman" w:cs="Times New Roman"/>
          <w:color w:val="000000" w:themeColor="text1"/>
          <w:szCs w:val="24"/>
        </w:rPr>
        <w:t>Finally, the impact of external disruptions such as the COVID-19 pandemic underscores the limitations of traditional contractual frameworks in tourism. The varied judicial responses to cancellations and refunds reveal inconsistencies in the application of doctrines such as force majeure and frustration. This discussion supports calls within the literature for clearer contractual drafting and more equitable risk allocation mechanisms to enhance resilience in the tourism industry (Poole, 2020).</w:t>
      </w:r>
    </w:p>
    <w:p w14:paraId="74AEEA8D" w14:textId="77777777" w:rsidR="00825AA5" w:rsidRPr="00825AA5" w:rsidRDefault="00825AA5" w:rsidP="00825AA5">
      <w:pPr>
        <w:spacing w:line="480" w:lineRule="auto"/>
        <w:rPr>
          <w:rFonts w:ascii="Times New Roman" w:hAnsi="Times New Roman" w:cs="Times New Roman"/>
          <w:color w:val="000000" w:themeColor="text1"/>
          <w:szCs w:val="24"/>
        </w:rPr>
      </w:pPr>
      <w:r w:rsidRPr="00825AA5">
        <w:rPr>
          <w:rFonts w:ascii="Times New Roman" w:hAnsi="Times New Roman" w:cs="Times New Roman"/>
          <w:color w:val="000000" w:themeColor="text1"/>
          <w:szCs w:val="24"/>
        </w:rPr>
        <w:t>Overall, the discussion demonstrates that while contract law remains fundamental to tourism governance, its effectiveness depends on continuous adaptation to evolving market practices, technological change, and global disruptions.</w:t>
      </w:r>
    </w:p>
    <w:p w14:paraId="0087A4A1" w14:textId="75690C92" w:rsidR="002F73F5" w:rsidRPr="00635AB0" w:rsidRDefault="002F73F5" w:rsidP="002F73F5">
      <w:pPr>
        <w:spacing w:line="480" w:lineRule="auto"/>
        <w:rPr>
          <w:rFonts w:ascii="Times New Roman" w:hAnsi="Times New Roman" w:cs="Times New Roman"/>
          <w:color w:val="000000" w:themeColor="text1"/>
          <w:szCs w:val="24"/>
        </w:rPr>
      </w:pPr>
    </w:p>
    <w:p w14:paraId="1EC72906" w14:textId="77777777" w:rsidR="00825AA5" w:rsidRPr="00635AB0" w:rsidRDefault="00825AA5" w:rsidP="002F73F5">
      <w:pPr>
        <w:spacing w:line="480" w:lineRule="auto"/>
        <w:rPr>
          <w:rFonts w:ascii="Times New Roman" w:hAnsi="Times New Roman" w:cs="Times New Roman"/>
          <w:color w:val="000000" w:themeColor="text1"/>
          <w:szCs w:val="24"/>
        </w:rPr>
      </w:pPr>
    </w:p>
    <w:p w14:paraId="428CD55F" w14:textId="77777777" w:rsidR="00825AA5" w:rsidRPr="00635AB0" w:rsidRDefault="00825AA5" w:rsidP="002F73F5">
      <w:pPr>
        <w:spacing w:line="480" w:lineRule="auto"/>
        <w:rPr>
          <w:rFonts w:ascii="Times New Roman" w:hAnsi="Times New Roman" w:cs="Times New Roman"/>
          <w:color w:val="000000" w:themeColor="text1"/>
          <w:szCs w:val="24"/>
        </w:rPr>
      </w:pPr>
    </w:p>
    <w:p w14:paraId="1C269F19" w14:textId="77777777" w:rsidR="00825AA5" w:rsidRPr="00635AB0" w:rsidRDefault="00825AA5" w:rsidP="002F73F5">
      <w:pPr>
        <w:spacing w:line="480" w:lineRule="auto"/>
        <w:rPr>
          <w:rFonts w:ascii="Times New Roman" w:hAnsi="Times New Roman" w:cs="Times New Roman"/>
          <w:color w:val="000000" w:themeColor="text1"/>
          <w:szCs w:val="24"/>
        </w:rPr>
      </w:pPr>
    </w:p>
    <w:p w14:paraId="1FF13E4C" w14:textId="77777777" w:rsidR="00825AA5" w:rsidRPr="00635AB0" w:rsidRDefault="00825AA5" w:rsidP="002F73F5">
      <w:pPr>
        <w:spacing w:line="480" w:lineRule="auto"/>
        <w:rPr>
          <w:rFonts w:ascii="Times New Roman" w:hAnsi="Times New Roman" w:cs="Times New Roman"/>
          <w:color w:val="000000" w:themeColor="text1"/>
          <w:szCs w:val="24"/>
        </w:rPr>
      </w:pPr>
    </w:p>
    <w:p w14:paraId="69E9907A" w14:textId="77777777" w:rsidR="002F73F5" w:rsidRPr="00635AB0" w:rsidRDefault="002F73F5" w:rsidP="002F73F5">
      <w:pPr>
        <w:spacing w:line="480" w:lineRule="auto"/>
        <w:rPr>
          <w:rFonts w:ascii="Times New Roman" w:hAnsi="Times New Roman" w:cs="Times New Roman"/>
          <w:color w:val="000000" w:themeColor="text1"/>
          <w:szCs w:val="24"/>
        </w:rPr>
      </w:pPr>
    </w:p>
    <w:p w14:paraId="650F133F" w14:textId="77777777" w:rsidR="00030EF9" w:rsidRPr="00635AB0" w:rsidRDefault="00EB264E" w:rsidP="00030EF9">
      <w:pPr>
        <w:spacing w:line="480" w:lineRule="auto"/>
        <w:rPr>
          <w:rFonts w:ascii="Times New Roman" w:hAnsi="Times New Roman" w:cs="Times New Roman"/>
          <w:color w:val="000000" w:themeColor="text1"/>
          <w:szCs w:val="24"/>
        </w:rPr>
      </w:pPr>
      <w:bookmarkStart w:id="6" w:name="_Toc221200720"/>
      <w:r w:rsidRPr="00635AB0">
        <w:rPr>
          <w:rStyle w:val="Heading1Char"/>
          <w:rFonts w:ascii="Times New Roman" w:hAnsi="Times New Roman" w:cs="Times New Roman"/>
          <w:b/>
          <w:bCs/>
          <w:color w:val="000000" w:themeColor="text1"/>
          <w:sz w:val="24"/>
          <w:szCs w:val="24"/>
        </w:rPr>
        <w:t>6</w:t>
      </w:r>
      <w:r w:rsidR="00F11085" w:rsidRPr="00635AB0">
        <w:rPr>
          <w:rStyle w:val="Heading1Char"/>
          <w:rFonts w:ascii="Times New Roman" w:hAnsi="Times New Roman" w:cs="Times New Roman"/>
          <w:b/>
          <w:bCs/>
          <w:color w:val="000000" w:themeColor="text1"/>
          <w:sz w:val="24"/>
          <w:szCs w:val="24"/>
        </w:rPr>
        <w:t>. Conclusion</w:t>
      </w:r>
      <w:bookmarkEnd w:id="6"/>
      <w:r w:rsidR="00F11085" w:rsidRPr="00635AB0">
        <w:rPr>
          <w:rFonts w:ascii="Times New Roman" w:hAnsi="Times New Roman" w:cs="Times New Roman"/>
          <w:b/>
          <w:bCs/>
          <w:color w:val="000000" w:themeColor="text1"/>
          <w:szCs w:val="24"/>
        </w:rPr>
        <w:t xml:space="preserve"> </w:t>
      </w:r>
      <w:r w:rsidR="00F11085" w:rsidRPr="00635AB0">
        <w:rPr>
          <w:rFonts w:ascii="Times New Roman" w:hAnsi="Times New Roman" w:cs="Times New Roman"/>
          <w:color w:val="000000" w:themeColor="text1"/>
          <w:szCs w:val="24"/>
        </w:rPr>
        <w:br/>
      </w:r>
      <w:r w:rsidR="00030EF9" w:rsidRPr="00635AB0">
        <w:rPr>
          <w:rFonts w:ascii="Times New Roman" w:hAnsi="Times New Roman" w:cs="Times New Roman"/>
          <w:color w:val="000000" w:themeColor="text1"/>
          <w:szCs w:val="24"/>
        </w:rPr>
        <w:t xml:space="preserve">This assignment has examined the role of contract law in the tourism industry, demonstrating </w:t>
      </w:r>
      <w:r w:rsidR="00030EF9" w:rsidRPr="00635AB0">
        <w:rPr>
          <w:rFonts w:ascii="Times New Roman" w:hAnsi="Times New Roman" w:cs="Times New Roman"/>
          <w:color w:val="000000" w:themeColor="text1"/>
          <w:szCs w:val="24"/>
        </w:rPr>
        <w:lastRenderedPageBreak/>
        <w:t>that contractual relationships form the legal foundation upon which tourism services are delivered and regulated. Given the service-based, pre-paid, and often cross-border nature of tourism transactions, contract law is essential in ensuring certainty, accountability, and fairness between service providers and consumers. The analysis has shown that core contractual principles—such as offer, acceptance, consideration, and intention to create legal relations—are central to the formation and enforceability of tourism agreements.</w:t>
      </w:r>
    </w:p>
    <w:p w14:paraId="0E623912" w14:textId="77777777" w:rsidR="00030EF9" w:rsidRPr="00030EF9" w:rsidRDefault="00030EF9" w:rsidP="00030EF9">
      <w:pPr>
        <w:spacing w:line="480" w:lineRule="auto"/>
        <w:rPr>
          <w:rFonts w:ascii="Times New Roman" w:hAnsi="Times New Roman" w:cs="Times New Roman"/>
          <w:color w:val="000000" w:themeColor="text1"/>
          <w:szCs w:val="24"/>
        </w:rPr>
      </w:pPr>
      <w:r w:rsidRPr="00030EF9">
        <w:rPr>
          <w:rFonts w:ascii="Times New Roman" w:hAnsi="Times New Roman" w:cs="Times New Roman"/>
          <w:color w:val="000000" w:themeColor="text1"/>
          <w:szCs w:val="24"/>
        </w:rPr>
        <w:t>The findings and discussion highlight that while standard-form contracts enhance efficiency within the tourism sector, they frequently create imbalances of power that necessitate judicial and regulatory intervention. Contract law, supported by consumer protection legislation and regulatory frameworks such as the EU Package Travel Directive, plays a critical role in addressing unfair terms, misrepresentation, and breaches of contract. Furthermore, the use of implied terms and remedies such as damages and refunds reinforces consumer protection and promotes higher service standards.</w:t>
      </w:r>
    </w:p>
    <w:p w14:paraId="69343191" w14:textId="77777777" w:rsidR="00030EF9" w:rsidRPr="00030EF9" w:rsidRDefault="00030EF9" w:rsidP="00030EF9">
      <w:pPr>
        <w:spacing w:line="480" w:lineRule="auto"/>
        <w:rPr>
          <w:rFonts w:ascii="Times New Roman" w:hAnsi="Times New Roman" w:cs="Times New Roman"/>
          <w:color w:val="000000" w:themeColor="text1"/>
          <w:szCs w:val="24"/>
        </w:rPr>
      </w:pPr>
      <w:r w:rsidRPr="00030EF9">
        <w:rPr>
          <w:rFonts w:ascii="Times New Roman" w:hAnsi="Times New Roman" w:cs="Times New Roman"/>
          <w:color w:val="000000" w:themeColor="text1"/>
          <w:szCs w:val="24"/>
        </w:rPr>
        <w:t>Overall, the study confirms that contract law is not merely a commercial tool but a vital mechanism for safeguarding consumer rights, maintaining trust, and ensuring the sustainable operation of the tourism industry. As tourism continues to evolve through digitalisation and global disruptions, contract law must adapt to remain effective and equitable.</w:t>
      </w:r>
    </w:p>
    <w:p w14:paraId="7A3B17D3" w14:textId="125E7333" w:rsidR="002F73F5" w:rsidRPr="00635AB0" w:rsidRDefault="002F73F5" w:rsidP="00030EF9">
      <w:pPr>
        <w:spacing w:line="480" w:lineRule="auto"/>
        <w:rPr>
          <w:rFonts w:ascii="Times New Roman" w:hAnsi="Times New Roman" w:cs="Times New Roman"/>
          <w:color w:val="000000" w:themeColor="text1"/>
          <w:szCs w:val="24"/>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3B24A22F" w14:textId="77777777" w:rsidR="00092BBD" w:rsidRPr="00635AB0" w:rsidRDefault="00092BBD" w:rsidP="00013DBD">
      <w:pPr>
        <w:spacing w:line="480" w:lineRule="auto"/>
        <w:rPr>
          <w:rFonts w:ascii="Times New Roman" w:hAnsi="Times New Roman" w:cs="Times New Roman"/>
          <w:color w:val="000000" w:themeColor="text1"/>
          <w:szCs w:val="24"/>
          <w:lang w:val="en-US"/>
        </w:rPr>
      </w:pPr>
    </w:p>
    <w:p w14:paraId="0881047A" w14:textId="7810E1B7" w:rsidR="004D7D13" w:rsidRPr="00635AB0" w:rsidRDefault="004D7D13" w:rsidP="00013DBD">
      <w:pPr>
        <w:pStyle w:val="Heading1"/>
        <w:spacing w:line="480" w:lineRule="auto"/>
        <w:rPr>
          <w:rFonts w:ascii="Times New Roman" w:hAnsi="Times New Roman" w:cs="Times New Roman"/>
          <w:b/>
          <w:bCs/>
          <w:color w:val="000000" w:themeColor="text1"/>
          <w:sz w:val="24"/>
          <w:szCs w:val="24"/>
        </w:rPr>
      </w:pPr>
      <w:bookmarkStart w:id="7" w:name="_Toc221200721"/>
      <w:r w:rsidRPr="00635AB0">
        <w:rPr>
          <w:rFonts w:ascii="Times New Roman" w:hAnsi="Times New Roman" w:cs="Times New Roman"/>
          <w:b/>
          <w:bCs/>
          <w:color w:val="000000" w:themeColor="text1"/>
          <w:sz w:val="24"/>
          <w:szCs w:val="24"/>
        </w:rPr>
        <w:lastRenderedPageBreak/>
        <w:t>Reference List</w:t>
      </w:r>
      <w:bookmarkEnd w:id="7"/>
      <w:r w:rsidRPr="00635AB0">
        <w:rPr>
          <w:rFonts w:ascii="Times New Roman" w:hAnsi="Times New Roman" w:cs="Times New Roman"/>
          <w:b/>
          <w:bCs/>
          <w:color w:val="000000" w:themeColor="text1"/>
          <w:sz w:val="24"/>
          <w:szCs w:val="24"/>
        </w:rPr>
        <w:t xml:space="preserve"> </w:t>
      </w:r>
    </w:p>
    <w:p w14:paraId="0A72BA34" w14:textId="77777777" w:rsidR="00635AB0" w:rsidRPr="00635AB0" w:rsidRDefault="00635AB0" w:rsidP="00635AB0">
      <w:pPr>
        <w:spacing w:line="480" w:lineRule="auto"/>
        <w:rPr>
          <w:rFonts w:ascii="Times New Roman" w:hAnsi="Times New Roman" w:cs="Times New Roman"/>
          <w:color w:val="000000" w:themeColor="text1"/>
          <w:szCs w:val="24"/>
        </w:rPr>
      </w:pPr>
      <w:r w:rsidRPr="00635AB0">
        <w:rPr>
          <w:rFonts w:ascii="Times New Roman" w:hAnsi="Times New Roman" w:cs="Times New Roman"/>
          <w:color w:val="000000" w:themeColor="text1"/>
          <w:szCs w:val="24"/>
        </w:rPr>
        <w:t xml:space="preserve">Bennett, M., &amp; Baird, S. (2018). </w:t>
      </w:r>
      <w:r w:rsidRPr="00635AB0">
        <w:rPr>
          <w:rFonts w:ascii="Times New Roman" w:hAnsi="Times New Roman" w:cs="Times New Roman"/>
          <w:i/>
          <w:iCs/>
          <w:color w:val="000000" w:themeColor="text1"/>
          <w:szCs w:val="24"/>
        </w:rPr>
        <w:t>Consumer law and policy in the digital marketplace</w:t>
      </w:r>
      <w:r w:rsidRPr="00635AB0">
        <w:rPr>
          <w:rFonts w:ascii="Times New Roman" w:hAnsi="Times New Roman" w:cs="Times New Roman"/>
          <w:color w:val="000000" w:themeColor="text1"/>
          <w:szCs w:val="24"/>
        </w:rPr>
        <w:t>. Cambridge University Press.</w:t>
      </w:r>
    </w:p>
    <w:p w14:paraId="6E5E087F" w14:textId="77777777" w:rsidR="00635AB0" w:rsidRPr="00635AB0" w:rsidRDefault="00635AB0" w:rsidP="00635AB0">
      <w:pPr>
        <w:spacing w:line="480" w:lineRule="auto"/>
        <w:rPr>
          <w:rFonts w:ascii="Times New Roman" w:hAnsi="Times New Roman" w:cs="Times New Roman"/>
          <w:color w:val="000000" w:themeColor="text1"/>
          <w:szCs w:val="24"/>
        </w:rPr>
      </w:pPr>
      <w:r w:rsidRPr="00635AB0">
        <w:rPr>
          <w:rFonts w:ascii="Times New Roman" w:hAnsi="Times New Roman" w:cs="Times New Roman"/>
          <w:color w:val="000000" w:themeColor="text1"/>
          <w:szCs w:val="24"/>
        </w:rPr>
        <w:t xml:space="preserve">Dickerson, T. A. (2021). </w:t>
      </w:r>
      <w:r w:rsidRPr="00635AB0">
        <w:rPr>
          <w:rFonts w:ascii="Times New Roman" w:hAnsi="Times New Roman" w:cs="Times New Roman"/>
          <w:i/>
          <w:iCs/>
          <w:color w:val="000000" w:themeColor="text1"/>
          <w:szCs w:val="24"/>
        </w:rPr>
        <w:t>Travel law</w:t>
      </w:r>
      <w:r w:rsidRPr="00635AB0">
        <w:rPr>
          <w:rFonts w:ascii="Times New Roman" w:hAnsi="Times New Roman" w:cs="Times New Roman"/>
          <w:color w:val="000000" w:themeColor="text1"/>
          <w:szCs w:val="24"/>
        </w:rPr>
        <w:t xml:space="preserve"> (7th ed.). Law Journal Press.</w:t>
      </w:r>
    </w:p>
    <w:p w14:paraId="2878E567" w14:textId="77777777" w:rsidR="00635AB0" w:rsidRPr="00635AB0" w:rsidRDefault="00635AB0" w:rsidP="00635AB0">
      <w:pPr>
        <w:spacing w:line="480" w:lineRule="auto"/>
        <w:rPr>
          <w:rFonts w:ascii="Times New Roman" w:hAnsi="Times New Roman" w:cs="Times New Roman"/>
          <w:color w:val="000000" w:themeColor="text1"/>
          <w:szCs w:val="24"/>
        </w:rPr>
      </w:pPr>
      <w:r w:rsidRPr="00635AB0">
        <w:rPr>
          <w:rFonts w:ascii="Times New Roman" w:hAnsi="Times New Roman" w:cs="Times New Roman"/>
          <w:color w:val="000000" w:themeColor="text1"/>
          <w:szCs w:val="24"/>
        </w:rPr>
        <w:t xml:space="preserve">European Commission. (2022). </w:t>
      </w:r>
      <w:r w:rsidRPr="00635AB0">
        <w:rPr>
          <w:rFonts w:ascii="Times New Roman" w:hAnsi="Times New Roman" w:cs="Times New Roman"/>
          <w:i/>
          <w:iCs/>
          <w:color w:val="000000" w:themeColor="text1"/>
          <w:szCs w:val="24"/>
        </w:rPr>
        <w:t>Guidance on the interpretation and application of Directive (EU) 2015/2302 on package travel</w:t>
      </w:r>
      <w:r w:rsidRPr="00635AB0">
        <w:rPr>
          <w:rFonts w:ascii="Times New Roman" w:hAnsi="Times New Roman" w:cs="Times New Roman"/>
          <w:color w:val="000000" w:themeColor="text1"/>
          <w:szCs w:val="24"/>
        </w:rPr>
        <w:t xml:space="preserve">. </w:t>
      </w:r>
      <w:hyperlink r:id="rId7" w:tgtFrame="_new" w:history="1">
        <w:r w:rsidRPr="00635AB0">
          <w:rPr>
            <w:rStyle w:val="Hyperlink"/>
            <w:rFonts w:ascii="Times New Roman" w:hAnsi="Times New Roman" w:cs="Times New Roman"/>
            <w:szCs w:val="24"/>
          </w:rPr>
          <w:t>https://commission.europa.eu</w:t>
        </w:r>
      </w:hyperlink>
    </w:p>
    <w:p w14:paraId="41055E3C" w14:textId="77777777" w:rsidR="00635AB0" w:rsidRPr="00635AB0" w:rsidRDefault="00635AB0" w:rsidP="00635AB0">
      <w:pPr>
        <w:spacing w:line="480" w:lineRule="auto"/>
        <w:rPr>
          <w:rFonts w:ascii="Times New Roman" w:hAnsi="Times New Roman" w:cs="Times New Roman"/>
          <w:color w:val="000000" w:themeColor="text1"/>
          <w:szCs w:val="24"/>
        </w:rPr>
      </w:pPr>
      <w:r w:rsidRPr="00635AB0">
        <w:rPr>
          <w:rFonts w:ascii="Times New Roman" w:hAnsi="Times New Roman" w:cs="Times New Roman"/>
          <w:color w:val="000000" w:themeColor="text1"/>
          <w:szCs w:val="24"/>
        </w:rPr>
        <w:t xml:space="preserve">Hudson, S., &amp; Hudson, L. (2017). </w:t>
      </w:r>
      <w:r w:rsidRPr="00635AB0">
        <w:rPr>
          <w:rFonts w:ascii="Times New Roman" w:hAnsi="Times New Roman" w:cs="Times New Roman"/>
          <w:i/>
          <w:iCs/>
          <w:color w:val="000000" w:themeColor="text1"/>
          <w:szCs w:val="24"/>
        </w:rPr>
        <w:t>Marketing for tourism, hospitality and events: A global and digital approach</w:t>
      </w:r>
      <w:r w:rsidRPr="00635AB0">
        <w:rPr>
          <w:rFonts w:ascii="Times New Roman" w:hAnsi="Times New Roman" w:cs="Times New Roman"/>
          <w:color w:val="000000" w:themeColor="text1"/>
          <w:szCs w:val="24"/>
        </w:rPr>
        <w:t>. SAGE Publications.</w:t>
      </w:r>
    </w:p>
    <w:p w14:paraId="05FCF805" w14:textId="77777777" w:rsidR="00635AB0" w:rsidRPr="00635AB0" w:rsidRDefault="00635AB0" w:rsidP="00635AB0">
      <w:pPr>
        <w:spacing w:line="480" w:lineRule="auto"/>
        <w:rPr>
          <w:rFonts w:ascii="Times New Roman" w:hAnsi="Times New Roman" w:cs="Times New Roman"/>
          <w:color w:val="000000" w:themeColor="text1"/>
          <w:szCs w:val="24"/>
        </w:rPr>
      </w:pPr>
      <w:r w:rsidRPr="00635AB0">
        <w:rPr>
          <w:rFonts w:ascii="Times New Roman" w:hAnsi="Times New Roman" w:cs="Times New Roman"/>
          <w:color w:val="000000" w:themeColor="text1"/>
          <w:szCs w:val="24"/>
        </w:rPr>
        <w:t xml:space="preserve">McConville, M., &amp; Chui, W. H. (2017). </w:t>
      </w:r>
      <w:r w:rsidRPr="00635AB0">
        <w:rPr>
          <w:rFonts w:ascii="Times New Roman" w:hAnsi="Times New Roman" w:cs="Times New Roman"/>
          <w:i/>
          <w:iCs/>
          <w:color w:val="000000" w:themeColor="text1"/>
          <w:szCs w:val="24"/>
        </w:rPr>
        <w:t>Research methods for law</w:t>
      </w:r>
      <w:r w:rsidRPr="00635AB0">
        <w:rPr>
          <w:rFonts w:ascii="Times New Roman" w:hAnsi="Times New Roman" w:cs="Times New Roman"/>
          <w:color w:val="000000" w:themeColor="text1"/>
          <w:szCs w:val="24"/>
        </w:rPr>
        <w:t xml:space="preserve"> (2nd ed.). Edinburgh University Press.</w:t>
      </w:r>
    </w:p>
    <w:p w14:paraId="54C39196" w14:textId="77777777" w:rsidR="00635AB0" w:rsidRPr="00635AB0" w:rsidRDefault="00635AB0" w:rsidP="00635AB0">
      <w:pPr>
        <w:spacing w:line="480" w:lineRule="auto"/>
        <w:rPr>
          <w:rFonts w:ascii="Times New Roman" w:hAnsi="Times New Roman" w:cs="Times New Roman"/>
          <w:color w:val="000000" w:themeColor="text1"/>
          <w:szCs w:val="24"/>
        </w:rPr>
      </w:pPr>
      <w:r w:rsidRPr="00635AB0">
        <w:rPr>
          <w:rFonts w:ascii="Times New Roman" w:hAnsi="Times New Roman" w:cs="Times New Roman"/>
          <w:color w:val="000000" w:themeColor="text1"/>
          <w:szCs w:val="24"/>
        </w:rPr>
        <w:t xml:space="preserve">Poole, J. (2020). </w:t>
      </w:r>
      <w:r w:rsidRPr="00635AB0">
        <w:rPr>
          <w:rFonts w:ascii="Times New Roman" w:hAnsi="Times New Roman" w:cs="Times New Roman"/>
          <w:i/>
          <w:iCs/>
          <w:color w:val="000000" w:themeColor="text1"/>
          <w:szCs w:val="24"/>
        </w:rPr>
        <w:t>Textbook on contract law</w:t>
      </w:r>
      <w:r w:rsidRPr="00635AB0">
        <w:rPr>
          <w:rFonts w:ascii="Times New Roman" w:hAnsi="Times New Roman" w:cs="Times New Roman"/>
          <w:color w:val="000000" w:themeColor="text1"/>
          <w:szCs w:val="24"/>
        </w:rPr>
        <w:t xml:space="preserve"> (15th ed.). Oxford University Press.</w:t>
      </w:r>
    </w:p>
    <w:p w14:paraId="6DB5030D" w14:textId="77777777" w:rsidR="00635AB0" w:rsidRPr="00635AB0" w:rsidRDefault="00635AB0" w:rsidP="00635AB0">
      <w:pPr>
        <w:spacing w:line="480" w:lineRule="auto"/>
        <w:rPr>
          <w:rFonts w:ascii="Times New Roman" w:hAnsi="Times New Roman" w:cs="Times New Roman"/>
          <w:color w:val="000000" w:themeColor="text1"/>
          <w:szCs w:val="24"/>
        </w:rPr>
      </w:pPr>
      <w:r w:rsidRPr="00635AB0">
        <w:rPr>
          <w:rFonts w:ascii="Times New Roman" w:hAnsi="Times New Roman" w:cs="Times New Roman"/>
          <w:color w:val="000000" w:themeColor="text1"/>
          <w:szCs w:val="24"/>
        </w:rPr>
        <w:t xml:space="preserve">Ruhl, J. B. (2020). Contracting in the digital age: Implications for consumer protection. </w:t>
      </w:r>
      <w:r w:rsidRPr="00635AB0">
        <w:rPr>
          <w:rFonts w:ascii="Times New Roman" w:hAnsi="Times New Roman" w:cs="Times New Roman"/>
          <w:i/>
          <w:iCs/>
          <w:color w:val="000000" w:themeColor="text1"/>
          <w:szCs w:val="24"/>
        </w:rPr>
        <w:t>Journal of Consumer Policy</w:t>
      </w:r>
      <w:r w:rsidRPr="00635AB0">
        <w:rPr>
          <w:rFonts w:ascii="Times New Roman" w:hAnsi="Times New Roman" w:cs="Times New Roman"/>
          <w:color w:val="000000" w:themeColor="text1"/>
          <w:szCs w:val="24"/>
        </w:rPr>
        <w:t>, 43(2), 245–266. https://doi.org/10.1007/s10603-020-09445-1</w:t>
      </w:r>
    </w:p>
    <w:p w14:paraId="54430893" w14:textId="77777777" w:rsidR="00635AB0" w:rsidRPr="00635AB0" w:rsidRDefault="00635AB0" w:rsidP="00635AB0">
      <w:pPr>
        <w:spacing w:line="480" w:lineRule="auto"/>
        <w:rPr>
          <w:rFonts w:ascii="Times New Roman" w:hAnsi="Times New Roman" w:cs="Times New Roman"/>
          <w:color w:val="000000" w:themeColor="text1"/>
          <w:szCs w:val="24"/>
        </w:rPr>
      </w:pPr>
      <w:r w:rsidRPr="00635AB0">
        <w:rPr>
          <w:rFonts w:ascii="Times New Roman" w:hAnsi="Times New Roman" w:cs="Times New Roman"/>
          <w:color w:val="000000" w:themeColor="text1"/>
          <w:szCs w:val="24"/>
        </w:rPr>
        <w:t xml:space="preserve">Sharpley, R. (2018). Tourism, tourists and society (5th ed.). </w:t>
      </w:r>
      <w:r w:rsidRPr="00635AB0">
        <w:rPr>
          <w:rFonts w:ascii="Times New Roman" w:hAnsi="Times New Roman" w:cs="Times New Roman"/>
          <w:i/>
          <w:iCs/>
          <w:color w:val="000000" w:themeColor="text1"/>
          <w:szCs w:val="24"/>
        </w:rPr>
        <w:t>Routledge</w:t>
      </w:r>
      <w:r w:rsidRPr="00635AB0">
        <w:rPr>
          <w:rFonts w:ascii="Times New Roman" w:hAnsi="Times New Roman" w:cs="Times New Roman"/>
          <w:color w:val="000000" w:themeColor="text1"/>
          <w:szCs w:val="24"/>
        </w:rPr>
        <w:t>.</w:t>
      </w:r>
    </w:p>
    <w:p w14:paraId="2AACDD2D" w14:textId="77777777" w:rsidR="00635AB0" w:rsidRPr="00635AB0" w:rsidRDefault="00635AB0" w:rsidP="00635AB0">
      <w:pPr>
        <w:spacing w:line="480" w:lineRule="auto"/>
        <w:rPr>
          <w:rFonts w:ascii="Times New Roman" w:hAnsi="Times New Roman" w:cs="Times New Roman"/>
          <w:color w:val="000000" w:themeColor="text1"/>
          <w:szCs w:val="24"/>
        </w:rPr>
      </w:pPr>
      <w:r w:rsidRPr="00635AB0">
        <w:rPr>
          <w:rFonts w:ascii="Times New Roman" w:hAnsi="Times New Roman" w:cs="Times New Roman"/>
          <w:color w:val="000000" w:themeColor="text1"/>
          <w:szCs w:val="24"/>
        </w:rPr>
        <w:t xml:space="preserve">Smith, S. L. J. (2015). </w:t>
      </w:r>
      <w:r w:rsidRPr="00635AB0">
        <w:rPr>
          <w:rFonts w:ascii="Times New Roman" w:hAnsi="Times New Roman" w:cs="Times New Roman"/>
          <w:i/>
          <w:iCs/>
          <w:color w:val="000000" w:themeColor="text1"/>
          <w:szCs w:val="24"/>
        </w:rPr>
        <w:t>Tourism analysis: A handbook</w:t>
      </w:r>
      <w:r w:rsidRPr="00635AB0">
        <w:rPr>
          <w:rFonts w:ascii="Times New Roman" w:hAnsi="Times New Roman" w:cs="Times New Roman"/>
          <w:color w:val="000000" w:themeColor="text1"/>
          <w:szCs w:val="24"/>
        </w:rPr>
        <w:t xml:space="preserve"> (2nd ed.). Routledge.</w:t>
      </w:r>
    </w:p>
    <w:p w14:paraId="44ADBECB" w14:textId="77777777" w:rsidR="00635AB0" w:rsidRPr="00635AB0" w:rsidRDefault="00635AB0" w:rsidP="00635AB0">
      <w:pPr>
        <w:spacing w:line="480" w:lineRule="auto"/>
        <w:rPr>
          <w:rFonts w:ascii="Times New Roman" w:hAnsi="Times New Roman" w:cs="Times New Roman"/>
          <w:color w:val="000000" w:themeColor="text1"/>
          <w:szCs w:val="24"/>
        </w:rPr>
      </w:pPr>
      <w:r w:rsidRPr="00635AB0">
        <w:rPr>
          <w:rFonts w:ascii="Times New Roman" w:hAnsi="Times New Roman" w:cs="Times New Roman"/>
          <w:color w:val="000000" w:themeColor="text1"/>
          <w:szCs w:val="24"/>
        </w:rPr>
        <w:t xml:space="preserve">United Nations World Tourism Organization. (2021). </w:t>
      </w:r>
      <w:r w:rsidRPr="00635AB0">
        <w:rPr>
          <w:rFonts w:ascii="Times New Roman" w:hAnsi="Times New Roman" w:cs="Times New Roman"/>
          <w:i/>
          <w:iCs/>
          <w:color w:val="000000" w:themeColor="text1"/>
          <w:szCs w:val="24"/>
        </w:rPr>
        <w:t>International code for the protection of tourists</w:t>
      </w:r>
      <w:r w:rsidRPr="00635AB0">
        <w:rPr>
          <w:rFonts w:ascii="Times New Roman" w:hAnsi="Times New Roman" w:cs="Times New Roman"/>
          <w:color w:val="000000" w:themeColor="text1"/>
          <w:szCs w:val="24"/>
        </w:rPr>
        <w:t xml:space="preserve">. </w:t>
      </w:r>
      <w:hyperlink r:id="rId8" w:tgtFrame="_new" w:history="1">
        <w:r w:rsidRPr="00635AB0">
          <w:rPr>
            <w:rStyle w:val="Hyperlink"/>
            <w:rFonts w:ascii="Times New Roman" w:hAnsi="Times New Roman" w:cs="Times New Roman"/>
            <w:szCs w:val="24"/>
          </w:rPr>
          <w:t>https://www.unwto.org</w:t>
        </w:r>
      </w:hyperlink>
    </w:p>
    <w:p w14:paraId="587D5B78" w14:textId="77777777" w:rsidR="00635AB0" w:rsidRPr="00635AB0" w:rsidRDefault="00635AB0" w:rsidP="00635AB0">
      <w:pPr>
        <w:spacing w:line="480" w:lineRule="auto"/>
        <w:rPr>
          <w:rFonts w:ascii="Times New Roman" w:hAnsi="Times New Roman" w:cs="Times New Roman"/>
          <w:color w:val="000000" w:themeColor="text1"/>
          <w:szCs w:val="24"/>
        </w:rPr>
      </w:pPr>
      <w:r w:rsidRPr="00635AB0">
        <w:rPr>
          <w:rFonts w:ascii="Times New Roman" w:hAnsi="Times New Roman" w:cs="Times New Roman"/>
          <w:color w:val="000000" w:themeColor="text1"/>
          <w:szCs w:val="24"/>
        </w:rPr>
        <w:t xml:space="preserve">Weatherill, S. (2020). </w:t>
      </w:r>
      <w:r w:rsidRPr="00635AB0">
        <w:rPr>
          <w:rFonts w:ascii="Times New Roman" w:hAnsi="Times New Roman" w:cs="Times New Roman"/>
          <w:i/>
          <w:iCs/>
          <w:color w:val="000000" w:themeColor="text1"/>
          <w:szCs w:val="24"/>
        </w:rPr>
        <w:t>EU consumer law and policy</w:t>
      </w:r>
      <w:r w:rsidRPr="00635AB0">
        <w:rPr>
          <w:rFonts w:ascii="Times New Roman" w:hAnsi="Times New Roman" w:cs="Times New Roman"/>
          <w:color w:val="000000" w:themeColor="text1"/>
          <w:szCs w:val="24"/>
        </w:rPr>
        <w:t xml:space="preserve"> (2nd ed.). Edward Elgar Publishing.</w:t>
      </w:r>
    </w:p>
    <w:p w14:paraId="18D123F1" w14:textId="77777777" w:rsidR="00F11085" w:rsidRPr="00635AB0" w:rsidRDefault="00F11085" w:rsidP="00E65C9D">
      <w:pPr>
        <w:spacing w:line="480" w:lineRule="auto"/>
        <w:rPr>
          <w:rFonts w:ascii="Times New Roman" w:hAnsi="Times New Roman" w:cs="Times New Roman"/>
          <w:color w:val="000000" w:themeColor="text1"/>
          <w:szCs w:val="24"/>
          <w:lang w:val="en-US"/>
        </w:rPr>
      </w:pPr>
    </w:p>
    <w:sectPr w:rsidR="00F11085" w:rsidRPr="00635AB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634F64"/>
    <w:multiLevelType w:val="multilevel"/>
    <w:tmpl w:val="EA70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2"/>
  </w:num>
  <w:num w:numId="32" w16cid:durableId="1795828787">
    <w:abstractNumId w:val="15"/>
  </w:num>
  <w:num w:numId="33" w16cid:durableId="134840506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0EF9"/>
    <w:rsid w:val="000318AA"/>
    <w:rsid w:val="000512A3"/>
    <w:rsid w:val="0009281E"/>
    <w:rsid w:val="00092BBD"/>
    <w:rsid w:val="000C4AFA"/>
    <w:rsid w:val="000D12EF"/>
    <w:rsid w:val="000E04F4"/>
    <w:rsid w:val="000E1A2C"/>
    <w:rsid w:val="00151724"/>
    <w:rsid w:val="00160E9C"/>
    <w:rsid w:val="00174C04"/>
    <w:rsid w:val="00183304"/>
    <w:rsid w:val="0018722F"/>
    <w:rsid w:val="001F1C7B"/>
    <w:rsid w:val="0023731E"/>
    <w:rsid w:val="00253A27"/>
    <w:rsid w:val="0025617E"/>
    <w:rsid w:val="002576A9"/>
    <w:rsid w:val="00275EAE"/>
    <w:rsid w:val="002F73F5"/>
    <w:rsid w:val="003457EF"/>
    <w:rsid w:val="00377FF0"/>
    <w:rsid w:val="00394C39"/>
    <w:rsid w:val="00426EA7"/>
    <w:rsid w:val="00461DBF"/>
    <w:rsid w:val="00496E55"/>
    <w:rsid w:val="004A1F6F"/>
    <w:rsid w:val="004C1220"/>
    <w:rsid w:val="004C34DB"/>
    <w:rsid w:val="004D7D13"/>
    <w:rsid w:val="004E3186"/>
    <w:rsid w:val="004E3D1C"/>
    <w:rsid w:val="005236D9"/>
    <w:rsid w:val="005451DE"/>
    <w:rsid w:val="005636D9"/>
    <w:rsid w:val="00563C07"/>
    <w:rsid w:val="00582227"/>
    <w:rsid w:val="00590BBC"/>
    <w:rsid w:val="005A0794"/>
    <w:rsid w:val="005B0192"/>
    <w:rsid w:val="00626634"/>
    <w:rsid w:val="00635AB0"/>
    <w:rsid w:val="00654B4B"/>
    <w:rsid w:val="006640E0"/>
    <w:rsid w:val="00664D7C"/>
    <w:rsid w:val="006D483F"/>
    <w:rsid w:val="00714A73"/>
    <w:rsid w:val="00763D1C"/>
    <w:rsid w:val="00770D56"/>
    <w:rsid w:val="007F2D81"/>
    <w:rsid w:val="00810849"/>
    <w:rsid w:val="00825AA5"/>
    <w:rsid w:val="008302E2"/>
    <w:rsid w:val="00835BAE"/>
    <w:rsid w:val="00843EDD"/>
    <w:rsid w:val="00854D19"/>
    <w:rsid w:val="00857685"/>
    <w:rsid w:val="008649B5"/>
    <w:rsid w:val="0086710E"/>
    <w:rsid w:val="00867CF1"/>
    <w:rsid w:val="008C04A8"/>
    <w:rsid w:val="008C18CC"/>
    <w:rsid w:val="0092274C"/>
    <w:rsid w:val="00933716"/>
    <w:rsid w:val="0095171B"/>
    <w:rsid w:val="0095220B"/>
    <w:rsid w:val="00952A7F"/>
    <w:rsid w:val="009541AC"/>
    <w:rsid w:val="009551BB"/>
    <w:rsid w:val="00986E2A"/>
    <w:rsid w:val="00A22E5D"/>
    <w:rsid w:val="00A433D7"/>
    <w:rsid w:val="00A63241"/>
    <w:rsid w:val="00A76B20"/>
    <w:rsid w:val="00AB5112"/>
    <w:rsid w:val="00AD05F9"/>
    <w:rsid w:val="00B02610"/>
    <w:rsid w:val="00B06124"/>
    <w:rsid w:val="00B425D9"/>
    <w:rsid w:val="00B6174C"/>
    <w:rsid w:val="00B75166"/>
    <w:rsid w:val="00BA1A47"/>
    <w:rsid w:val="00BD23A3"/>
    <w:rsid w:val="00BD4725"/>
    <w:rsid w:val="00BE2744"/>
    <w:rsid w:val="00BF0D10"/>
    <w:rsid w:val="00C1597C"/>
    <w:rsid w:val="00C82410"/>
    <w:rsid w:val="00CC17BF"/>
    <w:rsid w:val="00CE4EE4"/>
    <w:rsid w:val="00D1330E"/>
    <w:rsid w:val="00D16B77"/>
    <w:rsid w:val="00D33052"/>
    <w:rsid w:val="00D67892"/>
    <w:rsid w:val="00D74A74"/>
    <w:rsid w:val="00D84E95"/>
    <w:rsid w:val="00DD48B2"/>
    <w:rsid w:val="00DF3FD0"/>
    <w:rsid w:val="00E031DE"/>
    <w:rsid w:val="00E34C40"/>
    <w:rsid w:val="00E47DA5"/>
    <w:rsid w:val="00E65C9D"/>
    <w:rsid w:val="00EA7FD8"/>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wto.org" TargetMode="External"/><Relationship Id="rId3" Type="http://schemas.openxmlformats.org/officeDocument/2006/relationships/styles" Target="styles.xml"/><Relationship Id="rId7" Type="http://schemas.openxmlformats.org/officeDocument/2006/relationships/hyperlink" Target="https://commission.europa.e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4546</Words>
  <Characters>25916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Vanshika (24134918)</cp:lastModifiedBy>
  <cp:revision>7</cp:revision>
  <dcterms:created xsi:type="dcterms:W3CDTF">2026-02-05T10:56:00Z</dcterms:created>
  <dcterms:modified xsi:type="dcterms:W3CDTF">2026-02-05T10:57:00Z</dcterms:modified>
</cp:coreProperties>
</file>