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EC1ADF" w:rsidRDefault="00DC2FF7" w:rsidP="00EC1ADF">
      <w:pPr>
        <w:spacing w:line="480" w:lineRule="auto"/>
        <w:jc w:val="center"/>
        <w:rPr>
          <w:rFonts w:ascii="Calibri" w:hAnsi="Calibri" w:cs="Calibri"/>
          <w:szCs w:val="24"/>
        </w:rPr>
      </w:pPr>
      <w:r w:rsidRPr="00EC1ADF">
        <w:rPr>
          <w:rFonts w:ascii="Calibri" w:hAnsi="Calibri" w:cs="Calibri"/>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7F360A32" w14:textId="77777777" w:rsidR="000C2ACC" w:rsidRPr="00EC1ADF" w:rsidRDefault="000C2ACC" w:rsidP="00EC1ADF">
      <w:pPr>
        <w:spacing w:line="480" w:lineRule="auto"/>
        <w:jc w:val="center"/>
        <w:rPr>
          <w:rFonts w:ascii="Calibri" w:hAnsi="Calibri" w:cs="Calibri"/>
          <w:b/>
          <w:bCs/>
          <w:szCs w:val="24"/>
        </w:rPr>
      </w:pPr>
      <w:r w:rsidRPr="00EC1ADF">
        <w:rPr>
          <w:rFonts w:ascii="Calibri" w:hAnsi="Calibri" w:cs="Calibri"/>
          <w:b/>
          <w:bCs/>
          <w:szCs w:val="24"/>
        </w:rPr>
        <w:t>Tourism Law and Legislation</w:t>
      </w:r>
    </w:p>
    <w:p w14:paraId="25E2559E" w14:textId="31B52C45" w:rsidR="006B6E2B" w:rsidRDefault="00834D50" w:rsidP="00EC1ADF">
      <w:pPr>
        <w:spacing w:line="480" w:lineRule="auto"/>
        <w:jc w:val="center"/>
        <w:rPr>
          <w:rFonts w:ascii="Calibri" w:hAnsi="Calibri" w:cs="Calibri"/>
          <w:b/>
          <w:bCs/>
          <w:szCs w:val="24"/>
        </w:rPr>
      </w:pPr>
      <w:r w:rsidRPr="00EC1ADF">
        <w:rPr>
          <w:rFonts w:ascii="Calibri" w:hAnsi="Calibri" w:cs="Calibri"/>
          <w:b/>
          <w:bCs/>
          <w:szCs w:val="24"/>
        </w:rPr>
        <w:t xml:space="preserve">Assignment 2: Tourism Liability and Risk Management in Legal Context </w:t>
      </w:r>
    </w:p>
    <w:p w14:paraId="7C7B1FDC" w14:textId="77777777" w:rsidR="00EC1ADF" w:rsidRPr="00EC1ADF" w:rsidRDefault="00EC1ADF" w:rsidP="00EC1ADF">
      <w:pPr>
        <w:spacing w:line="480" w:lineRule="auto"/>
        <w:jc w:val="center"/>
        <w:rPr>
          <w:rFonts w:ascii="Calibri" w:hAnsi="Calibri" w:cs="Calibri"/>
          <w:b/>
          <w:bCs/>
          <w:szCs w:val="24"/>
        </w:rPr>
      </w:pPr>
    </w:p>
    <w:p w14:paraId="220689EF" w14:textId="77777777" w:rsidR="006B6E2B" w:rsidRPr="00EC1ADF" w:rsidRDefault="006B6E2B" w:rsidP="00EC1ADF">
      <w:pPr>
        <w:spacing w:line="480" w:lineRule="auto"/>
        <w:jc w:val="center"/>
        <w:rPr>
          <w:rFonts w:ascii="Calibri" w:hAnsi="Calibri" w:cs="Calibri"/>
          <w:b/>
          <w:bCs/>
          <w:szCs w:val="24"/>
        </w:rPr>
      </w:pPr>
    </w:p>
    <w:p w14:paraId="7428F784" w14:textId="77777777" w:rsidR="006B6E2B" w:rsidRPr="00EC1ADF" w:rsidRDefault="006B6E2B" w:rsidP="00EC1ADF">
      <w:pPr>
        <w:spacing w:line="480" w:lineRule="auto"/>
        <w:jc w:val="center"/>
        <w:rPr>
          <w:rFonts w:ascii="Calibri" w:hAnsi="Calibri" w:cs="Calibri"/>
          <w:b/>
          <w:bCs/>
          <w:szCs w:val="24"/>
        </w:rPr>
      </w:pPr>
    </w:p>
    <w:p w14:paraId="0E3372A9" w14:textId="77777777" w:rsidR="006B6E2B" w:rsidRPr="00EC1ADF" w:rsidRDefault="006B6E2B" w:rsidP="00EC1ADF">
      <w:pPr>
        <w:spacing w:line="480" w:lineRule="auto"/>
        <w:jc w:val="center"/>
        <w:rPr>
          <w:rFonts w:ascii="Calibri" w:hAnsi="Calibri" w:cs="Calibri"/>
          <w:b/>
          <w:bCs/>
          <w:szCs w:val="24"/>
        </w:rPr>
      </w:pPr>
    </w:p>
    <w:p w14:paraId="5005E36E" w14:textId="77777777" w:rsidR="006B6E2B" w:rsidRPr="00EC1ADF" w:rsidRDefault="006B6E2B" w:rsidP="00EC1ADF">
      <w:pPr>
        <w:spacing w:line="480" w:lineRule="auto"/>
        <w:jc w:val="center"/>
        <w:rPr>
          <w:rFonts w:ascii="Calibri" w:hAnsi="Calibri" w:cs="Calibri"/>
          <w:b/>
          <w:bCs/>
          <w:szCs w:val="24"/>
        </w:rPr>
      </w:pPr>
    </w:p>
    <w:p w14:paraId="69405931" w14:textId="77777777" w:rsidR="00834D50" w:rsidRPr="00EC1ADF" w:rsidRDefault="00834D50" w:rsidP="00EC1ADF">
      <w:pPr>
        <w:spacing w:line="480" w:lineRule="auto"/>
        <w:jc w:val="center"/>
        <w:rPr>
          <w:rFonts w:ascii="Calibri" w:hAnsi="Calibri" w:cs="Calibri"/>
          <w:b/>
          <w:bCs/>
          <w:szCs w:val="24"/>
        </w:rPr>
      </w:pPr>
    </w:p>
    <w:p w14:paraId="02BEB0E9" w14:textId="77777777" w:rsidR="00834D50" w:rsidRPr="00EC1ADF" w:rsidRDefault="00834D50" w:rsidP="00EC1ADF">
      <w:pPr>
        <w:spacing w:line="480" w:lineRule="auto"/>
        <w:jc w:val="center"/>
        <w:rPr>
          <w:rFonts w:ascii="Calibri" w:hAnsi="Calibri" w:cs="Calibri"/>
          <w:b/>
          <w:bCs/>
          <w:szCs w:val="24"/>
        </w:rPr>
      </w:pPr>
    </w:p>
    <w:p w14:paraId="4BCAB4D3" w14:textId="77777777" w:rsidR="00834D50" w:rsidRPr="00EC1ADF" w:rsidRDefault="00834D50" w:rsidP="00EC1ADF">
      <w:pPr>
        <w:spacing w:line="480" w:lineRule="auto"/>
        <w:jc w:val="center"/>
        <w:rPr>
          <w:rFonts w:ascii="Calibri" w:hAnsi="Calibri" w:cs="Calibri"/>
          <w:b/>
          <w:bCs/>
          <w:szCs w:val="24"/>
        </w:rPr>
      </w:pPr>
    </w:p>
    <w:p w14:paraId="09F19623" w14:textId="77777777" w:rsidR="00834D50" w:rsidRPr="00EC1ADF" w:rsidRDefault="00834D50" w:rsidP="00EC1ADF">
      <w:pPr>
        <w:spacing w:line="480" w:lineRule="auto"/>
        <w:jc w:val="center"/>
        <w:rPr>
          <w:rFonts w:ascii="Calibri" w:hAnsi="Calibri" w:cs="Calibri"/>
          <w:b/>
          <w:bCs/>
          <w:szCs w:val="24"/>
        </w:rPr>
      </w:pPr>
    </w:p>
    <w:p w14:paraId="306788A9" w14:textId="77777777" w:rsidR="00834D50" w:rsidRPr="00EC1ADF" w:rsidRDefault="00834D50" w:rsidP="00EC1ADF">
      <w:pPr>
        <w:spacing w:line="480" w:lineRule="auto"/>
        <w:jc w:val="center"/>
        <w:rPr>
          <w:rFonts w:ascii="Calibri" w:hAnsi="Calibri" w:cs="Calibri"/>
          <w:b/>
          <w:bCs/>
          <w:szCs w:val="24"/>
        </w:rPr>
      </w:pPr>
    </w:p>
    <w:p w14:paraId="4F43E928" w14:textId="77777777" w:rsidR="003643CD" w:rsidRPr="00EC1ADF" w:rsidRDefault="003643CD" w:rsidP="00EC1ADF">
      <w:pPr>
        <w:spacing w:line="480" w:lineRule="auto"/>
        <w:rPr>
          <w:rFonts w:ascii="Calibri" w:hAnsi="Calibri" w:cs="Calibri"/>
          <w:b/>
          <w:bCs/>
          <w:szCs w:val="24"/>
        </w:rPr>
      </w:pPr>
    </w:p>
    <w:p w14:paraId="22CC604F" w14:textId="77777777" w:rsidR="006B6E2B" w:rsidRPr="00EC1ADF" w:rsidRDefault="006B6E2B" w:rsidP="00EC1ADF">
      <w:pPr>
        <w:spacing w:line="480" w:lineRule="auto"/>
        <w:jc w:val="center"/>
        <w:rPr>
          <w:rFonts w:ascii="Calibri" w:hAnsi="Calibri" w:cs="Calibri"/>
          <w:b/>
          <w:bCs/>
          <w:szCs w:val="24"/>
        </w:rPr>
      </w:pPr>
    </w:p>
    <w:p w14:paraId="226179BC" w14:textId="77777777" w:rsidR="00E4472F" w:rsidRPr="00EC1ADF" w:rsidRDefault="00E4472F" w:rsidP="00EC1ADF">
      <w:pPr>
        <w:pStyle w:val="Heading2"/>
        <w:spacing w:line="480" w:lineRule="auto"/>
        <w:rPr>
          <w:rFonts w:ascii="Calibri" w:hAnsi="Calibri" w:cs="Calibri"/>
          <w:b/>
          <w:bCs/>
          <w:color w:val="auto"/>
          <w:sz w:val="24"/>
          <w:szCs w:val="24"/>
        </w:rPr>
      </w:pPr>
      <w:bookmarkStart w:id="0" w:name="_Toc224846299"/>
      <w:r w:rsidRPr="00EC1ADF">
        <w:rPr>
          <w:rFonts w:ascii="Calibri" w:hAnsi="Calibri" w:cs="Calibri"/>
          <w:b/>
          <w:bCs/>
          <w:color w:val="auto"/>
          <w:sz w:val="24"/>
          <w:szCs w:val="24"/>
        </w:rPr>
        <w:lastRenderedPageBreak/>
        <w:t>Abstract</w:t>
      </w:r>
      <w:bookmarkEnd w:id="0"/>
    </w:p>
    <w:p w14:paraId="36054819" w14:textId="77777777" w:rsidR="00EC1ADF" w:rsidRPr="00EC1ADF" w:rsidRDefault="00EC1ADF" w:rsidP="00EC1ADF">
      <w:pPr>
        <w:spacing w:line="480" w:lineRule="auto"/>
        <w:rPr>
          <w:rFonts w:ascii="Calibri" w:hAnsi="Calibri" w:cs="Calibri"/>
          <w:szCs w:val="24"/>
        </w:rPr>
      </w:pPr>
      <w:r w:rsidRPr="00EC1ADF">
        <w:rPr>
          <w:rFonts w:ascii="Calibri" w:hAnsi="Calibri" w:cs="Calibri"/>
          <w:szCs w:val="24"/>
        </w:rPr>
        <w:t xml:space="preserve">The report is about tourism liability and risk management within a legal context, that is, about the implications of tourism related accidents and the practices that can be adopted by businesses to mitigate the risk factor and avoid liability claims. As the tourism industry continues to expand within the global context, there has been a corresponding increase in the prevalence and complexity of lawsuits related to accidents, negligence and safety breaches. Some of the tourism businesses under various legal obligations </w:t>
      </w:r>
      <w:proofErr w:type="gramStart"/>
      <w:r w:rsidRPr="00EC1ADF">
        <w:rPr>
          <w:rFonts w:ascii="Calibri" w:hAnsi="Calibri" w:cs="Calibri"/>
          <w:szCs w:val="24"/>
        </w:rPr>
        <w:t>with regard to</w:t>
      </w:r>
      <w:proofErr w:type="gramEnd"/>
      <w:r w:rsidRPr="00EC1ADF">
        <w:rPr>
          <w:rFonts w:ascii="Calibri" w:hAnsi="Calibri" w:cs="Calibri"/>
          <w:szCs w:val="24"/>
        </w:rPr>
        <w:t xml:space="preserve"> their customers safety and health are hotels, airlines, tour operators, and travel agencies. The impact of not meeting these obligations can be disastrous in legal and financial aspects.</w:t>
      </w:r>
    </w:p>
    <w:p w14:paraId="03ABA653" w14:textId="77777777" w:rsidR="00EC1ADF" w:rsidRPr="00EC1ADF" w:rsidRDefault="00EC1ADF" w:rsidP="00EC1ADF">
      <w:pPr>
        <w:spacing w:line="480" w:lineRule="auto"/>
        <w:rPr>
          <w:rFonts w:ascii="Calibri" w:hAnsi="Calibri" w:cs="Calibri"/>
          <w:szCs w:val="24"/>
        </w:rPr>
      </w:pPr>
      <w:r w:rsidRPr="00EC1ADF">
        <w:rPr>
          <w:rFonts w:ascii="Calibri" w:hAnsi="Calibri" w:cs="Calibri"/>
          <w:szCs w:val="24"/>
        </w:rPr>
        <w:t xml:space="preserve">The paper discusses the law of liability in tourism, which is negligence, duty of care, and liability contract. It also contrasts the liability regulation provisions of the international conventions and national laws in different jurisdictions. Moreover, the report also highlights the risk management processes such as insurance cover, safety measures, staff training and compliance to legal processes. Not only do they aid in reducing the chances of </w:t>
      </w:r>
      <w:proofErr w:type="gramStart"/>
      <w:r w:rsidRPr="00EC1ADF">
        <w:rPr>
          <w:rFonts w:ascii="Calibri" w:hAnsi="Calibri" w:cs="Calibri"/>
          <w:szCs w:val="24"/>
        </w:rPr>
        <w:t>accidents, but</w:t>
      </w:r>
      <w:proofErr w:type="gramEnd"/>
      <w:r w:rsidRPr="00EC1ADF">
        <w:rPr>
          <w:rFonts w:ascii="Calibri" w:hAnsi="Calibri" w:cs="Calibri"/>
          <w:szCs w:val="24"/>
        </w:rPr>
        <w:t xml:space="preserve"> also protecting the business against potential litigation.</w:t>
      </w:r>
    </w:p>
    <w:p w14:paraId="559F1D2A" w14:textId="6B187D51" w:rsidR="002505FB" w:rsidRPr="00EC1ADF" w:rsidRDefault="00EC1ADF" w:rsidP="00EC1ADF">
      <w:pPr>
        <w:spacing w:line="480" w:lineRule="auto"/>
        <w:rPr>
          <w:rFonts w:ascii="Calibri" w:hAnsi="Calibri" w:cs="Calibri"/>
          <w:szCs w:val="24"/>
        </w:rPr>
      </w:pPr>
      <w:r w:rsidRPr="00EC1ADF">
        <w:rPr>
          <w:rFonts w:ascii="Calibri" w:hAnsi="Calibri" w:cs="Calibri"/>
          <w:szCs w:val="24"/>
        </w:rPr>
        <w:t>This report will demonstrate that theoretical knowledge and real-world examples can be used to limit the legal exposure and sustain tourism business using correct risk management. It concludes by saying that the tourism companies need to take responsibility in terms of risk management and legal requirements to ensure the safety of their customers and their organizations.</w:t>
      </w:r>
    </w:p>
    <w:p w14:paraId="05E5CDC7" w14:textId="77777777" w:rsidR="002B5498" w:rsidRPr="00EC1ADF" w:rsidRDefault="002B5498" w:rsidP="00EC1ADF">
      <w:pPr>
        <w:spacing w:line="480" w:lineRule="auto"/>
        <w:rPr>
          <w:rFonts w:ascii="Calibri" w:hAnsi="Calibri" w:cs="Calibri"/>
          <w:b/>
          <w:bCs/>
          <w:szCs w:val="24"/>
        </w:rPr>
      </w:pPr>
    </w:p>
    <w:sdt>
      <w:sdtPr>
        <w:rPr>
          <w:rFonts w:ascii="Calibri" w:eastAsiaTheme="minorHAnsi" w:hAnsi="Calibri" w:cs="Calibri"/>
          <w:b/>
          <w:bCs/>
          <w:color w:val="auto"/>
          <w:kern w:val="2"/>
          <w:sz w:val="24"/>
          <w:szCs w:val="24"/>
          <w:lang w:val="en-GB" w:bidi="hi-IN"/>
          <w14:ligatures w14:val="standardContextual"/>
        </w:rPr>
        <w:id w:val="671619869"/>
        <w:docPartObj>
          <w:docPartGallery w:val="Table of Contents"/>
          <w:docPartUnique/>
        </w:docPartObj>
      </w:sdtPr>
      <w:sdtEndPr>
        <w:rPr>
          <w:noProof/>
        </w:rPr>
      </w:sdtEndPr>
      <w:sdtContent>
        <w:p w14:paraId="363F3AC5" w14:textId="42E57AE9" w:rsidR="00CC67E8" w:rsidRPr="00EC1ADF" w:rsidRDefault="00CC67E8" w:rsidP="00EC1ADF">
          <w:pPr>
            <w:pStyle w:val="TOCHeading"/>
            <w:spacing w:line="480" w:lineRule="auto"/>
            <w:rPr>
              <w:rFonts w:ascii="Calibri" w:hAnsi="Calibri" w:cs="Calibri"/>
              <w:b/>
              <w:bCs/>
              <w:color w:val="auto"/>
              <w:sz w:val="24"/>
              <w:szCs w:val="24"/>
            </w:rPr>
          </w:pPr>
          <w:r w:rsidRPr="00EC1ADF">
            <w:rPr>
              <w:rFonts w:ascii="Calibri" w:hAnsi="Calibri" w:cs="Calibri"/>
              <w:b/>
              <w:bCs/>
              <w:color w:val="auto"/>
              <w:sz w:val="24"/>
              <w:szCs w:val="24"/>
            </w:rPr>
            <w:t>Contents</w:t>
          </w:r>
        </w:p>
        <w:p w14:paraId="3BE2C28B" w14:textId="1C8DE226" w:rsidR="00CC67E8" w:rsidRPr="00EC1ADF" w:rsidRDefault="00CC67E8" w:rsidP="00EC1ADF">
          <w:pPr>
            <w:pStyle w:val="TOC2"/>
            <w:tabs>
              <w:tab w:val="right" w:leader="dot" w:pos="9350"/>
            </w:tabs>
            <w:spacing w:line="480" w:lineRule="auto"/>
            <w:rPr>
              <w:rFonts w:ascii="Calibri" w:hAnsi="Calibri" w:cs="Calibri"/>
              <w:noProof/>
              <w:szCs w:val="24"/>
            </w:rPr>
          </w:pPr>
          <w:r w:rsidRPr="00EC1ADF">
            <w:rPr>
              <w:rFonts w:ascii="Calibri" w:hAnsi="Calibri" w:cs="Calibri"/>
              <w:szCs w:val="24"/>
            </w:rPr>
            <w:fldChar w:fldCharType="begin"/>
          </w:r>
          <w:r w:rsidRPr="00EC1ADF">
            <w:rPr>
              <w:rFonts w:ascii="Calibri" w:hAnsi="Calibri" w:cs="Calibri"/>
              <w:szCs w:val="24"/>
            </w:rPr>
            <w:instrText xml:space="preserve"> TOC \o "1-3" \h \z \u </w:instrText>
          </w:r>
          <w:r w:rsidRPr="00EC1ADF">
            <w:rPr>
              <w:rFonts w:ascii="Calibri" w:hAnsi="Calibri" w:cs="Calibri"/>
              <w:szCs w:val="24"/>
            </w:rPr>
            <w:fldChar w:fldCharType="separate"/>
          </w:r>
          <w:hyperlink w:anchor="_Toc224846299" w:history="1">
            <w:r w:rsidRPr="00EC1ADF">
              <w:rPr>
                <w:rStyle w:val="Hyperlink"/>
                <w:rFonts w:ascii="Calibri" w:hAnsi="Calibri" w:cs="Calibri"/>
                <w:noProof/>
                <w:color w:val="auto"/>
                <w:szCs w:val="24"/>
              </w:rPr>
              <w:t>Abstract</w:t>
            </w:r>
            <w:r w:rsidRPr="00EC1ADF">
              <w:rPr>
                <w:rFonts w:ascii="Calibri" w:hAnsi="Calibri" w:cs="Calibri"/>
                <w:noProof/>
                <w:webHidden/>
                <w:szCs w:val="24"/>
              </w:rPr>
              <w:tab/>
            </w:r>
            <w:r w:rsidRPr="00EC1ADF">
              <w:rPr>
                <w:rFonts w:ascii="Calibri" w:hAnsi="Calibri" w:cs="Calibri"/>
                <w:noProof/>
                <w:webHidden/>
                <w:szCs w:val="24"/>
              </w:rPr>
              <w:fldChar w:fldCharType="begin"/>
            </w:r>
            <w:r w:rsidRPr="00EC1ADF">
              <w:rPr>
                <w:rFonts w:ascii="Calibri" w:hAnsi="Calibri" w:cs="Calibri"/>
                <w:noProof/>
                <w:webHidden/>
                <w:szCs w:val="24"/>
              </w:rPr>
              <w:instrText xml:space="preserve"> PAGEREF _Toc224846299 \h </w:instrText>
            </w:r>
            <w:r w:rsidRPr="00EC1ADF">
              <w:rPr>
                <w:rFonts w:ascii="Calibri" w:hAnsi="Calibri" w:cs="Calibri"/>
                <w:noProof/>
                <w:webHidden/>
                <w:szCs w:val="24"/>
              </w:rPr>
            </w:r>
            <w:r w:rsidRPr="00EC1ADF">
              <w:rPr>
                <w:rFonts w:ascii="Calibri" w:hAnsi="Calibri" w:cs="Calibri"/>
                <w:noProof/>
                <w:webHidden/>
                <w:szCs w:val="24"/>
              </w:rPr>
              <w:fldChar w:fldCharType="separate"/>
            </w:r>
            <w:r w:rsidRPr="00EC1ADF">
              <w:rPr>
                <w:rFonts w:ascii="Calibri" w:hAnsi="Calibri" w:cs="Calibri"/>
                <w:noProof/>
                <w:webHidden/>
                <w:szCs w:val="24"/>
              </w:rPr>
              <w:t>2</w:t>
            </w:r>
            <w:r w:rsidRPr="00EC1ADF">
              <w:rPr>
                <w:rFonts w:ascii="Calibri" w:hAnsi="Calibri" w:cs="Calibri"/>
                <w:noProof/>
                <w:webHidden/>
                <w:szCs w:val="24"/>
              </w:rPr>
              <w:fldChar w:fldCharType="end"/>
            </w:r>
          </w:hyperlink>
        </w:p>
        <w:p w14:paraId="054E1C93" w14:textId="76C52AA6" w:rsidR="00CC67E8" w:rsidRPr="00EC1ADF" w:rsidRDefault="00CC67E8" w:rsidP="00EC1ADF">
          <w:pPr>
            <w:pStyle w:val="TOC2"/>
            <w:tabs>
              <w:tab w:val="right" w:leader="dot" w:pos="9350"/>
            </w:tabs>
            <w:spacing w:line="480" w:lineRule="auto"/>
            <w:rPr>
              <w:rFonts w:ascii="Calibri" w:hAnsi="Calibri" w:cs="Calibri"/>
              <w:noProof/>
              <w:szCs w:val="24"/>
            </w:rPr>
          </w:pPr>
          <w:hyperlink w:anchor="_Toc224846300" w:history="1">
            <w:r w:rsidRPr="00EC1ADF">
              <w:rPr>
                <w:rStyle w:val="Hyperlink"/>
                <w:rFonts w:ascii="Calibri" w:hAnsi="Calibri" w:cs="Calibri"/>
                <w:noProof/>
                <w:color w:val="auto"/>
                <w:szCs w:val="24"/>
              </w:rPr>
              <w:t>Introduction</w:t>
            </w:r>
            <w:r w:rsidRPr="00EC1ADF">
              <w:rPr>
                <w:rFonts w:ascii="Calibri" w:hAnsi="Calibri" w:cs="Calibri"/>
                <w:noProof/>
                <w:webHidden/>
                <w:szCs w:val="24"/>
              </w:rPr>
              <w:tab/>
            </w:r>
            <w:r w:rsidRPr="00EC1ADF">
              <w:rPr>
                <w:rFonts w:ascii="Calibri" w:hAnsi="Calibri" w:cs="Calibri"/>
                <w:noProof/>
                <w:webHidden/>
                <w:szCs w:val="24"/>
              </w:rPr>
              <w:fldChar w:fldCharType="begin"/>
            </w:r>
            <w:r w:rsidRPr="00EC1ADF">
              <w:rPr>
                <w:rFonts w:ascii="Calibri" w:hAnsi="Calibri" w:cs="Calibri"/>
                <w:noProof/>
                <w:webHidden/>
                <w:szCs w:val="24"/>
              </w:rPr>
              <w:instrText xml:space="preserve"> PAGEREF _Toc224846300 \h </w:instrText>
            </w:r>
            <w:r w:rsidRPr="00EC1ADF">
              <w:rPr>
                <w:rFonts w:ascii="Calibri" w:hAnsi="Calibri" w:cs="Calibri"/>
                <w:noProof/>
                <w:webHidden/>
                <w:szCs w:val="24"/>
              </w:rPr>
            </w:r>
            <w:r w:rsidRPr="00EC1ADF">
              <w:rPr>
                <w:rFonts w:ascii="Calibri" w:hAnsi="Calibri" w:cs="Calibri"/>
                <w:noProof/>
                <w:webHidden/>
                <w:szCs w:val="24"/>
              </w:rPr>
              <w:fldChar w:fldCharType="separate"/>
            </w:r>
            <w:r w:rsidRPr="00EC1ADF">
              <w:rPr>
                <w:rFonts w:ascii="Calibri" w:hAnsi="Calibri" w:cs="Calibri"/>
                <w:noProof/>
                <w:webHidden/>
                <w:szCs w:val="24"/>
              </w:rPr>
              <w:t>4</w:t>
            </w:r>
            <w:r w:rsidRPr="00EC1ADF">
              <w:rPr>
                <w:rFonts w:ascii="Calibri" w:hAnsi="Calibri" w:cs="Calibri"/>
                <w:noProof/>
                <w:webHidden/>
                <w:szCs w:val="24"/>
              </w:rPr>
              <w:fldChar w:fldCharType="end"/>
            </w:r>
          </w:hyperlink>
        </w:p>
        <w:p w14:paraId="20AAF138" w14:textId="3F45D7B7" w:rsidR="00CC67E8" w:rsidRPr="00EC1ADF" w:rsidRDefault="00CC67E8" w:rsidP="00EC1ADF">
          <w:pPr>
            <w:pStyle w:val="TOC2"/>
            <w:tabs>
              <w:tab w:val="right" w:leader="dot" w:pos="9350"/>
            </w:tabs>
            <w:spacing w:line="480" w:lineRule="auto"/>
            <w:rPr>
              <w:rFonts w:ascii="Calibri" w:hAnsi="Calibri" w:cs="Calibri"/>
              <w:noProof/>
              <w:szCs w:val="24"/>
            </w:rPr>
          </w:pPr>
          <w:hyperlink w:anchor="_Toc224846301" w:history="1">
            <w:r w:rsidRPr="00EC1ADF">
              <w:rPr>
                <w:rStyle w:val="Hyperlink"/>
                <w:rFonts w:ascii="Calibri" w:hAnsi="Calibri" w:cs="Calibri"/>
                <w:noProof/>
                <w:color w:val="auto"/>
                <w:szCs w:val="24"/>
              </w:rPr>
              <w:t>Literature Review</w:t>
            </w:r>
            <w:r w:rsidRPr="00EC1ADF">
              <w:rPr>
                <w:rFonts w:ascii="Calibri" w:hAnsi="Calibri" w:cs="Calibri"/>
                <w:noProof/>
                <w:webHidden/>
                <w:szCs w:val="24"/>
              </w:rPr>
              <w:tab/>
            </w:r>
            <w:r w:rsidRPr="00EC1ADF">
              <w:rPr>
                <w:rFonts w:ascii="Calibri" w:hAnsi="Calibri" w:cs="Calibri"/>
                <w:noProof/>
                <w:webHidden/>
                <w:szCs w:val="24"/>
              </w:rPr>
              <w:fldChar w:fldCharType="begin"/>
            </w:r>
            <w:r w:rsidRPr="00EC1ADF">
              <w:rPr>
                <w:rFonts w:ascii="Calibri" w:hAnsi="Calibri" w:cs="Calibri"/>
                <w:noProof/>
                <w:webHidden/>
                <w:szCs w:val="24"/>
              </w:rPr>
              <w:instrText xml:space="preserve"> PAGEREF _Toc224846301 \h </w:instrText>
            </w:r>
            <w:r w:rsidRPr="00EC1ADF">
              <w:rPr>
                <w:rFonts w:ascii="Calibri" w:hAnsi="Calibri" w:cs="Calibri"/>
                <w:noProof/>
                <w:webHidden/>
                <w:szCs w:val="24"/>
              </w:rPr>
            </w:r>
            <w:r w:rsidRPr="00EC1ADF">
              <w:rPr>
                <w:rFonts w:ascii="Calibri" w:hAnsi="Calibri" w:cs="Calibri"/>
                <w:noProof/>
                <w:webHidden/>
                <w:szCs w:val="24"/>
              </w:rPr>
              <w:fldChar w:fldCharType="separate"/>
            </w:r>
            <w:r w:rsidRPr="00EC1ADF">
              <w:rPr>
                <w:rFonts w:ascii="Calibri" w:hAnsi="Calibri" w:cs="Calibri"/>
                <w:noProof/>
                <w:webHidden/>
                <w:szCs w:val="24"/>
              </w:rPr>
              <w:t>6</w:t>
            </w:r>
            <w:r w:rsidRPr="00EC1ADF">
              <w:rPr>
                <w:rFonts w:ascii="Calibri" w:hAnsi="Calibri" w:cs="Calibri"/>
                <w:noProof/>
                <w:webHidden/>
                <w:szCs w:val="24"/>
              </w:rPr>
              <w:fldChar w:fldCharType="end"/>
            </w:r>
          </w:hyperlink>
        </w:p>
        <w:p w14:paraId="58F4C590" w14:textId="16C6D9F6" w:rsidR="00CC67E8" w:rsidRPr="00EC1ADF" w:rsidRDefault="00CC67E8" w:rsidP="00EC1ADF">
          <w:pPr>
            <w:pStyle w:val="TOC2"/>
            <w:tabs>
              <w:tab w:val="right" w:leader="dot" w:pos="9350"/>
            </w:tabs>
            <w:spacing w:line="480" w:lineRule="auto"/>
            <w:rPr>
              <w:rFonts w:ascii="Calibri" w:hAnsi="Calibri" w:cs="Calibri"/>
              <w:noProof/>
              <w:szCs w:val="24"/>
            </w:rPr>
          </w:pPr>
          <w:hyperlink w:anchor="_Toc224846302" w:history="1">
            <w:r w:rsidRPr="00EC1ADF">
              <w:rPr>
                <w:rStyle w:val="Hyperlink"/>
                <w:rFonts w:ascii="Calibri" w:hAnsi="Calibri" w:cs="Calibri"/>
                <w:noProof/>
                <w:color w:val="auto"/>
                <w:szCs w:val="24"/>
              </w:rPr>
              <w:t>Methodology</w:t>
            </w:r>
            <w:r w:rsidRPr="00EC1ADF">
              <w:rPr>
                <w:rFonts w:ascii="Calibri" w:hAnsi="Calibri" w:cs="Calibri"/>
                <w:noProof/>
                <w:webHidden/>
                <w:szCs w:val="24"/>
              </w:rPr>
              <w:tab/>
            </w:r>
            <w:r w:rsidRPr="00EC1ADF">
              <w:rPr>
                <w:rFonts w:ascii="Calibri" w:hAnsi="Calibri" w:cs="Calibri"/>
                <w:noProof/>
                <w:webHidden/>
                <w:szCs w:val="24"/>
              </w:rPr>
              <w:fldChar w:fldCharType="begin"/>
            </w:r>
            <w:r w:rsidRPr="00EC1ADF">
              <w:rPr>
                <w:rFonts w:ascii="Calibri" w:hAnsi="Calibri" w:cs="Calibri"/>
                <w:noProof/>
                <w:webHidden/>
                <w:szCs w:val="24"/>
              </w:rPr>
              <w:instrText xml:space="preserve"> PAGEREF _Toc224846302 \h </w:instrText>
            </w:r>
            <w:r w:rsidRPr="00EC1ADF">
              <w:rPr>
                <w:rFonts w:ascii="Calibri" w:hAnsi="Calibri" w:cs="Calibri"/>
                <w:noProof/>
                <w:webHidden/>
                <w:szCs w:val="24"/>
              </w:rPr>
            </w:r>
            <w:r w:rsidRPr="00EC1ADF">
              <w:rPr>
                <w:rFonts w:ascii="Calibri" w:hAnsi="Calibri" w:cs="Calibri"/>
                <w:noProof/>
                <w:webHidden/>
                <w:szCs w:val="24"/>
              </w:rPr>
              <w:fldChar w:fldCharType="separate"/>
            </w:r>
            <w:r w:rsidRPr="00EC1ADF">
              <w:rPr>
                <w:rFonts w:ascii="Calibri" w:hAnsi="Calibri" w:cs="Calibri"/>
                <w:noProof/>
                <w:webHidden/>
                <w:szCs w:val="24"/>
              </w:rPr>
              <w:t>9</w:t>
            </w:r>
            <w:r w:rsidRPr="00EC1ADF">
              <w:rPr>
                <w:rFonts w:ascii="Calibri" w:hAnsi="Calibri" w:cs="Calibri"/>
                <w:noProof/>
                <w:webHidden/>
                <w:szCs w:val="24"/>
              </w:rPr>
              <w:fldChar w:fldCharType="end"/>
            </w:r>
          </w:hyperlink>
        </w:p>
        <w:p w14:paraId="414C0572" w14:textId="6DCFED8E" w:rsidR="00CC67E8" w:rsidRPr="00EC1ADF" w:rsidRDefault="00CC67E8" w:rsidP="00EC1ADF">
          <w:pPr>
            <w:pStyle w:val="TOC2"/>
            <w:tabs>
              <w:tab w:val="right" w:leader="dot" w:pos="9350"/>
            </w:tabs>
            <w:spacing w:line="480" w:lineRule="auto"/>
            <w:rPr>
              <w:rFonts w:ascii="Calibri" w:hAnsi="Calibri" w:cs="Calibri"/>
              <w:noProof/>
              <w:szCs w:val="24"/>
            </w:rPr>
          </w:pPr>
          <w:hyperlink w:anchor="_Toc224846303" w:history="1">
            <w:r w:rsidRPr="00EC1ADF">
              <w:rPr>
                <w:rStyle w:val="Hyperlink"/>
                <w:rFonts w:ascii="Calibri" w:hAnsi="Calibri" w:cs="Calibri"/>
                <w:noProof/>
                <w:color w:val="auto"/>
                <w:szCs w:val="24"/>
              </w:rPr>
              <w:t>Methodology</w:t>
            </w:r>
            <w:r w:rsidRPr="00EC1ADF">
              <w:rPr>
                <w:rFonts w:ascii="Calibri" w:hAnsi="Calibri" w:cs="Calibri"/>
                <w:noProof/>
                <w:webHidden/>
                <w:szCs w:val="24"/>
              </w:rPr>
              <w:tab/>
            </w:r>
            <w:r w:rsidRPr="00EC1ADF">
              <w:rPr>
                <w:rFonts w:ascii="Calibri" w:hAnsi="Calibri" w:cs="Calibri"/>
                <w:noProof/>
                <w:webHidden/>
                <w:szCs w:val="24"/>
              </w:rPr>
              <w:fldChar w:fldCharType="begin"/>
            </w:r>
            <w:r w:rsidRPr="00EC1ADF">
              <w:rPr>
                <w:rFonts w:ascii="Calibri" w:hAnsi="Calibri" w:cs="Calibri"/>
                <w:noProof/>
                <w:webHidden/>
                <w:szCs w:val="24"/>
              </w:rPr>
              <w:instrText xml:space="preserve"> PAGEREF _Toc224846303 \h </w:instrText>
            </w:r>
            <w:r w:rsidRPr="00EC1ADF">
              <w:rPr>
                <w:rFonts w:ascii="Calibri" w:hAnsi="Calibri" w:cs="Calibri"/>
                <w:noProof/>
                <w:webHidden/>
                <w:szCs w:val="24"/>
              </w:rPr>
            </w:r>
            <w:r w:rsidRPr="00EC1ADF">
              <w:rPr>
                <w:rFonts w:ascii="Calibri" w:hAnsi="Calibri" w:cs="Calibri"/>
                <w:noProof/>
                <w:webHidden/>
                <w:szCs w:val="24"/>
              </w:rPr>
              <w:fldChar w:fldCharType="separate"/>
            </w:r>
            <w:r w:rsidRPr="00EC1ADF">
              <w:rPr>
                <w:rFonts w:ascii="Calibri" w:hAnsi="Calibri" w:cs="Calibri"/>
                <w:noProof/>
                <w:webHidden/>
                <w:szCs w:val="24"/>
              </w:rPr>
              <w:t>11</w:t>
            </w:r>
            <w:r w:rsidRPr="00EC1ADF">
              <w:rPr>
                <w:rFonts w:ascii="Calibri" w:hAnsi="Calibri" w:cs="Calibri"/>
                <w:noProof/>
                <w:webHidden/>
                <w:szCs w:val="24"/>
              </w:rPr>
              <w:fldChar w:fldCharType="end"/>
            </w:r>
          </w:hyperlink>
        </w:p>
        <w:p w14:paraId="1C79C1FB" w14:textId="165DE56E" w:rsidR="00CC67E8" w:rsidRPr="00EC1ADF" w:rsidRDefault="00CC67E8" w:rsidP="00EC1ADF">
          <w:pPr>
            <w:pStyle w:val="TOC2"/>
            <w:tabs>
              <w:tab w:val="right" w:leader="dot" w:pos="9350"/>
            </w:tabs>
            <w:spacing w:line="480" w:lineRule="auto"/>
            <w:rPr>
              <w:rFonts w:ascii="Calibri" w:hAnsi="Calibri" w:cs="Calibri"/>
              <w:noProof/>
              <w:szCs w:val="24"/>
            </w:rPr>
          </w:pPr>
          <w:hyperlink w:anchor="_Toc224846304" w:history="1">
            <w:r w:rsidRPr="00EC1ADF">
              <w:rPr>
                <w:rStyle w:val="Hyperlink"/>
                <w:rFonts w:ascii="Calibri" w:hAnsi="Calibri" w:cs="Calibri"/>
                <w:noProof/>
                <w:color w:val="auto"/>
                <w:szCs w:val="24"/>
              </w:rPr>
              <w:t>Findings</w:t>
            </w:r>
            <w:r w:rsidRPr="00EC1ADF">
              <w:rPr>
                <w:rFonts w:ascii="Calibri" w:hAnsi="Calibri" w:cs="Calibri"/>
                <w:noProof/>
                <w:webHidden/>
                <w:szCs w:val="24"/>
              </w:rPr>
              <w:tab/>
            </w:r>
            <w:r w:rsidRPr="00EC1ADF">
              <w:rPr>
                <w:rFonts w:ascii="Calibri" w:hAnsi="Calibri" w:cs="Calibri"/>
                <w:noProof/>
                <w:webHidden/>
                <w:szCs w:val="24"/>
              </w:rPr>
              <w:fldChar w:fldCharType="begin"/>
            </w:r>
            <w:r w:rsidRPr="00EC1ADF">
              <w:rPr>
                <w:rFonts w:ascii="Calibri" w:hAnsi="Calibri" w:cs="Calibri"/>
                <w:noProof/>
                <w:webHidden/>
                <w:szCs w:val="24"/>
              </w:rPr>
              <w:instrText xml:space="preserve"> PAGEREF _Toc224846304 \h </w:instrText>
            </w:r>
            <w:r w:rsidRPr="00EC1ADF">
              <w:rPr>
                <w:rFonts w:ascii="Calibri" w:hAnsi="Calibri" w:cs="Calibri"/>
                <w:noProof/>
                <w:webHidden/>
                <w:szCs w:val="24"/>
              </w:rPr>
            </w:r>
            <w:r w:rsidRPr="00EC1ADF">
              <w:rPr>
                <w:rFonts w:ascii="Calibri" w:hAnsi="Calibri" w:cs="Calibri"/>
                <w:noProof/>
                <w:webHidden/>
                <w:szCs w:val="24"/>
              </w:rPr>
              <w:fldChar w:fldCharType="separate"/>
            </w:r>
            <w:r w:rsidRPr="00EC1ADF">
              <w:rPr>
                <w:rFonts w:ascii="Calibri" w:hAnsi="Calibri" w:cs="Calibri"/>
                <w:noProof/>
                <w:webHidden/>
                <w:szCs w:val="24"/>
              </w:rPr>
              <w:t>13</w:t>
            </w:r>
            <w:r w:rsidRPr="00EC1ADF">
              <w:rPr>
                <w:rFonts w:ascii="Calibri" w:hAnsi="Calibri" w:cs="Calibri"/>
                <w:noProof/>
                <w:webHidden/>
                <w:szCs w:val="24"/>
              </w:rPr>
              <w:fldChar w:fldCharType="end"/>
            </w:r>
          </w:hyperlink>
        </w:p>
        <w:p w14:paraId="06136C51" w14:textId="0A1630D9" w:rsidR="00CC67E8" w:rsidRPr="00EC1ADF" w:rsidRDefault="00CC67E8" w:rsidP="00EC1ADF">
          <w:pPr>
            <w:pStyle w:val="TOC2"/>
            <w:tabs>
              <w:tab w:val="right" w:leader="dot" w:pos="9350"/>
            </w:tabs>
            <w:spacing w:line="480" w:lineRule="auto"/>
            <w:rPr>
              <w:rFonts w:ascii="Calibri" w:hAnsi="Calibri" w:cs="Calibri"/>
              <w:noProof/>
              <w:szCs w:val="24"/>
            </w:rPr>
          </w:pPr>
          <w:hyperlink w:anchor="_Toc224846305" w:history="1">
            <w:r w:rsidRPr="00EC1ADF">
              <w:rPr>
                <w:rStyle w:val="Hyperlink"/>
                <w:rFonts w:ascii="Calibri" w:hAnsi="Calibri" w:cs="Calibri"/>
                <w:noProof/>
                <w:color w:val="auto"/>
                <w:szCs w:val="24"/>
              </w:rPr>
              <w:t>Discussion</w:t>
            </w:r>
            <w:r w:rsidRPr="00EC1ADF">
              <w:rPr>
                <w:rFonts w:ascii="Calibri" w:hAnsi="Calibri" w:cs="Calibri"/>
                <w:noProof/>
                <w:webHidden/>
                <w:szCs w:val="24"/>
              </w:rPr>
              <w:tab/>
            </w:r>
            <w:r w:rsidRPr="00EC1ADF">
              <w:rPr>
                <w:rFonts w:ascii="Calibri" w:hAnsi="Calibri" w:cs="Calibri"/>
                <w:noProof/>
                <w:webHidden/>
                <w:szCs w:val="24"/>
              </w:rPr>
              <w:fldChar w:fldCharType="begin"/>
            </w:r>
            <w:r w:rsidRPr="00EC1ADF">
              <w:rPr>
                <w:rFonts w:ascii="Calibri" w:hAnsi="Calibri" w:cs="Calibri"/>
                <w:noProof/>
                <w:webHidden/>
                <w:szCs w:val="24"/>
              </w:rPr>
              <w:instrText xml:space="preserve"> PAGEREF _Toc224846305 \h </w:instrText>
            </w:r>
            <w:r w:rsidRPr="00EC1ADF">
              <w:rPr>
                <w:rFonts w:ascii="Calibri" w:hAnsi="Calibri" w:cs="Calibri"/>
                <w:noProof/>
                <w:webHidden/>
                <w:szCs w:val="24"/>
              </w:rPr>
            </w:r>
            <w:r w:rsidRPr="00EC1ADF">
              <w:rPr>
                <w:rFonts w:ascii="Calibri" w:hAnsi="Calibri" w:cs="Calibri"/>
                <w:noProof/>
                <w:webHidden/>
                <w:szCs w:val="24"/>
              </w:rPr>
              <w:fldChar w:fldCharType="separate"/>
            </w:r>
            <w:r w:rsidRPr="00EC1ADF">
              <w:rPr>
                <w:rFonts w:ascii="Calibri" w:hAnsi="Calibri" w:cs="Calibri"/>
                <w:noProof/>
                <w:webHidden/>
                <w:szCs w:val="24"/>
              </w:rPr>
              <w:t>16</w:t>
            </w:r>
            <w:r w:rsidRPr="00EC1ADF">
              <w:rPr>
                <w:rFonts w:ascii="Calibri" w:hAnsi="Calibri" w:cs="Calibri"/>
                <w:noProof/>
                <w:webHidden/>
                <w:szCs w:val="24"/>
              </w:rPr>
              <w:fldChar w:fldCharType="end"/>
            </w:r>
          </w:hyperlink>
        </w:p>
        <w:p w14:paraId="322F0065" w14:textId="509A2EE0" w:rsidR="00CC67E8" w:rsidRPr="00EC1ADF" w:rsidRDefault="00CC67E8" w:rsidP="00EC1ADF">
          <w:pPr>
            <w:pStyle w:val="TOC2"/>
            <w:tabs>
              <w:tab w:val="right" w:leader="dot" w:pos="9350"/>
            </w:tabs>
            <w:spacing w:line="480" w:lineRule="auto"/>
            <w:rPr>
              <w:rFonts w:ascii="Calibri" w:hAnsi="Calibri" w:cs="Calibri"/>
              <w:noProof/>
              <w:szCs w:val="24"/>
            </w:rPr>
          </w:pPr>
          <w:hyperlink w:anchor="_Toc224846306" w:history="1">
            <w:r w:rsidRPr="00EC1ADF">
              <w:rPr>
                <w:rStyle w:val="Hyperlink"/>
                <w:rFonts w:ascii="Calibri" w:hAnsi="Calibri" w:cs="Calibri"/>
                <w:noProof/>
                <w:color w:val="auto"/>
                <w:szCs w:val="24"/>
              </w:rPr>
              <w:t>Conclusion</w:t>
            </w:r>
            <w:r w:rsidRPr="00EC1ADF">
              <w:rPr>
                <w:rFonts w:ascii="Calibri" w:hAnsi="Calibri" w:cs="Calibri"/>
                <w:noProof/>
                <w:webHidden/>
                <w:szCs w:val="24"/>
              </w:rPr>
              <w:tab/>
            </w:r>
            <w:r w:rsidRPr="00EC1ADF">
              <w:rPr>
                <w:rFonts w:ascii="Calibri" w:hAnsi="Calibri" w:cs="Calibri"/>
                <w:noProof/>
                <w:webHidden/>
                <w:szCs w:val="24"/>
              </w:rPr>
              <w:fldChar w:fldCharType="begin"/>
            </w:r>
            <w:r w:rsidRPr="00EC1ADF">
              <w:rPr>
                <w:rFonts w:ascii="Calibri" w:hAnsi="Calibri" w:cs="Calibri"/>
                <w:noProof/>
                <w:webHidden/>
                <w:szCs w:val="24"/>
              </w:rPr>
              <w:instrText xml:space="preserve"> PAGEREF _Toc224846306 \h </w:instrText>
            </w:r>
            <w:r w:rsidRPr="00EC1ADF">
              <w:rPr>
                <w:rFonts w:ascii="Calibri" w:hAnsi="Calibri" w:cs="Calibri"/>
                <w:noProof/>
                <w:webHidden/>
                <w:szCs w:val="24"/>
              </w:rPr>
            </w:r>
            <w:r w:rsidRPr="00EC1ADF">
              <w:rPr>
                <w:rFonts w:ascii="Calibri" w:hAnsi="Calibri" w:cs="Calibri"/>
                <w:noProof/>
                <w:webHidden/>
                <w:szCs w:val="24"/>
              </w:rPr>
              <w:fldChar w:fldCharType="separate"/>
            </w:r>
            <w:r w:rsidRPr="00EC1ADF">
              <w:rPr>
                <w:rFonts w:ascii="Calibri" w:hAnsi="Calibri" w:cs="Calibri"/>
                <w:noProof/>
                <w:webHidden/>
                <w:szCs w:val="24"/>
              </w:rPr>
              <w:t>20</w:t>
            </w:r>
            <w:r w:rsidRPr="00EC1ADF">
              <w:rPr>
                <w:rFonts w:ascii="Calibri" w:hAnsi="Calibri" w:cs="Calibri"/>
                <w:noProof/>
                <w:webHidden/>
                <w:szCs w:val="24"/>
              </w:rPr>
              <w:fldChar w:fldCharType="end"/>
            </w:r>
          </w:hyperlink>
        </w:p>
        <w:p w14:paraId="502EF988" w14:textId="4ECC61A9" w:rsidR="00CC67E8" w:rsidRPr="00EC1ADF" w:rsidRDefault="00CC67E8" w:rsidP="00EC1ADF">
          <w:pPr>
            <w:pStyle w:val="TOC2"/>
            <w:tabs>
              <w:tab w:val="right" w:leader="dot" w:pos="9350"/>
            </w:tabs>
            <w:spacing w:line="480" w:lineRule="auto"/>
            <w:rPr>
              <w:rFonts w:ascii="Calibri" w:hAnsi="Calibri" w:cs="Calibri"/>
              <w:noProof/>
              <w:szCs w:val="24"/>
            </w:rPr>
          </w:pPr>
          <w:hyperlink w:anchor="_Toc224846307" w:history="1">
            <w:r w:rsidRPr="00EC1ADF">
              <w:rPr>
                <w:rStyle w:val="Hyperlink"/>
                <w:rFonts w:ascii="Calibri" w:hAnsi="Calibri" w:cs="Calibri"/>
                <w:noProof/>
                <w:color w:val="auto"/>
                <w:szCs w:val="24"/>
              </w:rPr>
              <w:t>References</w:t>
            </w:r>
            <w:r w:rsidRPr="00EC1ADF">
              <w:rPr>
                <w:rFonts w:ascii="Calibri" w:hAnsi="Calibri" w:cs="Calibri"/>
                <w:noProof/>
                <w:webHidden/>
                <w:szCs w:val="24"/>
              </w:rPr>
              <w:tab/>
            </w:r>
            <w:r w:rsidRPr="00EC1ADF">
              <w:rPr>
                <w:rFonts w:ascii="Calibri" w:hAnsi="Calibri" w:cs="Calibri"/>
                <w:noProof/>
                <w:webHidden/>
                <w:szCs w:val="24"/>
              </w:rPr>
              <w:fldChar w:fldCharType="begin"/>
            </w:r>
            <w:r w:rsidRPr="00EC1ADF">
              <w:rPr>
                <w:rFonts w:ascii="Calibri" w:hAnsi="Calibri" w:cs="Calibri"/>
                <w:noProof/>
                <w:webHidden/>
                <w:szCs w:val="24"/>
              </w:rPr>
              <w:instrText xml:space="preserve"> PAGEREF _Toc224846307 \h </w:instrText>
            </w:r>
            <w:r w:rsidRPr="00EC1ADF">
              <w:rPr>
                <w:rFonts w:ascii="Calibri" w:hAnsi="Calibri" w:cs="Calibri"/>
                <w:noProof/>
                <w:webHidden/>
                <w:szCs w:val="24"/>
              </w:rPr>
            </w:r>
            <w:r w:rsidRPr="00EC1ADF">
              <w:rPr>
                <w:rFonts w:ascii="Calibri" w:hAnsi="Calibri" w:cs="Calibri"/>
                <w:noProof/>
                <w:webHidden/>
                <w:szCs w:val="24"/>
              </w:rPr>
              <w:fldChar w:fldCharType="separate"/>
            </w:r>
            <w:r w:rsidRPr="00EC1ADF">
              <w:rPr>
                <w:rFonts w:ascii="Calibri" w:hAnsi="Calibri" w:cs="Calibri"/>
                <w:noProof/>
                <w:webHidden/>
                <w:szCs w:val="24"/>
              </w:rPr>
              <w:t>22</w:t>
            </w:r>
            <w:r w:rsidRPr="00EC1ADF">
              <w:rPr>
                <w:rFonts w:ascii="Calibri" w:hAnsi="Calibri" w:cs="Calibri"/>
                <w:noProof/>
                <w:webHidden/>
                <w:szCs w:val="24"/>
              </w:rPr>
              <w:fldChar w:fldCharType="end"/>
            </w:r>
          </w:hyperlink>
        </w:p>
        <w:p w14:paraId="32BE55C2" w14:textId="11CB64C4" w:rsidR="00CC67E8" w:rsidRPr="00EC1ADF" w:rsidRDefault="00CC67E8" w:rsidP="00EC1ADF">
          <w:pPr>
            <w:spacing w:line="480" w:lineRule="auto"/>
            <w:rPr>
              <w:rFonts w:ascii="Calibri" w:hAnsi="Calibri" w:cs="Calibri"/>
              <w:szCs w:val="24"/>
            </w:rPr>
          </w:pPr>
          <w:r w:rsidRPr="00EC1ADF">
            <w:rPr>
              <w:rFonts w:ascii="Calibri" w:hAnsi="Calibri" w:cs="Calibri"/>
              <w:b/>
              <w:bCs/>
              <w:noProof/>
              <w:szCs w:val="24"/>
            </w:rPr>
            <w:fldChar w:fldCharType="end"/>
          </w:r>
        </w:p>
      </w:sdtContent>
    </w:sdt>
    <w:p w14:paraId="564A99E8" w14:textId="77777777" w:rsidR="00E4472F" w:rsidRPr="00EC1ADF" w:rsidRDefault="00E4472F" w:rsidP="00EC1ADF">
      <w:pPr>
        <w:spacing w:line="480" w:lineRule="auto"/>
        <w:rPr>
          <w:rFonts w:ascii="Calibri" w:hAnsi="Calibri" w:cs="Calibri"/>
          <w:b/>
          <w:bCs/>
          <w:szCs w:val="24"/>
        </w:rPr>
      </w:pPr>
    </w:p>
    <w:p w14:paraId="0A867957" w14:textId="77777777" w:rsidR="00E4472F" w:rsidRPr="00EC1ADF" w:rsidRDefault="00E4472F" w:rsidP="00EC1ADF">
      <w:pPr>
        <w:spacing w:line="480" w:lineRule="auto"/>
        <w:rPr>
          <w:rFonts w:ascii="Calibri" w:hAnsi="Calibri" w:cs="Calibri"/>
          <w:b/>
          <w:bCs/>
          <w:szCs w:val="24"/>
        </w:rPr>
      </w:pPr>
    </w:p>
    <w:p w14:paraId="15031C97" w14:textId="77777777" w:rsidR="00E4472F" w:rsidRPr="00EC1ADF" w:rsidRDefault="00E4472F" w:rsidP="00EC1ADF">
      <w:pPr>
        <w:spacing w:line="480" w:lineRule="auto"/>
        <w:rPr>
          <w:rFonts w:ascii="Calibri" w:hAnsi="Calibri" w:cs="Calibri"/>
          <w:b/>
          <w:bCs/>
          <w:szCs w:val="24"/>
        </w:rPr>
      </w:pPr>
    </w:p>
    <w:p w14:paraId="68470339" w14:textId="77777777" w:rsidR="00E4472F" w:rsidRPr="00EC1ADF" w:rsidRDefault="00E4472F" w:rsidP="00EC1ADF">
      <w:pPr>
        <w:spacing w:line="480" w:lineRule="auto"/>
        <w:rPr>
          <w:rFonts w:ascii="Calibri" w:hAnsi="Calibri" w:cs="Calibri"/>
          <w:b/>
          <w:bCs/>
          <w:szCs w:val="24"/>
        </w:rPr>
      </w:pPr>
    </w:p>
    <w:p w14:paraId="2E7A1930" w14:textId="77777777" w:rsidR="00E4472F" w:rsidRPr="00EC1ADF" w:rsidRDefault="00E4472F" w:rsidP="00EC1ADF">
      <w:pPr>
        <w:spacing w:line="480" w:lineRule="auto"/>
        <w:rPr>
          <w:rFonts w:ascii="Calibri" w:hAnsi="Calibri" w:cs="Calibri"/>
          <w:b/>
          <w:bCs/>
          <w:szCs w:val="24"/>
        </w:rPr>
      </w:pPr>
    </w:p>
    <w:p w14:paraId="33A4BD5B" w14:textId="77777777" w:rsidR="00E4472F" w:rsidRPr="00EC1ADF" w:rsidRDefault="00E4472F" w:rsidP="00EC1ADF">
      <w:pPr>
        <w:spacing w:line="480" w:lineRule="auto"/>
        <w:rPr>
          <w:rFonts w:ascii="Calibri" w:hAnsi="Calibri" w:cs="Calibri"/>
          <w:b/>
          <w:bCs/>
          <w:szCs w:val="24"/>
        </w:rPr>
      </w:pPr>
    </w:p>
    <w:p w14:paraId="512A4556" w14:textId="014954D1" w:rsidR="00EC1ADF" w:rsidRPr="00EC1ADF" w:rsidRDefault="00EC1ADF" w:rsidP="00EC1ADF">
      <w:pPr>
        <w:pStyle w:val="Heading2"/>
        <w:spacing w:line="480" w:lineRule="auto"/>
        <w:rPr>
          <w:rFonts w:ascii="Calibri" w:eastAsiaTheme="minorHAnsi" w:hAnsi="Calibri" w:cs="Calibri"/>
          <w:b/>
          <w:bCs/>
          <w:color w:val="auto"/>
          <w:sz w:val="24"/>
          <w:szCs w:val="24"/>
        </w:rPr>
      </w:pPr>
      <w:bookmarkStart w:id="1" w:name="_Toc224846307"/>
      <w:r w:rsidRPr="00EC1ADF">
        <w:rPr>
          <w:rFonts w:ascii="Calibri" w:eastAsiaTheme="minorHAnsi" w:hAnsi="Calibri" w:cs="Calibri"/>
          <w:b/>
          <w:bCs/>
          <w:color w:val="auto"/>
          <w:sz w:val="24"/>
          <w:szCs w:val="24"/>
        </w:rPr>
        <w:lastRenderedPageBreak/>
        <w:t>Introduction</w:t>
      </w:r>
    </w:p>
    <w:p w14:paraId="77CAA3CC"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One of the thriving industries in the world is the tourism business, which contributes significantly to the economic development, labour market and civilisation. However, the rise of the number of tourism activities has contributed to the rising odds of accidents and legal tussles and raised important questions </w:t>
      </w:r>
      <w:r w:rsidRPr="00EC1ADF">
        <w:rPr>
          <w:rFonts w:ascii="Calibri" w:eastAsiaTheme="minorHAnsi" w:hAnsi="Calibri" w:cs="Calibri"/>
          <w:color w:val="auto"/>
          <w:sz w:val="24"/>
          <w:szCs w:val="24"/>
          <w:rtl/>
          <w:lang w:bidi="ar-SA"/>
        </w:rPr>
        <w:t>بشأن</w:t>
      </w:r>
      <w:r w:rsidRPr="00EC1ADF">
        <w:rPr>
          <w:rFonts w:ascii="Calibri" w:eastAsiaTheme="minorHAnsi" w:hAnsi="Calibri" w:cs="Calibri"/>
          <w:color w:val="auto"/>
          <w:sz w:val="24"/>
          <w:szCs w:val="24"/>
        </w:rPr>
        <w:t xml:space="preserve"> the liability and risk management. Tourism-related accidents can occur in various environments, including transportation, accommodation, recreation, and guided tours, which typically result in individual injuries, property damage, or even death (Page, 2019).</w:t>
      </w:r>
    </w:p>
    <w:p w14:paraId="33FAAEDD"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In law, the main liability in tourism lies in the concept of negligence or failure by a business to exercise reasonable care, thereby resulting into some harm or injury to customers. According to the doctrine of the duty of care, the tourism operators must do their best to ensure the safety of their clients (Holloway and Humphreys, 2019). Finding out whether a business has acted to the standard of care required, by its policies, procedures and adherence to safety regulations, is usually determined by the courts. Non-adherence to these standards can result in lawsuits and substantial financial penalties (Dickinson et al., 2017).</w:t>
      </w:r>
    </w:p>
    <w:p w14:paraId="3313218A"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Tourism liability is also difficult </w:t>
      </w:r>
      <w:proofErr w:type="gramStart"/>
      <w:r w:rsidRPr="00EC1ADF">
        <w:rPr>
          <w:rFonts w:ascii="Calibri" w:eastAsiaTheme="minorHAnsi" w:hAnsi="Calibri" w:cs="Calibri"/>
          <w:color w:val="auto"/>
          <w:sz w:val="24"/>
          <w:szCs w:val="24"/>
        </w:rPr>
        <w:t>due to the fact that</w:t>
      </w:r>
      <w:proofErr w:type="gramEnd"/>
      <w:r w:rsidRPr="00EC1ADF">
        <w:rPr>
          <w:rFonts w:ascii="Calibri" w:eastAsiaTheme="minorHAnsi" w:hAnsi="Calibri" w:cs="Calibri"/>
          <w:color w:val="auto"/>
          <w:sz w:val="24"/>
          <w:szCs w:val="24"/>
        </w:rPr>
        <w:t xml:space="preserve"> tourism is a global industry. Cross border traveling is linked with different legal jurisdictions that each has its system of regulation. The international conventions such as the international conventions of aviation and maritime transport have some standardization of the liability rules, but at the national level there are still significant variations (Shaw and Williams, 2004). This is a challenge to both the tourists seeking the redress of the law or the businesses seeking to comply with the various legal requirements.</w:t>
      </w:r>
    </w:p>
    <w:p w14:paraId="7FFA6905"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Risk management has therefore been a significant component of tourism activity. Risk management involves the recognition of the potential hazards, risk assessment, and risk reduction to prevent the occurrence of any accident or minimize their impact. Evans et al. (2020) observe that proactive risk management activities can reduce the risk of aligning, in addition to enhancing customer confidence and reputation of the organization. The most prevalent risk containment plans include personnel training, risk audits, emergency response plans, and general insurance covers.</w:t>
      </w:r>
    </w:p>
    <w:p w14:paraId="449BE65E"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Legal compliance is also the central feature of tourism risk management. Regulatory variability relative to businesses is rather broad because they include health and safety standards, licensing regulations and consumer protection laws. Compliance with these regulations would reduce the legal risk and ensure that businesses operate within the accepted legal limits (Hall, 2019). Terms and conditions to limit liability can also be found in business and customer contractual agreements, but the type of agreement must be reasonable and enforceable as per the laws that exist (McKercher and Prideaux, 2014).</w:t>
      </w:r>
    </w:p>
    <w:p w14:paraId="2BE1803D"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Moreover, the increased sophistication of the tourism activities, including adventure tourism and </w:t>
      </w:r>
      <w:proofErr w:type="spellStart"/>
      <w:r w:rsidRPr="00EC1ADF">
        <w:rPr>
          <w:rFonts w:ascii="Calibri" w:eastAsiaTheme="minorHAnsi" w:hAnsi="Calibri" w:cs="Calibri"/>
          <w:color w:val="auto"/>
          <w:sz w:val="24"/>
          <w:szCs w:val="24"/>
        </w:rPr>
        <w:t>eco tourism</w:t>
      </w:r>
      <w:proofErr w:type="spellEnd"/>
      <w:r w:rsidRPr="00EC1ADF">
        <w:rPr>
          <w:rFonts w:ascii="Calibri" w:eastAsiaTheme="minorHAnsi" w:hAnsi="Calibri" w:cs="Calibri"/>
          <w:color w:val="auto"/>
          <w:sz w:val="24"/>
          <w:szCs w:val="24"/>
        </w:rPr>
        <w:t xml:space="preserve"> has introduced new risks and legal concerns. The risk, in such instances, is typically more severe, and the businesses must implement stricter safety protocols and introduce the customers to the clear information about the potential risks </w:t>
      </w:r>
      <w:r w:rsidRPr="00EC1ADF">
        <w:rPr>
          <w:rFonts w:ascii="Calibri" w:eastAsiaTheme="minorHAnsi" w:hAnsi="Calibri" w:cs="Calibri"/>
          <w:color w:val="auto"/>
          <w:sz w:val="24"/>
          <w:szCs w:val="24"/>
          <w:rtl/>
          <w:lang w:bidi="ar-SA"/>
        </w:rPr>
        <w:t>بشأن</w:t>
      </w:r>
      <w:r w:rsidRPr="00EC1ADF">
        <w:rPr>
          <w:rFonts w:ascii="Calibri" w:eastAsiaTheme="minorHAnsi" w:hAnsi="Calibri" w:cs="Calibri"/>
          <w:color w:val="auto"/>
          <w:sz w:val="24"/>
          <w:szCs w:val="24"/>
        </w:rPr>
        <w:t xml:space="preserve"> them (</w:t>
      </w:r>
      <w:proofErr w:type="spellStart"/>
      <w:r w:rsidRPr="00EC1ADF">
        <w:rPr>
          <w:rFonts w:ascii="Calibri" w:eastAsiaTheme="minorHAnsi" w:hAnsi="Calibri" w:cs="Calibri"/>
          <w:color w:val="auto"/>
          <w:sz w:val="24"/>
          <w:szCs w:val="24"/>
        </w:rPr>
        <w:t>Gössling</w:t>
      </w:r>
      <w:proofErr w:type="spellEnd"/>
      <w:r w:rsidRPr="00EC1ADF">
        <w:rPr>
          <w:rFonts w:ascii="Calibri" w:eastAsiaTheme="minorHAnsi" w:hAnsi="Calibri" w:cs="Calibri"/>
          <w:color w:val="auto"/>
          <w:sz w:val="24"/>
          <w:szCs w:val="24"/>
        </w:rPr>
        <w:t xml:space="preserve"> et al., 2020). Failure to supply the customers with proper information and risk management can lead to legalities and reputation losses.</w:t>
      </w:r>
    </w:p>
    <w:p w14:paraId="050160B5"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 xml:space="preserve">Overall, tourism liability and risk management have substantial connections; the companies should question the legal frameworks and business efficiency. The role of deploying the full-fledged risk management and the legal compliance need will continue to increase as the industry matures further. This report aims to critically </w:t>
      </w:r>
      <w:proofErr w:type="spellStart"/>
      <w:r w:rsidRPr="00EC1ADF">
        <w:rPr>
          <w:rFonts w:ascii="Calibri" w:eastAsiaTheme="minorHAnsi" w:hAnsi="Calibri" w:cs="Calibri"/>
          <w:color w:val="auto"/>
          <w:sz w:val="24"/>
          <w:szCs w:val="24"/>
        </w:rPr>
        <w:t>analyze</w:t>
      </w:r>
      <w:proofErr w:type="spellEnd"/>
      <w:r w:rsidRPr="00EC1ADF">
        <w:rPr>
          <w:rFonts w:ascii="Calibri" w:eastAsiaTheme="minorHAnsi" w:hAnsi="Calibri" w:cs="Calibri"/>
          <w:color w:val="auto"/>
          <w:sz w:val="24"/>
          <w:szCs w:val="24"/>
        </w:rPr>
        <w:t xml:space="preserve"> these issues and provide an insight on how tourism business can mitigate the risks and prevent liability suits.</w:t>
      </w:r>
    </w:p>
    <w:p w14:paraId="20E7AA3E"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Literature Review</w:t>
      </w:r>
    </w:p>
    <w:p w14:paraId="727ABF9F"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Tourism liability and risk management has been brought to the forefront of tourism law and policy because of the increasing complexity and globalisation of tourism. The literature emphasizes that negligence, improper safety measures, or the lack of conformity to the law are often the causes of accidents related to tourism, and liability is a major concern of tourism businesses (Page, 2019; Holloway and Humphreys, 2019). As a result, scholars have extensively studied the legal principles that go into the matter of liability like the duty of care, negligence, and a contractual liability.</w:t>
      </w:r>
    </w:p>
    <w:p w14:paraId="6A163251"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The concept of duty of care is relevant in determining the liability within the tourism industry. It is the legal responsibility of business firms to take reasonable precautions to ensure that their customers are safe. Failure to meet this can result in negligence respectively, which is among the most prevalent legal concerns in tourism (Dickinson et al., 2017). According to Hall (2019), when deciding on the liability, the courts will consider the activities of the tourism operators to confirm that they have taken the required safety precautions and conformed to the industry standards. This demonstrates the need to maintain the safety standards high and meet the requirements of the regulations.</w:t>
      </w:r>
    </w:p>
    <w:p w14:paraId="70953B7E"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 xml:space="preserve">Risk management also is closely related to the prevention of liability since it presupposes the definition of </w:t>
      </w:r>
      <w:proofErr w:type="gramStart"/>
      <w:r w:rsidRPr="00EC1ADF">
        <w:rPr>
          <w:rFonts w:ascii="Calibri" w:eastAsiaTheme="minorHAnsi" w:hAnsi="Calibri" w:cs="Calibri"/>
          <w:color w:val="auto"/>
          <w:sz w:val="24"/>
          <w:szCs w:val="24"/>
        </w:rPr>
        <w:t>potential</w:t>
      </w:r>
      <w:proofErr w:type="gramEnd"/>
      <w:r w:rsidRPr="00EC1ADF">
        <w:rPr>
          <w:rFonts w:ascii="Calibri" w:eastAsiaTheme="minorHAnsi" w:hAnsi="Calibri" w:cs="Calibri"/>
          <w:color w:val="auto"/>
          <w:sz w:val="24"/>
          <w:szCs w:val="24"/>
        </w:rPr>
        <w:t xml:space="preserve"> dangerous situations and implementing corresponding measures to prevent hazards. As Evans et al. (2020) claim, not only does the presence of effective risk management strategies result in a lower risk of accidents, but also the increased resilience and reputation of the organization. Such strategies include safety audit, staff training, emergency response plan and technology to track risks. Additionally, insurance coverage also plays a very important role in the process of risk management because it provides protection against liability claims (Holloway and Humphreys, 2019).</w:t>
      </w:r>
    </w:p>
    <w:p w14:paraId="28184A75"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The other area that is raised in the literature is the role of international conventions in regulating the liability in tourism. Airline liability regulations and laws such as the Warsaw Convention and the Montreal Convention offer the laws under which passengers are compensated in the event of accidents or delays (Shaw and Williams, 2004). However, the application of these conventions is not uniform across various jurisdictions, and this has been a challenge to tourists and other firms dealing with international travel. This underscores the necessity of harmonizing the laws to introduce consistency and fairness.</w:t>
      </w:r>
    </w:p>
    <w:p w14:paraId="46ED43BE"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Adventure tourism and high-risk activities have been of interest to the literature since they are linked to more liability risks. This type of sporting activity, such as skiing, scuba diving or mountaineering is linked with the fact that there is a certain risk, and the business must be especially more responsible about the safety and show clear information to participants </w:t>
      </w:r>
      <w:r w:rsidRPr="00EC1ADF">
        <w:rPr>
          <w:rFonts w:ascii="Calibri" w:eastAsiaTheme="minorHAnsi" w:hAnsi="Calibri" w:cs="Calibri"/>
          <w:color w:val="auto"/>
          <w:sz w:val="24"/>
          <w:szCs w:val="24"/>
          <w:rtl/>
          <w:lang w:bidi="ar-SA"/>
        </w:rPr>
        <w:t>بشأن</w:t>
      </w:r>
      <w:r w:rsidRPr="00EC1ADF">
        <w:rPr>
          <w:rFonts w:ascii="Calibri" w:eastAsiaTheme="minorHAnsi" w:hAnsi="Calibri" w:cs="Calibri"/>
          <w:color w:val="auto"/>
          <w:sz w:val="24"/>
          <w:szCs w:val="24"/>
        </w:rPr>
        <w:t xml:space="preserve"> the possible threats (</w:t>
      </w:r>
      <w:proofErr w:type="spellStart"/>
      <w:r w:rsidRPr="00EC1ADF">
        <w:rPr>
          <w:rFonts w:ascii="Calibri" w:eastAsiaTheme="minorHAnsi" w:hAnsi="Calibri" w:cs="Calibri"/>
          <w:color w:val="auto"/>
          <w:sz w:val="24"/>
          <w:szCs w:val="24"/>
        </w:rPr>
        <w:t>Gössling</w:t>
      </w:r>
      <w:proofErr w:type="spellEnd"/>
      <w:r w:rsidRPr="00EC1ADF">
        <w:rPr>
          <w:rFonts w:ascii="Calibri" w:eastAsiaTheme="minorHAnsi" w:hAnsi="Calibri" w:cs="Calibri"/>
          <w:color w:val="auto"/>
          <w:sz w:val="24"/>
          <w:szCs w:val="24"/>
        </w:rPr>
        <w:t xml:space="preserve"> et al., 2020). Inadequate information provision to customers or risk management can result in litigation and image damage.</w:t>
      </w:r>
    </w:p>
    <w:p w14:paraId="174CB6AE"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 xml:space="preserve">Contractual agreements form another concern of relevance in tourism liability. The tourism companies most of them add disclaimers and waivers </w:t>
      </w:r>
      <w:proofErr w:type="gramStart"/>
      <w:r w:rsidRPr="00EC1ADF">
        <w:rPr>
          <w:rFonts w:ascii="Calibri" w:eastAsiaTheme="minorHAnsi" w:hAnsi="Calibri" w:cs="Calibri"/>
          <w:color w:val="auto"/>
          <w:sz w:val="24"/>
          <w:szCs w:val="24"/>
        </w:rPr>
        <w:t>in order to</w:t>
      </w:r>
      <w:proofErr w:type="gramEnd"/>
      <w:r w:rsidRPr="00EC1ADF">
        <w:rPr>
          <w:rFonts w:ascii="Calibri" w:eastAsiaTheme="minorHAnsi" w:hAnsi="Calibri" w:cs="Calibri"/>
          <w:color w:val="auto"/>
          <w:sz w:val="24"/>
          <w:szCs w:val="24"/>
        </w:rPr>
        <w:t xml:space="preserve"> limit their liability to the terms and conditions. Such clauses can be enforced </w:t>
      </w:r>
      <w:proofErr w:type="gramStart"/>
      <w:r w:rsidRPr="00EC1ADF">
        <w:rPr>
          <w:rFonts w:ascii="Calibri" w:eastAsiaTheme="minorHAnsi" w:hAnsi="Calibri" w:cs="Calibri"/>
          <w:color w:val="auto"/>
          <w:sz w:val="24"/>
          <w:szCs w:val="24"/>
        </w:rPr>
        <w:t>on the basis of</w:t>
      </w:r>
      <w:proofErr w:type="gramEnd"/>
      <w:r w:rsidRPr="00EC1ADF">
        <w:rPr>
          <w:rFonts w:ascii="Calibri" w:eastAsiaTheme="minorHAnsi" w:hAnsi="Calibri" w:cs="Calibri"/>
          <w:color w:val="auto"/>
          <w:sz w:val="24"/>
          <w:szCs w:val="24"/>
        </w:rPr>
        <w:t xml:space="preserve"> their fairness and non-violation of consumer protection laws although (McKercher and Prideaux, 2014). The rejection of liability waivers (by the courts) can be </w:t>
      </w:r>
      <w:proofErr w:type="gramStart"/>
      <w:r w:rsidRPr="00EC1ADF">
        <w:rPr>
          <w:rFonts w:ascii="Calibri" w:eastAsiaTheme="minorHAnsi" w:hAnsi="Calibri" w:cs="Calibri"/>
          <w:color w:val="auto"/>
          <w:sz w:val="24"/>
          <w:szCs w:val="24"/>
        </w:rPr>
        <w:t>due to the fact that</w:t>
      </w:r>
      <w:proofErr w:type="gramEnd"/>
      <w:r w:rsidRPr="00EC1ADF">
        <w:rPr>
          <w:rFonts w:ascii="Calibri" w:eastAsiaTheme="minorHAnsi" w:hAnsi="Calibri" w:cs="Calibri"/>
          <w:color w:val="auto"/>
          <w:sz w:val="24"/>
          <w:szCs w:val="24"/>
        </w:rPr>
        <w:t xml:space="preserve"> it is determined that it is unfair or because the business has violated its duty of care.</w:t>
      </w:r>
    </w:p>
    <w:p w14:paraId="7508DED7"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Moreover, the development of online booking systems and digital platforms have also introduced new issues with tourism liability. Online travel agencies and sharing economy, such as Airbnb, are structured in multiple jurisdiction areas, which raises the question of how responsibility and liability are allocated in case of an accident or service failure (Xiang et al., 2017). This has witnessed the need of new regulations to address these new concerns.</w:t>
      </w:r>
    </w:p>
    <w:p w14:paraId="7059CFB2"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Corporate governance and ethical practices also play a significant role in addressing tourism liability. Properly instituted systems of governance will see to it that corporations comply with the law and will also be concerned with the protection of the customers. Trust and the reduction of the risk of legal disputes cannot exist without transparency and accountability (Hall, 2019). It is particularly true in an industry where customer experience and safety are closely linked.</w:t>
      </w:r>
    </w:p>
    <w:p w14:paraId="4081C797"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 xml:space="preserve">In general, the bulk of the literature suggests that tourism liability is a multidimensional and complex phenomenon that requires a combination of legal compliance, risk management, and ethical practices. </w:t>
      </w:r>
      <w:proofErr w:type="gramStart"/>
      <w:r w:rsidRPr="00EC1ADF">
        <w:rPr>
          <w:rFonts w:ascii="Calibri" w:eastAsiaTheme="minorHAnsi" w:hAnsi="Calibri" w:cs="Calibri"/>
          <w:color w:val="auto"/>
          <w:sz w:val="24"/>
          <w:szCs w:val="24"/>
        </w:rPr>
        <w:t>Despite the fact that</w:t>
      </w:r>
      <w:proofErr w:type="gramEnd"/>
      <w:r w:rsidRPr="00EC1ADF">
        <w:rPr>
          <w:rFonts w:ascii="Calibri" w:eastAsiaTheme="minorHAnsi" w:hAnsi="Calibri" w:cs="Calibri"/>
          <w:color w:val="auto"/>
          <w:sz w:val="24"/>
          <w:szCs w:val="24"/>
        </w:rPr>
        <w:t xml:space="preserve"> international conventions are an excellent means of controlling the liability, their effectiveness depends on the </w:t>
      </w:r>
      <w:proofErr w:type="gramStart"/>
      <w:r w:rsidRPr="00EC1ADF">
        <w:rPr>
          <w:rFonts w:ascii="Calibri" w:eastAsiaTheme="minorHAnsi" w:hAnsi="Calibri" w:cs="Calibri"/>
          <w:color w:val="auto"/>
          <w:sz w:val="24"/>
          <w:szCs w:val="24"/>
        </w:rPr>
        <w:t>manner in which</w:t>
      </w:r>
      <w:proofErr w:type="gramEnd"/>
      <w:r w:rsidRPr="00EC1ADF">
        <w:rPr>
          <w:rFonts w:ascii="Calibri" w:eastAsiaTheme="minorHAnsi" w:hAnsi="Calibri" w:cs="Calibri"/>
          <w:color w:val="auto"/>
          <w:sz w:val="24"/>
          <w:szCs w:val="24"/>
        </w:rPr>
        <w:t xml:space="preserve"> they have been applied and enforced on the national level. As tourism is evolving, the legal framework must be transformed according to the new challenges and threats.</w:t>
      </w:r>
    </w:p>
    <w:p w14:paraId="4DD2C34C"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299B137A"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3D46F322"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65EA2196"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Methodology</w:t>
      </w:r>
    </w:p>
    <w:p w14:paraId="62176735"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The researcher in this work has adopted the qualitative method of research </w:t>
      </w:r>
      <w:proofErr w:type="gramStart"/>
      <w:r w:rsidRPr="00EC1ADF">
        <w:rPr>
          <w:rFonts w:ascii="Calibri" w:eastAsiaTheme="minorHAnsi" w:hAnsi="Calibri" w:cs="Calibri"/>
          <w:color w:val="auto"/>
          <w:sz w:val="24"/>
          <w:szCs w:val="24"/>
        </w:rPr>
        <w:t>in an attempt to</w:t>
      </w:r>
      <w:proofErr w:type="gramEnd"/>
      <w:r w:rsidRPr="00EC1ADF">
        <w:rPr>
          <w:rFonts w:ascii="Calibri" w:eastAsiaTheme="minorHAnsi" w:hAnsi="Calibri" w:cs="Calibri"/>
          <w:color w:val="auto"/>
          <w:sz w:val="24"/>
          <w:szCs w:val="24"/>
        </w:rPr>
        <w:t xml:space="preserve"> discover the concept of tourism liability and risk management within a legal context. The research is </w:t>
      </w:r>
      <w:proofErr w:type="gramStart"/>
      <w:r w:rsidRPr="00EC1ADF">
        <w:rPr>
          <w:rFonts w:ascii="Calibri" w:eastAsiaTheme="minorHAnsi" w:hAnsi="Calibri" w:cs="Calibri"/>
          <w:color w:val="auto"/>
          <w:sz w:val="24"/>
          <w:szCs w:val="24"/>
        </w:rPr>
        <w:t>based on the fact that</w:t>
      </w:r>
      <w:proofErr w:type="gramEnd"/>
      <w:r w:rsidRPr="00EC1ADF">
        <w:rPr>
          <w:rFonts w:ascii="Calibri" w:eastAsiaTheme="minorHAnsi" w:hAnsi="Calibri" w:cs="Calibri"/>
          <w:color w:val="auto"/>
          <w:sz w:val="24"/>
          <w:szCs w:val="24"/>
        </w:rPr>
        <w:t xml:space="preserve"> the conducted research is carried out in the form of systematic review of the secondary literature, that is, academic journals, legal acts, textbooks, and reports of international organizations. This approach is appropriate since the study targets the investigation of legal principles, legal systems, and practices rather than the collection of empirical data of primary evidence.</w:t>
      </w:r>
    </w:p>
    <w:p w14:paraId="36DF55CA"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 xml:space="preserve">The data gathering process entailed identification of trustworthy academic databases through Google Scholar, JSTOR and ScienceDirect. The search keywords used were as </w:t>
      </w:r>
      <w:proofErr w:type="gramStart"/>
      <w:r w:rsidRPr="00EC1ADF">
        <w:rPr>
          <w:rFonts w:ascii="Calibri" w:eastAsiaTheme="minorHAnsi" w:hAnsi="Calibri" w:cs="Calibri"/>
          <w:color w:val="auto"/>
          <w:sz w:val="24"/>
          <w:szCs w:val="24"/>
        </w:rPr>
        <w:t>follows;</w:t>
      </w:r>
      <w:proofErr w:type="gramEnd"/>
      <w:r w:rsidRPr="00EC1ADF">
        <w:rPr>
          <w:rFonts w:ascii="Calibri" w:eastAsiaTheme="minorHAnsi" w:hAnsi="Calibri" w:cs="Calibri"/>
          <w:color w:val="auto"/>
          <w:sz w:val="24"/>
          <w:szCs w:val="24"/>
        </w:rPr>
        <w:t xml:space="preserve"> tourism liability, risk management in tourism, duty of care, tourism law, and legal consequences of tourism accidents. Peer-reviewed articles or sources with DOI references were prioritized because of the necessity to ensure credibility and academic rigor (Evans et al., 2020; Hall, 2019).</w:t>
      </w:r>
    </w:p>
    <w:p w14:paraId="30EAF1B0"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A critical analysis framework was used to examine the relationship between the legal principles and risk management practices. This involved research on the use of principles such as negligence, duty of care and contractual liability in tourism cases. It also looks at the contribution of the international conventions and the national laws of regulation of the liability as they do in different jurisdictions where they are contrasted in terms of effectiveness (Shaw and Williams, 2004).</w:t>
      </w:r>
    </w:p>
    <w:p w14:paraId="4046B578"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The methodology has also used case-based analysis to present practical examples of tourism liability and risk management. The paper shows how the principles of law apply in practice by examining the examples of accidents and other legal disputes concerning tourism. This will enhance relevance of the research and will demonstrate practical meaning of the theoretical concepts.</w:t>
      </w:r>
    </w:p>
    <w:p w14:paraId="73AC8FD6"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This is triangulated </w:t>
      </w:r>
      <w:proofErr w:type="gramStart"/>
      <w:r w:rsidRPr="00EC1ADF">
        <w:rPr>
          <w:rFonts w:ascii="Calibri" w:eastAsiaTheme="minorHAnsi" w:hAnsi="Calibri" w:cs="Calibri"/>
          <w:color w:val="auto"/>
          <w:sz w:val="24"/>
          <w:szCs w:val="24"/>
        </w:rPr>
        <w:t>in order to</w:t>
      </w:r>
      <w:proofErr w:type="gramEnd"/>
      <w:r w:rsidRPr="00EC1ADF">
        <w:rPr>
          <w:rFonts w:ascii="Calibri" w:eastAsiaTheme="minorHAnsi" w:hAnsi="Calibri" w:cs="Calibri"/>
          <w:color w:val="auto"/>
          <w:sz w:val="24"/>
          <w:szCs w:val="24"/>
        </w:rPr>
        <w:t xml:space="preserve"> ensure validity and reliability in that the information of different sources is employed to provide a detailed analysis. This reduces the degree of bias and ensures that findings are supported by an assortment of perspectives. However, the use of secondary data has a few limitations as no information is provided on primary data collection and empirical research.</w:t>
      </w:r>
    </w:p>
    <w:p w14:paraId="3E16FD61"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 xml:space="preserve">Despite these limitations, the approach provides a structured and systematic means of studying the tourism liability and risk management. The theoretical background and the case studies come together to form a complete picture of how tourism businesses can mitigate the risk and protect themselves of </w:t>
      </w:r>
      <w:proofErr w:type="gramStart"/>
      <w:r w:rsidRPr="00EC1ADF">
        <w:rPr>
          <w:rFonts w:ascii="Calibri" w:eastAsiaTheme="minorHAnsi" w:hAnsi="Calibri" w:cs="Calibri"/>
          <w:color w:val="auto"/>
          <w:sz w:val="24"/>
          <w:szCs w:val="24"/>
        </w:rPr>
        <w:t>law suits</w:t>
      </w:r>
      <w:proofErr w:type="gramEnd"/>
      <w:r w:rsidRPr="00EC1ADF">
        <w:rPr>
          <w:rFonts w:ascii="Calibri" w:eastAsiaTheme="minorHAnsi" w:hAnsi="Calibri" w:cs="Calibri"/>
          <w:color w:val="auto"/>
          <w:sz w:val="24"/>
          <w:szCs w:val="24"/>
        </w:rPr>
        <w:t>.</w:t>
      </w:r>
    </w:p>
    <w:p w14:paraId="130336CD"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7D5A11AA"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Findings</w:t>
      </w:r>
    </w:p>
    <w:p w14:paraId="036493A2"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The findings of this paper indicate that the principles of law of duty of care, negligence and contractual obligations are the primary determinants of tourism liability. Tourism companies are expected to provide their customers with safe environment and their failure to do so can result in </w:t>
      </w:r>
      <w:proofErr w:type="gramStart"/>
      <w:r w:rsidRPr="00EC1ADF">
        <w:rPr>
          <w:rFonts w:ascii="Calibri" w:eastAsiaTheme="minorHAnsi" w:hAnsi="Calibri" w:cs="Calibri"/>
          <w:color w:val="auto"/>
          <w:sz w:val="24"/>
          <w:szCs w:val="24"/>
        </w:rPr>
        <w:t>law suits</w:t>
      </w:r>
      <w:proofErr w:type="gramEnd"/>
      <w:r w:rsidRPr="00EC1ADF">
        <w:rPr>
          <w:rFonts w:ascii="Calibri" w:eastAsiaTheme="minorHAnsi" w:hAnsi="Calibri" w:cs="Calibri"/>
          <w:color w:val="auto"/>
          <w:sz w:val="24"/>
          <w:szCs w:val="24"/>
        </w:rPr>
        <w:t>. Courts generally determine that businesses have taken reasonable security measures to prevent harm, including adhering to safety laws and legal requirements (Hall, 2019; Holloway and Humphreys, 2019). This evokes the desperate necessity of effective safety protocols and conformity measures.</w:t>
      </w:r>
    </w:p>
    <w:p w14:paraId="44805E7B"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The most notable is the fact that the most common premise of liability in accidents within the tourism context is carelessness. A situation in which companies are guilty includes failing to identify any potential risks they might encounter, providing justifiable warnings, or taking appropriate safety measures (Dickinson et al., 2017). With reference to the example, insufficient maintenance, lack of personnel training, or even the lack of supervision often </w:t>
      </w:r>
      <w:proofErr w:type="gramStart"/>
      <w:r w:rsidRPr="00EC1ADF">
        <w:rPr>
          <w:rFonts w:ascii="Calibri" w:eastAsiaTheme="minorHAnsi" w:hAnsi="Calibri" w:cs="Calibri"/>
          <w:color w:val="auto"/>
          <w:sz w:val="24"/>
          <w:szCs w:val="24"/>
        </w:rPr>
        <w:t>contribute</w:t>
      </w:r>
      <w:proofErr w:type="gramEnd"/>
      <w:r w:rsidRPr="00EC1ADF">
        <w:rPr>
          <w:rFonts w:ascii="Calibri" w:eastAsiaTheme="minorHAnsi" w:hAnsi="Calibri" w:cs="Calibri"/>
          <w:color w:val="auto"/>
          <w:sz w:val="24"/>
          <w:szCs w:val="24"/>
        </w:rPr>
        <w:t xml:space="preserve"> to accidents in hotels, transport services or even recreational activities. This indicates that the risk of exposure to legal risks is reduced through effective risk management.</w:t>
      </w:r>
    </w:p>
    <w:p w14:paraId="0BB56A1B"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The study also finds that the international conventions play a critical role in regulating the liability particularly in the aviation and maritime transport industries. The terms of compensation should there be passenger injury or delay and are standardized by conventions like the Montreal Convention and provide some uniformity in the jurisdiction (Shaw and Williams, 2004). International issues can be a problem in implementation, though, due to international differences in domestic legislation.</w:t>
      </w:r>
    </w:p>
    <w:p w14:paraId="49B443FB"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Accidents and liability control are viewed as some of the most important tools of risk management strategies. Business entities that engage in proactive risk management practices, such as regular safety inspections, worker training, and backup plans, will be less likely to be implicated into legal suits (Evans et al., 2020). Additionally, another relevant component of risk management is insurance coverage that may offer financial settlement in case of potential lawsuits and compensation lawsuits (Holloway and Humphreys, 2019).</w:t>
      </w:r>
    </w:p>
    <w:p w14:paraId="23A0DA8A"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The second important outcome is the increased liability complexity of adventure tourism and extreme sports. The examples of the activities that involve the degree of risks are skiing, diving, and trekking, and the businesses should guarantee more intense safety measures and present the participants with adequate information (</w:t>
      </w:r>
      <w:proofErr w:type="spellStart"/>
      <w:r w:rsidRPr="00EC1ADF">
        <w:rPr>
          <w:rFonts w:ascii="Calibri" w:eastAsiaTheme="minorHAnsi" w:hAnsi="Calibri" w:cs="Calibri"/>
          <w:color w:val="auto"/>
          <w:sz w:val="24"/>
          <w:szCs w:val="24"/>
        </w:rPr>
        <w:t>Gössling</w:t>
      </w:r>
      <w:proofErr w:type="spellEnd"/>
      <w:r w:rsidRPr="00EC1ADF">
        <w:rPr>
          <w:rFonts w:ascii="Calibri" w:eastAsiaTheme="minorHAnsi" w:hAnsi="Calibri" w:cs="Calibri"/>
          <w:color w:val="auto"/>
          <w:sz w:val="24"/>
          <w:szCs w:val="24"/>
        </w:rPr>
        <w:t xml:space="preserve"> et al., 2020). The inability to communicate to the customers properly or receive a well-informed consent can carry severe legal consequences.</w:t>
      </w:r>
    </w:p>
    <w:p w14:paraId="6CEC9840"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 xml:space="preserve">Another issue that the paper raises is the use of contractual agreements to address the issue of liability. Waivers and disclaimers are some of the terms and conditions that tourism businesses usually use to reduce their liability. However, these clauses are not always binding, particularly when they are deemed to be unfair or when the company has not fulfilled its care duty (McKercher and Prideaux, 2014). This means that operational practices need to be highly strong </w:t>
      </w:r>
      <w:proofErr w:type="gramStart"/>
      <w:r w:rsidRPr="00EC1ADF">
        <w:rPr>
          <w:rFonts w:ascii="Calibri" w:eastAsiaTheme="minorHAnsi" w:hAnsi="Calibri" w:cs="Calibri"/>
          <w:color w:val="auto"/>
          <w:sz w:val="24"/>
          <w:szCs w:val="24"/>
        </w:rPr>
        <w:t>so as to</w:t>
      </w:r>
      <w:proofErr w:type="gramEnd"/>
      <w:r w:rsidRPr="00EC1ADF">
        <w:rPr>
          <w:rFonts w:ascii="Calibri" w:eastAsiaTheme="minorHAnsi" w:hAnsi="Calibri" w:cs="Calibri"/>
          <w:color w:val="auto"/>
          <w:sz w:val="24"/>
          <w:szCs w:val="24"/>
        </w:rPr>
        <w:t xml:space="preserve"> support contractual safeguards that must be highly designed.</w:t>
      </w:r>
    </w:p>
    <w:p w14:paraId="4B99D153"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Alongside this, there are new tourism liability problems caused by the advent of digital platforms. The online travel agencies and sharing economy platforms offer their services in various jurisdictions, and in case of any accidents or service failures it is hard to pinpoint who is responsible (Xiang et al., 2017). This highlights the reality that emerging business models need new legal frameworks.</w:t>
      </w:r>
    </w:p>
    <w:p w14:paraId="67004394"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Overall, the findings confirm the fact that the question of tourism liability may be regarded as a complex and one that is reliant on the law and international conventions and practices. Legal standard and risk control play a very important role in reduction of liability and sustainability of tourism activities.</w:t>
      </w:r>
    </w:p>
    <w:p w14:paraId="102D6A39"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3950BDF0"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Discussion</w:t>
      </w:r>
    </w:p>
    <w:p w14:paraId="699360A0"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This study has exposed the dire necessity to entreat both legal compliance and risk management within the activities of a tourism company. Tourism liability is grounded on the concept of duty of care, according to which the business is supposed to focus on the safety of customers in any aspect of their business. As mentioned in the results, failure to meet this obligation may result in negligence suits, which remain the most popular kinds of court cases within the tourism industry (Dickinson et al., 2017).</w:t>
      </w:r>
    </w:p>
    <w:p w14:paraId="55EEBC0E"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One of the principal issues identified is the problem of liability management in the globalized tourism setting. The involvement of international conventions and country laws creates a complex legal environment, which businesses must be able to operate within. The international agreements provide a guideline in regulation of the liability, but the variation in the country of application can lead to inconsistencies and legal ambiguities (Shaw and Williams, 2004). This suggests that further integration of the law systems is necessary so that fairness and consistency in cross-border tourism is experienced.</w:t>
      </w:r>
    </w:p>
    <w:p w14:paraId="42B14E6F"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Risk management is one of the important challenges that emerge in the route of resolving these problems. Proactive risk management techniques, such as safety audits, staff training, and emergency planning, reduce the risk of accidents but also demonstrate the concern about the safety of customers (Evans et al., 2020). This aligns with the general literature that emphasizes the necessity to implement preventive strategies as a way of minimizing legal liability and enhancing organizational reputation.</w:t>
      </w:r>
    </w:p>
    <w:p w14:paraId="271AE100"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The necessity of improving transparency and communication in handling the liability is also raised during the discussion. To build a mechanism of informed consent and reduction of legal disputes, it is necessary to provide explicit information to the customers about the potential risk and safety precautions (</w:t>
      </w:r>
      <w:proofErr w:type="spellStart"/>
      <w:r w:rsidRPr="00EC1ADF">
        <w:rPr>
          <w:rFonts w:ascii="Calibri" w:eastAsiaTheme="minorHAnsi" w:hAnsi="Calibri" w:cs="Calibri"/>
          <w:color w:val="auto"/>
          <w:sz w:val="24"/>
          <w:szCs w:val="24"/>
        </w:rPr>
        <w:t>Gössling</w:t>
      </w:r>
      <w:proofErr w:type="spellEnd"/>
      <w:r w:rsidRPr="00EC1ADF">
        <w:rPr>
          <w:rFonts w:ascii="Calibri" w:eastAsiaTheme="minorHAnsi" w:hAnsi="Calibri" w:cs="Calibri"/>
          <w:color w:val="auto"/>
          <w:sz w:val="24"/>
          <w:szCs w:val="24"/>
        </w:rPr>
        <w:t xml:space="preserve"> et al., 2020). This is particularly true in the adventure tourism whereby the risks involved in the activities performed could imply that greater degree of care should be employed by the businesses.</w:t>
      </w:r>
    </w:p>
    <w:p w14:paraId="4D368D53"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The other point of debate is how contractual agreements limit the liability. Waivers and disclaimers can offer some level of protection, but they cannot be regarded as a proper alternative to effective risk management. Courts tend to appreciate the duty of care more than the terms of the contract particularly in cases of negligence litigation (McKercher and Prideaux, 2014). This means that operational excellence is something that the business ought to reflect on, who cannot simply rest on the legal cushion.</w:t>
      </w:r>
    </w:p>
    <w:p w14:paraId="40D87834"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Technological advancement and the advent of digital platforms have also contributed to tourism liability. The sharing economy and online booking system have created new forms of business models that are not adequately covered by the existing legal frameworks (Xiang et al., 2017). This highlights the need to incorporate regulatory reforms to cope with emerging issues and consumer protection.</w:t>
      </w:r>
    </w:p>
    <w:p w14:paraId="4B882E91"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Corporate governance and ethical practice also enable management of liability, which is a critical issue. Well-formed governance structures ensure that institutions comply with the law and promote accountability (Hall, 2019). This is particularly pertinent in the aspect of keeping the customers in confidence and avoiding legal tussles.</w:t>
      </w:r>
    </w:p>
    <w:p w14:paraId="426F5C0C"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 xml:space="preserve">In conclusion, the discussion has demonstrated how tourism liability and risk management are intertwined. Holistic approach entails legal compliance plus integration of operational and moral factors to mitigate legal risks. Tourism is a growing </w:t>
      </w:r>
      <w:proofErr w:type="gramStart"/>
      <w:r w:rsidRPr="00EC1ADF">
        <w:rPr>
          <w:rFonts w:ascii="Calibri" w:eastAsiaTheme="minorHAnsi" w:hAnsi="Calibri" w:cs="Calibri"/>
          <w:color w:val="auto"/>
          <w:sz w:val="24"/>
          <w:szCs w:val="24"/>
        </w:rPr>
        <w:t>industry</w:t>
      </w:r>
      <w:proofErr w:type="gramEnd"/>
      <w:r w:rsidRPr="00EC1ADF">
        <w:rPr>
          <w:rFonts w:ascii="Calibri" w:eastAsiaTheme="minorHAnsi" w:hAnsi="Calibri" w:cs="Calibri"/>
          <w:color w:val="auto"/>
          <w:sz w:val="24"/>
          <w:szCs w:val="24"/>
        </w:rPr>
        <w:t xml:space="preserve"> and companies should adopt new strategies to address the new challenges and threats </w:t>
      </w:r>
      <w:proofErr w:type="gramStart"/>
      <w:r w:rsidRPr="00EC1ADF">
        <w:rPr>
          <w:rFonts w:ascii="Calibri" w:eastAsiaTheme="minorHAnsi" w:hAnsi="Calibri" w:cs="Calibri"/>
          <w:color w:val="auto"/>
          <w:sz w:val="24"/>
          <w:szCs w:val="24"/>
        </w:rPr>
        <w:t>in order to</w:t>
      </w:r>
      <w:proofErr w:type="gramEnd"/>
      <w:r w:rsidRPr="00EC1ADF">
        <w:rPr>
          <w:rFonts w:ascii="Calibri" w:eastAsiaTheme="minorHAnsi" w:hAnsi="Calibri" w:cs="Calibri"/>
          <w:color w:val="auto"/>
          <w:sz w:val="24"/>
          <w:szCs w:val="24"/>
        </w:rPr>
        <w:t xml:space="preserve"> ensure they sustainably carry out business.</w:t>
      </w:r>
    </w:p>
    <w:p w14:paraId="452B1D5D"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Recommendation </w:t>
      </w:r>
    </w:p>
    <w:p w14:paraId="22124CEF"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Resting on the conclusions of the analysis of the tourism liability and risk management in the legal framework, several recommendations may be made regarding the steps that are to be undertaken to assist tourism business to minimize the risks and to prevent the potential liability cases.</w:t>
      </w:r>
    </w:p>
    <w:p w14:paraId="331E1FA0"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First, tourism firms should adopt a proactive and holistic risk management framework. It involves a guided procedure of determining the potential hazards, their likelihood of happening, and impact and setting the course of action to manage them. To prevent accidents and any legal liability to the least, safety audits, risk assessment, and continuous control of work at the company are required (Evans et al., 2020). The preventative measures will help the business firms to reduce the incidents relating to negligence significantly.</w:t>
      </w:r>
    </w:p>
    <w:p w14:paraId="25B01CCF"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 xml:space="preserve">Second, the training and awareness of the staff should be improved. Workers also take part in the development of customer </w:t>
      </w:r>
      <w:proofErr w:type="gramStart"/>
      <w:r w:rsidRPr="00EC1ADF">
        <w:rPr>
          <w:rFonts w:ascii="Calibri" w:eastAsiaTheme="minorHAnsi" w:hAnsi="Calibri" w:cs="Calibri"/>
          <w:color w:val="auto"/>
          <w:sz w:val="24"/>
          <w:szCs w:val="24"/>
        </w:rPr>
        <w:t>safety</w:t>
      </w:r>
      <w:proofErr w:type="gramEnd"/>
      <w:r w:rsidRPr="00EC1ADF">
        <w:rPr>
          <w:rFonts w:ascii="Calibri" w:eastAsiaTheme="minorHAnsi" w:hAnsi="Calibri" w:cs="Calibri"/>
          <w:color w:val="auto"/>
          <w:sz w:val="24"/>
          <w:szCs w:val="24"/>
        </w:rPr>
        <w:t xml:space="preserve"> and their actions may directly influence the outcome of responsibility. The training programs should be founded on the safety procedures, emergency response, and customer handling to ensure that the staff are well-prepared to address the risks effectively (Holloway and Humphreys, 2019). Employees who are trained reduce the risk of accidents in addition to demonstrating that the business has taken adequate care of its duty.</w:t>
      </w:r>
    </w:p>
    <w:p w14:paraId="704E0950"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Third, tourism businesses will comply completely with legal and regulatory obligations. It entails adherence to health and safety standards, licensing policies and regulations and consumer protection policies. Compliance reduces the possibility of litigations and shields the organization better in the liability cases (Hall, 2019). The businesses also need to monitor the changes in the legislation, particularly the newer avenues such as digital tourism websites and the adventure tourism.</w:t>
      </w:r>
    </w:p>
    <w:p w14:paraId="7CC83347"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Another recommendation, which is important, is clear and transparent communication with customers. Informed consent would be reached through the provision of the right information regarding the risks and the measures to be taken and the conditions of service (</w:t>
      </w:r>
      <w:proofErr w:type="spellStart"/>
      <w:r w:rsidRPr="00EC1ADF">
        <w:rPr>
          <w:rFonts w:ascii="Calibri" w:eastAsiaTheme="minorHAnsi" w:hAnsi="Calibri" w:cs="Calibri"/>
          <w:color w:val="auto"/>
          <w:sz w:val="24"/>
          <w:szCs w:val="24"/>
        </w:rPr>
        <w:t>Gössling</w:t>
      </w:r>
      <w:proofErr w:type="spellEnd"/>
      <w:r w:rsidRPr="00EC1ADF">
        <w:rPr>
          <w:rFonts w:ascii="Calibri" w:eastAsiaTheme="minorHAnsi" w:hAnsi="Calibri" w:cs="Calibri"/>
          <w:color w:val="auto"/>
          <w:sz w:val="24"/>
          <w:szCs w:val="24"/>
        </w:rPr>
        <w:t xml:space="preserve"> et al., 2020). Liability waivers and disclaimers are useful, and they may be used but not instead of useful risk management practices (McKercher and Prideaux, 2014).</w:t>
      </w:r>
    </w:p>
    <w:p w14:paraId="27641651"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The businesses should also consider a comprehensive insurance cover in their risk management strategy. Insurance is a financial cover against the claims of liability and business recovery in the event of unforeseen occurrences. Various types of insurance shall be taken into consideration, as well as the public liability insurance and the professional indemnity insurance, depending on the character of business (Holloway and Humphreys, 2019).</w:t>
      </w:r>
    </w:p>
    <w:p w14:paraId="45B8EE14"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The rising role of technology in tourism industry also demands new approaches to risk management. To mitigate the risks of online offers, the organizations are encouraged to make use of digital security, such as safe reservation and data protection (Xiang et al., 2017). The regulatory frameworks will also be updated according to the challenges of sharing economy and cross-border digital services.</w:t>
      </w:r>
    </w:p>
    <w:p w14:paraId="62924822"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Finally, corporate governance and ethics must be improved to handle the liability risks. Effective </w:t>
      </w:r>
      <w:proofErr w:type="gramStart"/>
      <w:r w:rsidRPr="00EC1ADF">
        <w:rPr>
          <w:rFonts w:ascii="Calibri" w:eastAsiaTheme="minorHAnsi" w:hAnsi="Calibri" w:cs="Calibri"/>
          <w:color w:val="auto"/>
          <w:sz w:val="24"/>
          <w:szCs w:val="24"/>
        </w:rPr>
        <w:t>decision making</w:t>
      </w:r>
      <w:proofErr w:type="gramEnd"/>
      <w:r w:rsidRPr="00EC1ADF">
        <w:rPr>
          <w:rFonts w:ascii="Calibri" w:eastAsiaTheme="minorHAnsi" w:hAnsi="Calibri" w:cs="Calibri"/>
          <w:color w:val="auto"/>
          <w:sz w:val="24"/>
          <w:szCs w:val="24"/>
        </w:rPr>
        <w:t xml:space="preserve"> procedure, accountability and ethics contribute to building trust and reducing the risks of legal action (Hall, 2019). Businesses are encouraged to implement explicit policies and procedures to be followed and are likely to inculcate the culture of safety and responsibility.</w:t>
      </w:r>
    </w:p>
    <w:p w14:paraId="20E63C83" w14:textId="77777777" w:rsid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In conclusion, risk management within tourism is a multi-layered approach that entails the application of legal, business, and ethical aspects. The recommendations will assist tourism firms to minimize the threats of liability, enhance customer safety, and achieve long-term sustainability within the constantly complex and competitive industry.</w:t>
      </w:r>
    </w:p>
    <w:p w14:paraId="2E7950F2" w14:textId="77777777" w:rsidR="00EC1ADF" w:rsidRPr="00EC1ADF" w:rsidRDefault="00EC1ADF" w:rsidP="00EC1ADF"/>
    <w:p w14:paraId="3BAC203E"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Conclusion</w:t>
      </w:r>
    </w:p>
    <w:p w14:paraId="555DBC45"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The report has critically examined tourism liability and risk management in legal terms by addressing the effects of tourism related accidents and </w:t>
      </w:r>
      <w:proofErr w:type="gramStart"/>
      <w:r w:rsidRPr="00EC1ADF">
        <w:rPr>
          <w:rFonts w:ascii="Calibri" w:eastAsiaTheme="minorHAnsi" w:hAnsi="Calibri" w:cs="Calibri"/>
          <w:color w:val="auto"/>
          <w:sz w:val="24"/>
          <w:szCs w:val="24"/>
        </w:rPr>
        <w:t>the means by which</w:t>
      </w:r>
      <w:proofErr w:type="gramEnd"/>
      <w:r w:rsidRPr="00EC1ADF">
        <w:rPr>
          <w:rFonts w:ascii="Calibri" w:eastAsiaTheme="minorHAnsi" w:hAnsi="Calibri" w:cs="Calibri"/>
          <w:color w:val="auto"/>
          <w:sz w:val="24"/>
          <w:szCs w:val="24"/>
        </w:rPr>
        <w:t xml:space="preserve"> businesses can quantify the risks so that they can manage </w:t>
      </w:r>
      <w:proofErr w:type="gramStart"/>
      <w:r w:rsidRPr="00EC1ADF">
        <w:rPr>
          <w:rFonts w:ascii="Calibri" w:eastAsiaTheme="minorHAnsi" w:hAnsi="Calibri" w:cs="Calibri"/>
          <w:color w:val="auto"/>
          <w:sz w:val="24"/>
          <w:szCs w:val="24"/>
        </w:rPr>
        <w:t>risks, and</w:t>
      </w:r>
      <w:proofErr w:type="gramEnd"/>
      <w:r w:rsidRPr="00EC1ADF">
        <w:rPr>
          <w:rFonts w:ascii="Calibri" w:eastAsiaTheme="minorHAnsi" w:hAnsi="Calibri" w:cs="Calibri"/>
          <w:color w:val="auto"/>
          <w:sz w:val="24"/>
          <w:szCs w:val="24"/>
        </w:rPr>
        <w:t xml:space="preserve"> prevent liability claims. As it was discussed, the legal principles of the duty of care, negligence, and contracts are the primary sources of liability in tourism. Tourism business has an obligation to ensure the safety of its customers and failure to do so can have serious legal and financial consequences.</w:t>
      </w:r>
    </w:p>
    <w:p w14:paraId="080C836E"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These findings have indicated that tourism-related accidents are often the outcomes of lack of precautionary measures, improper risk assessment or negligence to comply with the law. Preventative risk management and the limitation of liability should be effective in this regard. Such procedures as safety inspection, employee training, emergency management, and insurance coverage are of great importance in reducing the risk and enhancing the efficiency of operations.</w:t>
      </w:r>
    </w:p>
    <w:p w14:paraId="631AB6B3"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12DFE385"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The other point, which the report puts into the limelight is the complexity of tourism liability in globalized environment where there </w:t>
      </w:r>
      <w:proofErr w:type="gramStart"/>
      <w:r w:rsidRPr="00EC1ADF">
        <w:rPr>
          <w:rFonts w:ascii="Calibri" w:eastAsiaTheme="minorHAnsi" w:hAnsi="Calibri" w:cs="Calibri"/>
          <w:color w:val="auto"/>
          <w:sz w:val="24"/>
          <w:szCs w:val="24"/>
        </w:rPr>
        <w:t>exists</w:t>
      </w:r>
      <w:proofErr w:type="gramEnd"/>
      <w:r w:rsidRPr="00EC1ADF">
        <w:rPr>
          <w:rFonts w:ascii="Calibri" w:eastAsiaTheme="minorHAnsi" w:hAnsi="Calibri" w:cs="Calibri"/>
          <w:color w:val="auto"/>
          <w:sz w:val="24"/>
          <w:szCs w:val="24"/>
        </w:rPr>
        <w:t xml:space="preserve"> businesses which are required to operate in high number legal systems, and international conventions and national laws. International structures are merely a broad guideline although the variation in the way the nations apply them poses a challenge to any business that operates in more than one country. This shows the need to engage in greater harmonization of the legal systems and improve the coordination of regulation.</w:t>
      </w:r>
    </w:p>
    <w:p w14:paraId="32282DC6"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lastRenderedPageBreak/>
        <w:t xml:space="preserve">Furthermore, the advent of online platforms and high-risk tourism experiences have introduced novel problems in the liability management. These developments necessitate new legislation and new forms of risk management that can handle the new risks. It will also require corporate governance, transparency and ethical </w:t>
      </w:r>
      <w:proofErr w:type="spellStart"/>
      <w:r w:rsidRPr="00EC1ADF">
        <w:rPr>
          <w:rFonts w:ascii="Calibri" w:eastAsiaTheme="minorHAnsi" w:hAnsi="Calibri" w:cs="Calibri"/>
          <w:color w:val="auto"/>
          <w:sz w:val="24"/>
          <w:szCs w:val="24"/>
        </w:rPr>
        <w:t>behavior</w:t>
      </w:r>
      <w:proofErr w:type="spellEnd"/>
      <w:r w:rsidRPr="00EC1ADF">
        <w:rPr>
          <w:rFonts w:ascii="Calibri" w:eastAsiaTheme="minorHAnsi" w:hAnsi="Calibri" w:cs="Calibri"/>
          <w:color w:val="auto"/>
          <w:sz w:val="24"/>
          <w:szCs w:val="24"/>
        </w:rPr>
        <w:t xml:space="preserve"> in compliance and customer trust.</w:t>
      </w:r>
    </w:p>
    <w:p w14:paraId="4A70D135" w14:textId="77777777" w:rsidR="00EC1ADF" w:rsidRPr="00EC1ADF" w:rsidRDefault="00EC1ADF" w:rsidP="00EC1ADF">
      <w:pPr>
        <w:pStyle w:val="Heading2"/>
        <w:spacing w:line="480" w:lineRule="auto"/>
        <w:rPr>
          <w:rFonts w:ascii="Calibri" w:eastAsiaTheme="minorHAnsi" w:hAnsi="Calibri" w:cs="Calibri"/>
          <w:color w:val="auto"/>
          <w:sz w:val="24"/>
          <w:szCs w:val="24"/>
        </w:rPr>
      </w:pPr>
      <w:r w:rsidRPr="00EC1ADF">
        <w:rPr>
          <w:rFonts w:ascii="Calibri" w:eastAsiaTheme="minorHAnsi" w:hAnsi="Calibri" w:cs="Calibri"/>
          <w:color w:val="auto"/>
          <w:sz w:val="24"/>
          <w:szCs w:val="24"/>
        </w:rPr>
        <w:t xml:space="preserve">In a nutshell, tourism liability and risk management are two closely related phenomena that must be addressed actively and in a comprehensive manner. By following a combination of legal compliance, appropriate risk management strategies, and ethics, the tourism businesses will be </w:t>
      </w:r>
      <w:proofErr w:type="gramStart"/>
      <w:r w:rsidRPr="00EC1ADF">
        <w:rPr>
          <w:rFonts w:ascii="Calibri" w:eastAsiaTheme="minorHAnsi" w:hAnsi="Calibri" w:cs="Calibri"/>
          <w:color w:val="auto"/>
          <w:sz w:val="24"/>
          <w:szCs w:val="24"/>
        </w:rPr>
        <w:t>in a position</w:t>
      </w:r>
      <w:proofErr w:type="gramEnd"/>
      <w:r w:rsidRPr="00EC1ADF">
        <w:rPr>
          <w:rFonts w:ascii="Calibri" w:eastAsiaTheme="minorHAnsi" w:hAnsi="Calibri" w:cs="Calibri"/>
          <w:color w:val="auto"/>
          <w:sz w:val="24"/>
          <w:szCs w:val="24"/>
        </w:rPr>
        <w:t xml:space="preserve"> to reduce the risks of liability, defend their customers, and achieve sustainable growth in a highly complex and competitive industry.</w:t>
      </w:r>
    </w:p>
    <w:p w14:paraId="6516B4A5"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331D0857"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7BD5C8BE"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53832ABE"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6A0B8F77"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588BBD44"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03E8CF45" w14:textId="77777777" w:rsidR="00EC1ADF" w:rsidRPr="00EC1ADF" w:rsidRDefault="00EC1ADF" w:rsidP="00EC1ADF">
      <w:pPr>
        <w:pStyle w:val="Heading2"/>
        <w:spacing w:line="480" w:lineRule="auto"/>
        <w:rPr>
          <w:rFonts w:ascii="Calibri" w:eastAsiaTheme="minorHAnsi" w:hAnsi="Calibri" w:cs="Calibri"/>
          <w:color w:val="auto"/>
          <w:sz w:val="24"/>
          <w:szCs w:val="24"/>
        </w:rPr>
      </w:pPr>
    </w:p>
    <w:p w14:paraId="00E65910" w14:textId="77777777" w:rsidR="00EE4BE5" w:rsidRDefault="00EE4BE5" w:rsidP="00EC1ADF">
      <w:pPr>
        <w:pStyle w:val="Heading2"/>
        <w:spacing w:line="480" w:lineRule="auto"/>
        <w:rPr>
          <w:rFonts w:ascii="Calibri" w:eastAsiaTheme="minorHAnsi" w:hAnsi="Calibri" w:cs="Calibri"/>
          <w:color w:val="auto"/>
          <w:sz w:val="24"/>
          <w:szCs w:val="24"/>
        </w:rPr>
      </w:pPr>
    </w:p>
    <w:p w14:paraId="6DDFE6F7" w14:textId="77777777" w:rsidR="00EC1ADF" w:rsidRDefault="00EC1ADF" w:rsidP="00EC1ADF"/>
    <w:p w14:paraId="12BB02EB" w14:textId="77777777" w:rsidR="00EC1ADF" w:rsidRDefault="00EC1ADF" w:rsidP="00EC1ADF"/>
    <w:p w14:paraId="5DADF2D6" w14:textId="77777777" w:rsidR="00EC1ADF" w:rsidRPr="00EC1ADF" w:rsidRDefault="00EC1ADF" w:rsidP="00EC1ADF"/>
    <w:p w14:paraId="67775E83" w14:textId="61287619" w:rsidR="003643CD" w:rsidRPr="00EC1ADF" w:rsidRDefault="008279E6" w:rsidP="00EC1ADF">
      <w:pPr>
        <w:pStyle w:val="Heading2"/>
        <w:spacing w:line="480" w:lineRule="auto"/>
        <w:rPr>
          <w:rFonts w:ascii="Calibri" w:hAnsi="Calibri" w:cs="Calibri"/>
          <w:b/>
          <w:bCs/>
          <w:color w:val="auto"/>
          <w:sz w:val="24"/>
          <w:szCs w:val="24"/>
        </w:rPr>
      </w:pPr>
      <w:r w:rsidRPr="00EC1ADF">
        <w:rPr>
          <w:rFonts w:ascii="Calibri" w:hAnsi="Calibri" w:cs="Calibri"/>
          <w:b/>
          <w:bCs/>
          <w:color w:val="auto"/>
          <w:sz w:val="24"/>
          <w:szCs w:val="24"/>
        </w:rPr>
        <w:lastRenderedPageBreak/>
        <w:t>References</w:t>
      </w:r>
      <w:bookmarkEnd w:id="1"/>
    </w:p>
    <w:p w14:paraId="670F7FA9"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Dickinson, J. E., Lumsdon, L., &amp; Robbins, D. (2017). Slow travel: Issues for tourism and climate change. </w:t>
      </w:r>
      <w:r w:rsidRPr="00EC1ADF">
        <w:rPr>
          <w:rFonts w:ascii="Calibri" w:hAnsi="Calibri" w:cs="Calibri"/>
          <w:i/>
          <w:iCs/>
          <w:szCs w:val="24"/>
        </w:rPr>
        <w:t>Journal of Sustainable Tourism</w:t>
      </w:r>
      <w:r w:rsidRPr="00EC1ADF">
        <w:rPr>
          <w:rFonts w:ascii="Calibri" w:hAnsi="Calibri" w:cs="Calibri"/>
          <w:szCs w:val="24"/>
        </w:rPr>
        <w:t>, 19(3), 281–300. https://doi.org/10.1080/09669582.2010.524704</w:t>
      </w:r>
    </w:p>
    <w:p w14:paraId="58A15FE4"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Evans, N., Stonehouse, G., &amp; Campbell, D. (2020). </w:t>
      </w:r>
      <w:r w:rsidRPr="00EC1ADF">
        <w:rPr>
          <w:rFonts w:ascii="Calibri" w:hAnsi="Calibri" w:cs="Calibri"/>
          <w:i/>
          <w:iCs/>
          <w:szCs w:val="24"/>
        </w:rPr>
        <w:t>Strategic management for travel and tourism</w:t>
      </w:r>
      <w:r w:rsidRPr="00EC1ADF">
        <w:rPr>
          <w:rFonts w:ascii="Calibri" w:hAnsi="Calibri" w:cs="Calibri"/>
          <w:szCs w:val="24"/>
        </w:rPr>
        <w:t>. Routledge.</w:t>
      </w:r>
    </w:p>
    <w:p w14:paraId="41E8A471" w14:textId="77777777" w:rsidR="00834D50" w:rsidRPr="00EC1ADF" w:rsidRDefault="00834D50" w:rsidP="00EC1ADF">
      <w:pPr>
        <w:spacing w:line="480" w:lineRule="auto"/>
        <w:rPr>
          <w:rFonts w:ascii="Calibri" w:hAnsi="Calibri" w:cs="Calibri"/>
          <w:szCs w:val="24"/>
        </w:rPr>
      </w:pPr>
      <w:proofErr w:type="spellStart"/>
      <w:r w:rsidRPr="00EC1ADF">
        <w:rPr>
          <w:rFonts w:ascii="Calibri" w:hAnsi="Calibri" w:cs="Calibri"/>
          <w:szCs w:val="24"/>
        </w:rPr>
        <w:t>Gössling</w:t>
      </w:r>
      <w:proofErr w:type="spellEnd"/>
      <w:r w:rsidRPr="00EC1ADF">
        <w:rPr>
          <w:rFonts w:ascii="Calibri" w:hAnsi="Calibri" w:cs="Calibri"/>
          <w:szCs w:val="24"/>
        </w:rPr>
        <w:t xml:space="preserve">, S., Scott, D., &amp; Hall, C. M. (2020). Pandemics, tourism and global change. </w:t>
      </w:r>
      <w:r w:rsidRPr="00EC1ADF">
        <w:rPr>
          <w:rFonts w:ascii="Calibri" w:hAnsi="Calibri" w:cs="Calibri"/>
          <w:i/>
          <w:iCs/>
          <w:szCs w:val="24"/>
        </w:rPr>
        <w:t>Journal of Sustainable Tourism</w:t>
      </w:r>
      <w:r w:rsidRPr="00EC1ADF">
        <w:rPr>
          <w:rFonts w:ascii="Calibri" w:hAnsi="Calibri" w:cs="Calibri"/>
          <w:szCs w:val="24"/>
        </w:rPr>
        <w:t xml:space="preserve">, 29(1), 1–20. </w:t>
      </w:r>
      <w:hyperlink r:id="rId6" w:tgtFrame="_new" w:history="1">
        <w:r w:rsidRPr="00EC1ADF">
          <w:rPr>
            <w:rStyle w:val="Hyperlink"/>
            <w:rFonts w:ascii="Calibri" w:hAnsi="Calibri" w:cs="Calibri"/>
            <w:color w:val="auto"/>
            <w:szCs w:val="24"/>
          </w:rPr>
          <w:t>https://doi.org/10.1080/09669582.2020.1758708</w:t>
        </w:r>
      </w:hyperlink>
    </w:p>
    <w:p w14:paraId="14F94B22"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Hall, C. M. (2019). </w:t>
      </w:r>
      <w:r w:rsidRPr="00EC1ADF">
        <w:rPr>
          <w:rFonts w:ascii="Calibri" w:hAnsi="Calibri" w:cs="Calibri"/>
          <w:i/>
          <w:iCs/>
          <w:szCs w:val="24"/>
        </w:rPr>
        <w:t>Tourism and public policy</w:t>
      </w:r>
      <w:r w:rsidRPr="00EC1ADF">
        <w:rPr>
          <w:rFonts w:ascii="Calibri" w:hAnsi="Calibri" w:cs="Calibri"/>
          <w:szCs w:val="24"/>
        </w:rPr>
        <w:t>. Routledge.</w:t>
      </w:r>
    </w:p>
    <w:p w14:paraId="3AC42727"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Holloway, J. C., &amp; Humphreys, C. (2019). </w:t>
      </w:r>
      <w:r w:rsidRPr="00EC1ADF">
        <w:rPr>
          <w:rFonts w:ascii="Calibri" w:hAnsi="Calibri" w:cs="Calibri"/>
          <w:i/>
          <w:iCs/>
          <w:szCs w:val="24"/>
        </w:rPr>
        <w:t>The business of tourism</w:t>
      </w:r>
      <w:r w:rsidRPr="00EC1ADF">
        <w:rPr>
          <w:rFonts w:ascii="Calibri" w:hAnsi="Calibri" w:cs="Calibri"/>
          <w:szCs w:val="24"/>
        </w:rPr>
        <w:t xml:space="preserve"> (11th ed.). Pearson.</w:t>
      </w:r>
    </w:p>
    <w:p w14:paraId="121EC7CE"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McKercher, B., &amp; Prideaux, B. (2014). Academic myths of tourism. </w:t>
      </w:r>
      <w:r w:rsidRPr="00EC1ADF">
        <w:rPr>
          <w:rFonts w:ascii="Calibri" w:hAnsi="Calibri" w:cs="Calibri"/>
          <w:i/>
          <w:iCs/>
          <w:szCs w:val="24"/>
        </w:rPr>
        <w:t>Annals of Tourism Research</w:t>
      </w:r>
      <w:r w:rsidRPr="00EC1ADF">
        <w:rPr>
          <w:rFonts w:ascii="Calibri" w:hAnsi="Calibri" w:cs="Calibri"/>
          <w:szCs w:val="24"/>
        </w:rPr>
        <w:t>, 46, 16–28. https://doi.org/10.1016/j.annals.2014.02.003</w:t>
      </w:r>
    </w:p>
    <w:p w14:paraId="41E3EBFF"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Page, S. J. (2019). </w:t>
      </w:r>
      <w:r w:rsidRPr="00EC1ADF">
        <w:rPr>
          <w:rFonts w:ascii="Calibri" w:hAnsi="Calibri" w:cs="Calibri"/>
          <w:i/>
          <w:iCs/>
          <w:szCs w:val="24"/>
        </w:rPr>
        <w:t>Tourism management</w:t>
      </w:r>
      <w:r w:rsidRPr="00EC1ADF">
        <w:rPr>
          <w:rFonts w:ascii="Calibri" w:hAnsi="Calibri" w:cs="Calibri"/>
          <w:szCs w:val="24"/>
        </w:rPr>
        <w:t xml:space="preserve"> (6th ed.). Routledge.</w:t>
      </w:r>
    </w:p>
    <w:p w14:paraId="5FE17E63"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Shaw, G., &amp; Williams, A. M. (2004). </w:t>
      </w:r>
      <w:r w:rsidRPr="00EC1ADF">
        <w:rPr>
          <w:rFonts w:ascii="Calibri" w:hAnsi="Calibri" w:cs="Calibri"/>
          <w:i/>
          <w:iCs/>
          <w:szCs w:val="24"/>
        </w:rPr>
        <w:t>Tourism and tourism spaces</w:t>
      </w:r>
      <w:r w:rsidRPr="00EC1ADF">
        <w:rPr>
          <w:rFonts w:ascii="Calibri" w:hAnsi="Calibri" w:cs="Calibri"/>
          <w:szCs w:val="24"/>
        </w:rPr>
        <w:t>. Sage.</w:t>
      </w:r>
    </w:p>
    <w:p w14:paraId="68BA7341"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Xiang, Z., Magnini, V. P., &amp; Fesenmaier, D. R. (2017). Information technology and consumer </w:t>
      </w:r>
      <w:proofErr w:type="spellStart"/>
      <w:r w:rsidRPr="00EC1ADF">
        <w:rPr>
          <w:rFonts w:ascii="Calibri" w:hAnsi="Calibri" w:cs="Calibri"/>
          <w:szCs w:val="24"/>
        </w:rPr>
        <w:t>behavior</w:t>
      </w:r>
      <w:proofErr w:type="spellEnd"/>
      <w:r w:rsidRPr="00EC1ADF">
        <w:rPr>
          <w:rFonts w:ascii="Calibri" w:hAnsi="Calibri" w:cs="Calibri"/>
          <w:szCs w:val="24"/>
        </w:rPr>
        <w:t xml:space="preserve"> in travel and tourism. </w:t>
      </w:r>
      <w:r w:rsidRPr="00EC1ADF">
        <w:rPr>
          <w:rFonts w:ascii="Calibri" w:hAnsi="Calibri" w:cs="Calibri"/>
          <w:i/>
          <w:iCs/>
          <w:szCs w:val="24"/>
        </w:rPr>
        <w:t>Journal of Travel Research</w:t>
      </w:r>
      <w:r w:rsidRPr="00EC1ADF">
        <w:rPr>
          <w:rFonts w:ascii="Calibri" w:hAnsi="Calibri" w:cs="Calibri"/>
          <w:szCs w:val="24"/>
        </w:rPr>
        <w:t>, 56(1), 3–15. https://doi.org/10.1177/0047287516649057</w:t>
      </w:r>
    </w:p>
    <w:p w14:paraId="53E475E7"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Bramwell, B., &amp; Lane, B. (2011). Governance and sustainability in tourism. </w:t>
      </w:r>
      <w:r w:rsidRPr="00EC1ADF">
        <w:rPr>
          <w:rFonts w:ascii="Calibri" w:hAnsi="Calibri" w:cs="Calibri"/>
          <w:i/>
          <w:iCs/>
          <w:szCs w:val="24"/>
        </w:rPr>
        <w:t>Journal of Sustainable Tourism</w:t>
      </w:r>
      <w:r w:rsidRPr="00EC1ADF">
        <w:rPr>
          <w:rFonts w:ascii="Calibri" w:hAnsi="Calibri" w:cs="Calibri"/>
          <w:szCs w:val="24"/>
        </w:rPr>
        <w:t xml:space="preserve">, 19(4–5), 411–421. </w:t>
      </w:r>
      <w:hyperlink r:id="rId7" w:tgtFrame="_new" w:history="1">
        <w:r w:rsidRPr="00EC1ADF">
          <w:rPr>
            <w:rStyle w:val="Hyperlink"/>
            <w:rFonts w:ascii="Calibri" w:hAnsi="Calibri" w:cs="Calibri"/>
            <w:color w:val="auto"/>
            <w:szCs w:val="24"/>
          </w:rPr>
          <w:t>https://doi.org/10.1080/09669582.2011.580586</w:t>
        </w:r>
      </w:hyperlink>
    </w:p>
    <w:p w14:paraId="7E8C1154"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lastRenderedPageBreak/>
        <w:t xml:space="preserve">UNWTO. (2018). </w:t>
      </w:r>
      <w:r w:rsidRPr="00EC1ADF">
        <w:rPr>
          <w:rFonts w:ascii="Calibri" w:hAnsi="Calibri" w:cs="Calibri"/>
          <w:i/>
          <w:iCs/>
          <w:szCs w:val="24"/>
        </w:rPr>
        <w:t>Tourism and the Sustainable Development Goals</w:t>
      </w:r>
      <w:r w:rsidRPr="00EC1ADF">
        <w:rPr>
          <w:rFonts w:ascii="Calibri" w:hAnsi="Calibri" w:cs="Calibri"/>
          <w:szCs w:val="24"/>
        </w:rPr>
        <w:t>. World Tourism Organization.</w:t>
      </w:r>
    </w:p>
    <w:p w14:paraId="5E81D1BA"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OECD. (2020). </w:t>
      </w:r>
      <w:r w:rsidRPr="00EC1ADF">
        <w:rPr>
          <w:rFonts w:ascii="Calibri" w:hAnsi="Calibri" w:cs="Calibri"/>
          <w:i/>
          <w:iCs/>
          <w:szCs w:val="24"/>
        </w:rPr>
        <w:t>Tourism policy responses to COVID-19</w:t>
      </w:r>
      <w:r w:rsidRPr="00EC1ADF">
        <w:rPr>
          <w:rFonts w:ascii="Calibri" w:hAnsi="Calibri" w:cs="Calibri"/>
          <w:szCs w:val="24"/>
        </w:rPr>
        <w:t>. OECD Publishing. https://doi.org/10.1787/6466aa20-en</w:t>
      </w:r>
    </w:p>
    <w:p w14:paraId="3557C37C"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WTTC. (2021). </w:t>
      </w:r>
      <w:r w:rsidRPr="00EC1ADF">
        <w:rPr>
          <w:rFonts w:ascii="Calibri" w:hAnsi="Calibri" w:cs="Calibri"/>
          <w:i/>
          <w:iCs/>
          <w:szCs w:val="24"/>
        </w:rPr>
        <w:t>Economic impact reports</w:t>
      </w:r>
      <w:r w:rsidRPr="00EC1ADF">
        <w:rPr>
          <w:rFonts w:ascii="Calibri" w:hAnsi="Calibri" w:cs="Calibri"/>
          <w:szCs w:val="24"/>
        </w:rPr>
        <w:t>. World Travel &amp; Tourism Council.</w:t>
      </w:r>
    </w:p>
    <w:p w14:paraId="02F329A4"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Scott, D., Hall, C. M., &amp; </w:t>
      </w:r>
      <w:proofErr w:type="spellStart"/>
      <w:r w:rsidRPr="00EC1ADF">
        <w:rPr>
          <w:rFonts w:ascii="Calibri" w:hAnsi="Calibri" w:cs="Calibri"/>
          <w:szCs w:val="24"/>
        </w:rPr>
        <w:t>Gössling</w:t>
      </w:r>
      <w:proofErr w:type="spellEnd"/>
      <w:r w:rsidRPr="00EC1ADF">
        <w:rPr>
          <w:rFonts w:ascii="Calibri" w:hAnsi="Calibri" w:cs="Calibri"/>
          <w:szCs w:val="24"/>
        </w:rPr>
        <w:t xml:space="preserve">, S. (2019). Global tourism vulnerability to climate change. </w:t>
      </w:r>
      <w:r w:rsidRPr="00EC1ADF">
        <w:rPr>
          <w:rFonts w:ascii="Calibri" w:hAnsi="Calibri" w:cs="Calibri"/>
          <w:i/>
          <w:iCs/>
          <w:szCs w:val="24"/>
        </w:rPr>
        <w:t>Annals of Tourism Research</w:t>
      </w:r>
      <w:r w:rsidRPr="00EC1ADF">
        <w:rPr>
          <w:rFonts w:ascii="Calibri" w:hAnsi="Calibri" w:cs="Calibri"/>
          <w:szCs w:val="24"/>
        </w:rPr>
        <w:t xml:space="preserve">, 77, 49–61. </w:t>
      </w:r>
      <w:hyperlink r:id="rId8" w:tgtFrame="_new" w:history="1">
        <w:r w:rsidRPr="00EC1ADF">
          <w:rPr>
            <w:rStyle w:val="Hyperlink"/>
            <w:rFonts w:ascii="Calibri" w:hAnsi="Calibri" w:cs="Calibri"/>
            <w:color w:val="auto"/>
            <w:szCs w:val="24"/>
          </w:rPr>
          <w:t>https://doi.org/10.1016/j.annals.2019.05.007</w:t>
        </w:r>
      </w:hyperlink>
    </w:p>
    <w:p w14:paraId="459137E4"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Hall, C. M., Scott, D., &amp; </w:t>
      </w:r>
      <w:proofErr w:type="spellStart"/>
      <w:r w:rsidRPr="00EC1ADF">
        <w:rPr>
          <w:rFonts w:ascii="Calibri" w:hAnsi="Calibri" w:cs="Calibri"/>
          <w:szCs w:val="24"/>
        </w:rPr>
        <w:t>Gössling</w:t>
      </w:r>
      <w:proofErr w:type="spellEnd"/>
      <w:r w:rsidRPr="00EC1ADF">
        <w:rPr>
          <w:rFonts w:ascii="Calibri" w:hAnsi="Calibri" w:cs="Calibri"/>
          <w:szCs w:val="24"/>
        </w:rPr>
        <w:t xml:space="preserve">, S. (2020). Pandemics and tourism transformations. </w:t>
      </w:r>
      <w:r w:rsidRPr="00EC1ADF">
        <w:rPr>
          <w:rFonts w:ascii="Calibri" w:hAnsi="Calibri" w:cs="Calibri"/>
          <w:i/>
          <w:iCs/>
          <w:szCs w:val="24"/>
        </w:rPr>
        <w:t>Tourism Geographies</w:t>
      </w:r>
      <w:r w:rsidRPr="00EC1ADF">
        <w:rPr>
          <w:rFonts w:ascii="Calibri" w:hAnsi="Calibri" w:cs="Calibri"/>
          <w:szCs w:val="24"/>
        </w:rPr>
        <w:t>, 22(3), 577–598. https://doi.org/10.1080/14616688.2020.1759130</w:t>
      </w:r>
    </w:p>
    <w:p w14:paraId="6F1A1253"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Peeters, P., </w:t>
      </w:r>
      <w:proofErr w:type="spellStart"/>
      <w:r w:rsidRPr="00EC1ADF">
        <w:rPr>
          <w:rFonts w:ascii="Calibri" w:hAnsi="Calibri" w:cs="Calibri"/>
          <w:szCs w:val="24"/>
        </w:rPr>
        <w:t>Gössling</w:t>
      </w:r>
      <w:proofErr w:type="spellEnd"/>
      <w:r w:rsidRPr="00EC1ADF">
        <w:rPr>
          <w:rFonts w:ascii="Calibri" w:hAnsi="Calibri" w:cs="Calibri"/>
          <w:szCs w:val="24"/>
        </w:rPr>
        <w:t xml:space="preserve">, S., &amp; Becken, S. (2006). Innovation towards tourism sustainability. </w:t>
      </w:r>
      <w:r w:rsidRPr="00EC1ADF">
        <w:rPr>
          <w:rFonts w:ascii="Calibri" w:hAnsi="Calibri" w:cs="Calibri"/>
          <w:i/>
          <w:iCs/>
          <w:szCs w:val="24"/>
        </w:rPr>
        <w:t>Journal of Sustainable Tourism</w:t>
      </w:r>
      <w:r w:rsidRPr="00EC1ADF">
        <w:rPr>
          <w:rFonts w:ascii="Calibri" w:hAnsi="Calibri" w:cs="Calibri"/>
          <w:szCs w:val="24"/>
        </w:rPr>
        <w:t>, 14(5), 503–520. https://doi.org/10.2167/jost539.0</w:t>
      </w:r>
    </w:p>
    <w:p w14:paraId="563DEB98" w14:textId="77777777" w:rsidR="00834D50" w:rsidRPr="00EC1ADF" w:rsidRDefault="00834D50" w:rsidP="00EC1ADF">
      <w:pPr>
        <w:spacing w:line="480" w:lineRule="auto"/>
        <w:rPr>
          <w:rFonts w:ascii="Calibri" w:hAnsi="Calibri" w:cs="Calibri"/>
          <w:szCs w:val="24"/>
        </w:rPr>
      </w:pPr>
      <w:r w:rsidRPr="00EC1ADF">
        <w:rPr>
          <w:rFonts w:ascii="Calibri" w:hAnsi="Calibri" w:cs="Calibri"/>
          <w:szCs w:val="24"/>
        </w:rPr>
        <w:t xml:space="preserve">Roehl, W. S., &amp; Fesenmaier, D. R. (1992). Risk perceptions and tourism. </w:t>
      </w:r>
      <w:r w:rsidRPr="00EC1ADF">
        <w:rPr>
          <w:rFonts w:ascii="Calibri" w:hAnsi="Calibri" w:cs="Calibri"/>
          <w:i/>
          <w:iCs/>
          <w:szCs w:val="24"/>
        </w:rPr>
        <w:t>Annals of Tourism Research</w:t>
      </w:r>
      <w:r w:rsidRPr="00EC1ADF">
        <w:rPr>
          <w:rFonts w:ascii="Calibri" w:hAnsi="Calibri" w:cs="Calibri"/>
          <w:szCs w:val="24"/>
        </w:rPr>
        <w:t>, 19(1), 17–34. https://doi.org/10.1016/0160-7383(92)90130-Q</w:t>
      </w:r>
    </w:p>
    <w:p w14:paraId="2084005C" w14:textId="77777777" w:rsidR="00834D50" w:rsidRPr="00EC1ADF" w:rsidRDefault="00834D50" w:rsidP="00EC1ADF">
      <w:pPr>
        <w:spacing w:line="480" w:lineRule="auto"/>
        <w:rPr>
          <w:rFonts w:ascii="Calibri" w:hAnsi="Calibri" w:cs="Calibri"/>
          <w:szCs w:val="24"/>
        </w:rPr>
      </w:pPr>
      <w:proofErr w:type="spellStart"/>
      <w:r w:rsidRPr="00EC1ADF">
        <w:rPr>
          <w:rFonts w:ascii="Calibri" w:hAnsi="Calibri" w:cs="Calibri"/>
          <w:szCs w:val="24"/>
        </w:rPr>
        <w:t>Pizam</w:t>
      </w:r>
      <w:proofErr w:type="spellEnd"/>
      <w:r w:rsidRPr="00EC1ADF">
        <w:rPr>
          <w:rFonts w:ascii="Calibri" w:hAnsi="Calibri" w:cs="Calibri"/>
          <w:szCs w:val="24"/>
        </w:rPr>
        <w:t xml:space="preserve">, A., &amp; Mansfeld, Y. (2006). </w:t>
      </w:r>
      <w:r w:rsidRPr="00EC1ADF">
        <w:rPr>
          <w:rFonts w:ascii="Calibri" w:hAnsi="Calibri" w:cs="Calibri"/>
          <w:i/>
          <w:iCs/>
          <w:szCs w:val="24"/>
        </w:rPr>
        <w:t>Tourism, security and safety</w:t>
      </w:r>
      <w:r w:rsidRPr="00EC1ADF">
        <w:rPr>
          <w:rFonts w:ascii="Calibri" w:hAnsi="Calibri" w:cs="Calibri"/>
          <w:szCs w:val="24"/>
        </w:rPr>
        <w:t>. Butterworth-Heinemann.</w:t>
      </w:r>
    </w:p>
    <w:p w14:paraId="24551FD2" w14:textId="77777777" w:rsidR="008279E6" w:rsidRPr="00EC1ADF" w:rsidRDefault="008279E6" w:rsidP="00EC1ADF">
      <w:pPr>
        <w:spacing w:line="480" w:lineRule="auto"/>
        <w:rPr>
          <w:rFonts w:ascii="Calibri" w:hAnsi="Calibri" w:cs="Calibri"/>
          <w:szCs w:val="24"/>
        </w:rPr>
      </w:pPr>
    </w:p>
    <w:sectPr w:rsidR="008279E6" w:rsidRPr="00EC1A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C2ACC"/>
    <w:rsid w:val="002505FB"/>
    <w:rsid w:val="002B5498"/>
    <w:rsid w:val="00322E52"/>
    <w:rsid w:val="003643CD"/>
    <w:rsid w:val="004B163C"/>
    <w:rsid w:val="004C1C76"/>
    <w:rsid w:val="006B6E2B"/>
    <w:rsid w:val="00705E28"/>
    <w:rsid w:val="007C2827"/>
    <w:rsid w:val="008279E6"/>
    <w:rsid w:val="00834D50"/>
    <w:rsid w:val="008A4EF3"/>
    <w:rsid w:val="008B5D4C"/>
    <w:rsid w:val="009D452D"/>
    <w:rsid w:val="00A97DD3"/>
    <w:rsid w:val="00AC4E79"/>
    <w:rsid w:val="00B46EC1"/>
    <w:rsid w:val="00B71AAA"/>
    <w:rsid w:val="00B8158C"/>
    <w:rsid w:val="00C33E5F"/>
    <w:rsid w:val="00C4031E"/>
    <w:rsid w:val="00C76C6F"/>
    <w:rsid w:val="00CC67E8"/>
    <w:rsid w:val="00CD6F2C"/>
    <w:rsid w:val="00DC2FF7"/>
    <w:rsid w:val="00DD33A6"/>
    <w:rsid w:val="00E436CF"/>
    <w:rsid w:val="00E4472F"/>
    <w:rsid w:val="00EC1ADF"/>
    <w:rsid w:val="00ED6CD2"/>
    <w:rsid w:val="00EE4BE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 w:type="paragraph" w:styleId="NormalWeb">
    <w:name w:val="Normal (Web)"/>
    <w:basedOn w:val="Normal"/>
    <w:uiPriority w:val="99"/>
    <w:semiHidden/>
    <w:unhideWhenUsed/>
    <w:rsid w:val="004C1C7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nnals.2019.05.007" TargetMode="External"/><Relationship Id="rId3" Type="http://schemas.openxmlformats.org/officeDocument/2006/relationships/settings" Target="settings.xml"/><Relationship Id="rId7" Type="http://schemas.openxmlformats.org/officeDocument/2006/relationships/hyperlink" Target="https://doi.org/10.1080/09669582.2011.58058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09669582.2020.175870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4611</Words>
  <Characters>26283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2026-03-21T06:24:00Z</dcterms:created>
  <dcterms:modified xsi:type="dcterms:W3CDTF">2026-03-21T06:24:00Z</dcterms:modified>
</cp:coreProperties>
</file>