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44503069" w14:textId="4817F827" w:rsidR="00CD620A" w:rsidRPr="00FC0347" w:rsidRDefault="00E16E66">
      <w:r>
        <w:rPr>
          <w:lang w:val="en-US"/>
        </w:rPr>
        <w:t>H</w:t>
      </w:r>
      <w:r w:rsidR="00072276" w:rsidRPr="00072276">
        <w:t>arvinder singh</w:t>
      </w:r>
    </w:p>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39D8BAA0" w14:textId="77777777" w:rsidR="00072276" w:rsidRPr="00072276" w:rsidRDefault="00072276" w:rsidP="00072276">
      <w:pPr>
        <w:spacing w:line="276" w:lineRule="auto"/>
        <w:rPr>
          <w:lang w:val="en-GB"/>
        </w:rPr>
      </w:pPr>
      <w:r w:rsidRPr="00072276">
        <w:rPr>
          <w:lang w:val="en-GB"/>
        </w:rPr>
        <w:t xml:space="preserve">Regarding the governance of international tourism, subsidiary bodies are organizational entities established to offer support, guidance, and facilitate the implementation of the strategic objectives of global tourism organizations. The purpose of their existence is to oversee the intricacies of visitor governance, which includes economic development, environmental sustainability, cultural preservation, and international collaboration. The United Nations World Tourism Organization (UNWTO) is comprised of subsidiary groups that serve as the foundation for both functional and regional governance. </w:t>
      </w:r>
      <w:r w:rsidRPr="00072276">
        <w:rPr>
          <w:lang w:val="en-GB"/>
        </w:rPr>
        <w:br/>
      </w:r>
      <w:r w:rsidRPr="00072276">
        <w:rPr>
          <w:lang w:val="en-GB"/>
        </w:rPr>
        <w:br/>
        <w:t xml:space="preserve">Regional commissions, standing committees, working groups, and expert panels are all instances of these entities; each entity possesses a clearly defined mandate. To ensure that tourism strategies encompass a diverse range of economic and cultural contexts, regional commissions are tasked with representing multiple geographical regions. For instance, sustainable tourism, tourism statistics, ethics, education, and crisis resilience are among the specific domains that thematic committees focus their attention on. Together, they make it possible for the United Nations World Tourism Organization (UNWTO) to handle difficulties that are associated with tourism on a worldwide scale in a manner that is both structured and systematic. </w:t>
      </w:r>
      <w:r w:rsidRPr="00072276">
        <w:rPr>
          <w:lang w:val="en-GB"/>
        </w:rPr>
        <w:br/>
      </w:r>
      <w:r w:rsidRPr="00072276">
        <w:rPr>
          <w:lang w:val="en-GB"/>
        </w:rPr>
        <w:br/>
        <w:t xml:space="preserve">Both the formulation of policies and the delivery of technical guidance constitute key responsibilities of subsidiary organizations. They are accountable for data collection, the commissioning of research, and the analysis of emergent trends that influence global tourism. These trends encompass recovery from a crisis, climate change, and technological disruption. Their findings are utilized to inform policy recommendations submitted to the Executive Council and the General Assembly. This facilitates ensuring that decisions are grounded in evidence and aligned with strategic objectives. </w:t>
      </w:r>
      <w:r w:rsidRPr="00072276">
        <w:rPr>
          <w:lang w:val="en-GB"/>
        </w:rPr>
        <w:br/>
      </w:r>
      <w:r w:rsidRPr="00072276">
        <w:rPr>
          <w:lang w:val="en-GB"/>
        </w:rPr>
        <w:br/>
      </w:r>
      <w:r w:rsidRPr="00072276">
        <w:rPr>
          <w:lang w:val="en-GB"/>
        </w:rPr>
        <w:lastRenderedPageBreak/>
        <w:t xml:space="preserve">The role of representation and inclusion is also of paramount importance. Member states are provided with the opportunity to engage proactively in governance beyond the framework of high-level assemblies through the creation of subsidiary bodies. In addition to fostering openness, this participatory structure ensures that smaller or poorer countries </w:t>
      </w:r>
      <w:proofErr w:type="gramStart"/>
      <w:r w:rsidRPr="00072276">
        <w:rPr>
          <w:lang w:val="en-GB"/>
        </w:rPr>
        <w:t>have the ability to</w:t>
      </w:r>
      <w:proofErr w:type="gramEnd"/>
      <w:r w:rsidRPr="00072276">
        <w:rPr>
          <w:lang w:val="en-GB"/>
        </w:rPr>
        <w:t xml:space="preserve"> influence the agendas of international tourism organizations. </w:t>
      </w:r>
      <w:r w:rsidRPr="00072276">
        <w:rPr>
          <w:lang w:val="en-GB"/>
        </w:rPr>
        <w:br/>
      </w:r>
      <w:r w:rsidRPr="00072276">
        <w:rPr>
          <w:lang w:val="en-GB"/>
        </w:rPr>
        <w:br/>
        <w:t xml:space="preserve">The implementation and monitoring processes are also supported by subsidiary bodies. The member states receive support in the execution of international tourism frameworks, are encouraged to adopt best practices, and evaluate the advancements achieved toward ethical and sustainable standards. Enhancing the capacity of national tourism institutions is achieved through the execution of capacity-building initiatives, training programs, and technical support. </w:t>
      </w:r>
      <w:r w:rsidRPr="00072276">
        <w:rPr>
          <w:lang w:val="en-GB"/>
        </w:rPr>
        <w:br/>
      </w:r>
      <w:r w:rsidRPr="00072276">
        <w:rPr>
          <w:lang w:val="en-GB"/>
        </w:rPr>
        <w:br/>
        <w:t>The overall effectiveness of the United Nations World Tourism Organization (UNWTO) is enhanced by its subsidiary entities, as they serve to connect global policy with regional realities. This leads to international visitor governance that is more responsive, inclusive, and effectively managed.</w:t>
      </w:r>
    </w:p>
    <w:p w14:paraId="66C3C881" w14:textId="65DB5DAA" w:rsidR="00FC0347" w:rsidRDefault="00FC0347" w:rsidP="00FC0347">
      <w:pPr>
        <w:spacing w:line="276" w:lineRule="auto"/>
        <w:rPr>
          <w:lang w:val="en-GB"/>
        </w:rPr>
      </w:pPr>
    </w:p>
    <w:p w14:paraId="02B9C7F4" w14:textId="77777777" w:rsidR="000760D4" w:rsidRPr="00FC0347" w:rsidRDefault="000760D4" w:rsidP="00FC0347">
      <w:pPr>
        <w:spacing w:line="276" w:lineRule="auto"/>
        <w:rPr>
          <w:lang w:val="en-GB"/>
        </w:rPr>
      </w:pPr>
    </w:p>
    <w:p w14:paraId="7FEFED97" w14:textId="77777777"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3DB4892E" w14:textId="77777777" w:rsidR="00E16E66" w:rsidRPr="00E16E66" w:rsidRDefault="00E16E66" w:rsidP="00E16E66">
      <w:pPr>
        <w:spacing w:line="276" w:lineRule="auto"/>
        <w:rPr>
          <w:lang w:val="en-GB"/>
        </w:rPr>
      </w:pPr>
      <w:r w:rsidRPr="00E16E66">
        <w:rPr>
          <w:lang w:val="en-GB"/>
        </w:rPr>
        <w:t xml:space="preserve">A significant international policy document, the Manila Declaration on World Tourism (1980), was adopted at the World Tourism Conference held in Manila, Philippines. The conference was conducted in the Philippines. In doing so, it presented a complete picture of tourism as an activity that encompasses not only economic rewards but also social, cultural, and ethical dimensions as well. To offer nations and international organizations a framework for overseeing tourism in a responsible and equitable way, the Declaration was formulated. </w:t>
      </w:r>
      <w:r w:rsidRPr="00E16E66">
        <w:rPr>
          <w:lang w:val="en-GB"/>
        </w:rPr>
        <w:br/>
      </w:r>
      <w:r w:rsidRPr="00E16E66">
        <w:rPr>
          <w:lang w:val="en-GB"/>
        </w:rPr>
        <w:br/>
        <w:t xml:space="preserve">The Declaration placed special emphasis on the contribution that tourism makes to economic growth, notably in terms of the creation of employment opportunities, the diversification of income, and the development of regional areas. During the same period, it underscored the importance of safeguarding cultural heritage, demonstrating respect to the host cities, and preserving the natural environment. It was this comprehensive perspective that distinguished the Declaration from previous tourism initiatives, which predominantly focused on expansion and revenue. </w:t>
      </w:r>
      <w:r w:rsidRPr="00E16E66">
        <w:rPr>
          <w:lang w:val="en-GB"/>
        </w:rPr>
        <w:br/>
      </w:r>
      <w:r w:rsidRPr="00E16E66">
        <w:rPr>
          <w:lang w:val="en-GB"/>
        </w:rPr>
        <w:br/>
      </w:r>
      <w:proofErr w:type="gramStart"/>
      <w:r w:rsidRPr="00E16E66">
        <w:rPr>
          <w:lang w:val="en-GB"/>
        </w:rPr>
        <w:t>As a consequence of</w:t>
      </w:r>
      <w:proofErr w:type="gramEnd"/>
      <w:r w:rsidRPr="00E16E66">
        <w:rPr>
          <w:lang w:val="en-GB"/>
        </w:rPr>
        <w:t xml:space="preserve"> adopting a human-</w:t>
      </w:r>
      <w:proofErr w:type="spellStart"/>
      <w:r w:rsidRPr="00E16E66">
        <w:rPr>
          <w:lang w:val="en-GB"/>
        </w:rPr>
        <w:t>centered</w:t>
      </w:r>
      <w:proofErr w:type="spellEnd"/>
      <w:r w:rsidRPr="00E16E66">
        <w:rPr>
          <w:lang w:val="en-GB"/>
        </w:rPr>
        <w:t xml:space="preserve"> and rights-based approach to tourism, the Manila Declaration is widely recognized as a notable milestone. In doing so, it elevated tourism to the level of a recognized matter of public policy and social progress. It achieved this by explicitly associating tourism with the rights to leisure, relaxation, and freedom of </w:t>
      </w:r>
      <w:r w:rsidRPr="00E16E66">
        <w:rPr>
          <w:lang w:val="en-GB"/>
        </w:rPr>
        <w:lastRenderedPageBreak/>
        <w:t xml:space="preserve">movement. </w:t>
      </w:r>
      <w:r w:rsidRPr="00E16E66">
        <w:rPr>
          <w:lang w:val="en-GB"/>
        </w:rPr>
        <w:br/>
      </w:r>
      <w:r w:rsidRPr="00E16E66">
        <w:rPr>
          <w:lang w:val="en-GB"/>
        </w:rPr>
        <w:br/>
        <w:t xml:space="preserve">Furthermore, the Declaration anticipated the principles of environmentally sustainable tourism development. Long before sustainability became a prominent topic of discussion on a worldwide scale, it issued a warning against the unchecked expansion of tourism enterprises and urged appropriate planning and management. In later years, these concepts had an impact on important international frameworks and ethical rules that govern tourism governance. </w:t>
      </w:r>
      <w:r w:rsidRPr="00E16E66">
        <w:rPr>
          <w:lang w:val="en-GB"/>
        </w:rPr>
        <w:br/>
      </w:r>
      <w:r w:rsidRPr="00E16E66">
        <w:rPr>
          <w:lang w:val="en-GB"/>
        </w:rPr>
        <w:br/>
        <w:t xml:space="preserve">Furthermore, the Declaration underscored the importance of international collaboration and cooperation across borders. In recognition of the fact that tourism has the potential to lessen global inequities and to promote mutual understanding, it issued an appeal to rich nations and international organizations to provide support for the development of tourism in less developed countries. </w:t>
      </w:r>
      <w:r w:rsidRPr="00E16E66">
        <w:rPr>
          <w:lang w:val="en-GB"/>
        </w:rPr>
        <w:br/>
      </w:r>
      <w:r w:rsidRPr="00E16E66">
        <w:rPr>
          <w:lang w:val="en-GB"/>
        </w:rPr>
        <w:br/>
        <w:t>In conclusion, the Manila Declaration laid the foundational conceptual and ethical principles of modern tourism policy, and it continues to influence the governance of international tourism decades after its adoption.</w:t>
      </w:r>
    </w:p>
    <w:p w14:paraId="34B941DF" w14:textId="77777777" w:rsidR="00FC0347" w:rsidRDefault="00FC0347" w:rsidP="00FC0347">
      <w:pPr>
        <w:spacing w:line="276" w:lineRule="auto"/>
        <w:rPr>
          <w:lang w:val="en-GB"/>
        </w:rPr>
      </w:pPr>
    </w:p>
    <w:p w14:paraId="533265EF" w14:textId="77777777" w:rsidR="000760D4" w:rsidRPr="00FC0347" w:rsidRDefault="000760D4"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DF5F9CF-AED2-4DC8-9C7F-BDE1F0234034}"/>
    <w:embedBold r:id="rId2" w:fontKey="{9DF2C765-1FDD-4D86-B9CF-8C1CDF758DD3}"/>
    <w:embedItalic r:id="rId3" w:fontKey="{E5885C2F-2590-4E73-9518-AC18ECB6469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24DD751-039E-4B12-8F01-1E7061759BD0}"/>
  </w:font>
  <w:font w:name="Calibri Light">
    <w:panose1 w:val="020F0302020204030204"/>
    <w:charset w:val="00"/>
    <w:family w:val="swiss"/>
    <w:pitch w:val="variable"/>
    <w:sig w:usb0="E4002EFF" w:usb1="C000247B" w:usb2="00000009" w:usb3="00000000" w:csb0="000001FF" w:csb1="00000000"/>
    <w:embedRegular r:id="rId5" w:fontKey="{1D3DBE17-2DD2-42E5-A550-4A9D2A7B679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2276"/>
    <w:rsid w:val="000760D4"/>
    <w:rsid w:val="001700EC"/>
    <w:rsid w:val="00174BB1"/>
    <w:rsid w:val="0019504D"/>
    <w:rsid w:val="00195C08"/>
    <w:rsid w:val="00224FD9"/>
    <w:rsid w:val="002565DA"/>
    <w:rsid w:val="00264E12"/>
    <w:rsid w:val="002F4AE0"/>
    <w:rsid w:val="00384E8A"/>
    <w:rsid w:val="003D1074"/>
    <w:rsid w:val="00426865"/>
    <w:rsid w:val="00477CAA"/>
    <w:rsid w:val="00481859"/>
    <w:rsid w:val="00502E29"/>
    <w:rsid w:val="00525072"/>
    <w:rsid w:val="005E458B"/>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E65DD"/>
    <w:rsid w:val="00C21EBA"/>
    <w:rsid w:val="00C612A4"/>
    <w:rsid w:val="00C70025"/>
    <w:rsid w:val="00CC6AD1"/>
    <w:rsid w:val="00CD620A"/>
    <w:rsid w:val="00DA47A1"/>
    <w:rsid w:val="00E06B94"/>
    <w:rsid w:val="00E16E66"/>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2026-01-20T13:25:00Z</dcterms:created>
  <dcterms:modified xsi:type="dcterms:W3CDTF">2026-01-20T13:25:00Z</dcterms:modified>
</cp:coreProperties>
</file>