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2758B46D" w14:textId="77777777" w:rsidR="00630291" w:rsidRPr="00630291" w:rsidRDefault="00630291" w:rsidP="00630291">
      <w:pPr>
        <w:spacing w:line="276" w:lineRule="auto"/>
        <w:rPr>
          <w:lang w:val="en-GB"/>
        </w:rPr>
      </w:pPr>
      <w:r w:rsidRPr="00630291">
        <w:rPr>
          <w:lang w:val="en-GB"/>
        </w:rPr>
        <w:lastRenderedPageBreak/>
        <w:t>The evolution of heritage management from conventional to value-led approaches reflects a deeper intellectual shift in how heritage itself is defined and understood. Rather than being a simple transition from one method to another, this change represents a rethinking of the purpose of conservation, the role of stakeholders, and the meaning of heritage in contemporary society. A critical comparison of these two approaches reveals not only their differences but also the need for their integration in practice.</w:t>
      </w:r>
    </w:p>
    <w:p w14:paraId="110E9324" w14:textId="77777777" w:rsidR="00630291" w:rsidRPr="00630291" w:rsidRDefault="00630291" w:rsidP="00630291">
      <w:pPr>
        <w:spacing w:line="276" w:lineRule="auto"/>
        <w:rPr>
          <w:lang w:val="en-GB"/>
        </w:rPr>
      </w:pPr>
      <w:r w:rsidRPr="00630291">
        <w:rPr>
          <w:lang w:val="en-GB"/>
        </w:rPr>
        <w:t>The conventional approach to heritage management is grounded in a material-based understanding of heritage. It prioritizes the preservation of physical fabric—monuments, sites, and artifacts—based on principles such as authenticity, integrity, and historical accuracy. These principles are embedded in influential frameworks like the Venice Charter and have shaped conservation practices globally. The strength of this approach lies in its methodological rigor and its ability to protect heritage from physical degradation. Through scientific techniques and professional expertise, it has ensured the survival of many historically significant sites.</w:t>
      </w:r>
    </w:p>
    <w:p w14:paraId="772F81E0" w14:textId="77777777" w:rsidR="00630291" w:rsidRPr="00630291" w:rsidRDefault="00630291" w:rsidP="00630291">
      <w:pPr>
        <w:spacing w:line="276" w:lineRule="auto"/>
        <w:rPr>
          <w:lang w:val="en-GB"/>
        </w:rPr>
      </w:pPr>
      <w:r w:rsidRPr="00630291">
        <w:rPr>
          <w:lang w:val="en-GB"/>
        </w:rPr>
        <w:t xml:space="preserve">However, the conventional model is increasingly seen as limited in its scope and applicability. One major critique is that it assumes heritage value to be universal and objective, ignoring the fact that different communities may interpret heritage in diverse ways. This approach often reflects a Eurocentric perspective, privileging monumental architecture and elite histories over </w:t>
      </w:r>
      <w:proofErr w:type="spellStart"/>
      <w:r w:rsidRPr="00630291">
        <w:rPr>
          <w:lang w:val="en-GB"/>
        </w:rPr>
        <w:t>everyday</w:t>
      </w:r>
      <w:proofErr w:type="spellEnd"/>
      <w:r w:rsidRPr="00630291">
        <w:rPr>
          <w:lang w:val="en-GB"/>
        </w:rPr>
        <w:t xml:space="preserve"> cultural practices. As a result, it can marginalize alternative narratives and exclude local communities from the decision-making process. This exclusion not only raises ethical concerns but can also undermine the sustainability of conservation efforts, as communities may feel disconnected from heritage that is managed without their involvement.</w:t>
      </w:r>
    </w:p>
    <w:p w14:paraId="7496583F" w14:textId="77777777" w:rsidR="00630291" w:rsidRPr="00630291" w:rsidRDefault="00630291" w:rsidP="00630291">
      <w:pPr>
        <w:spacing w:line="276" w:lineRule="auto"/>
        <w:rPr>
          <w:lang w:val="en-GB"/>
        </w:rPr>
      </w:pPr>
      <w:r w:rsidRPr="00630291">
        <w:rPr>
          <w:lang w:val="en-GB"/>
        </w:rPr>
        <w:t>In contrast, the value-led approach challenges these assumptions by framing heritage as a socially constructed phenomenon. It argues that heritage does not possess inherent value; rather, its significance emerges through the meanings and uses attributed to it by people. This perspective broadens the scope of heritage management to include intangible elements such as traditions, memories, and cultural identities. It also emphasizes the importance of stakeholder engagement, recognizing that heritage management must involve dialogue among multiple groups with different interests and values.</w:t>
      </w:r>
    </w:p>
    <w:p w14:paraId="46C45C0D" w14:textId="77777777" w:rsidR="00630291" w:rsidRPr="00630291" w:rsidRDefault="00630291" w:rsidP="00630291">
      <w:pPr>
        <w:spacing w:line="276" w:lineRule="auto"/>
        <w:rPr>
          <w:lang w:val="en-GB"/>
        </w:rPr>
      </w:pPr>
      <w:r w:rsidRPr="00630291">
        <w:rPr>
          <w:lang w:val="en-GB"/>
        </w:rPr>
        <w:t>A critical advantage of the value-led approach is its ability to address contemporary issues such as cultural diversity, social inclusion, and sustainable development. By incorporating multiple perspectives, it allows heritage to serve as a resource for community identity and social cohesion. For example, participatory heritage projects have demonstrated that when communities are actively involved, conservation outcomes are often more resilient and meaningful. Moreover, this approach aligns with global policy trends that emphasize human-</w:t>
      </w:r>
      <w:proofErr w:type="spellStart"/>
      <w:r w:rsidRPr="00630291">
        <w:rPr>
          <w:lang w:val="en-GB"/>
        </w:rPr>
        <w:t>centered</w:t>
      </w:r>
      <w:proofErr w:type="spellEnd"/>
      <w:r w:rsidRPr="00630291">
        <w:rPr>
          <w:lang w:val="en-GB"/>
        </w:rPr>
        <w:t xml:space="preserve"> development and cultural rights.</w:t>
      </w:r>
    </w:p>
    <w:p w14:paraId="760C3F9A" w14:textId="77777777" w:rsidR="00630291" w:rsidRPr="00630291" w:rsidRDefault="00630291" w:rsidP="00630291">
      <w:pPr>
        <w:spacing w:line="276" w:lineRule="auto"/>
        <w:rPr>
          <w:lang w:val="en-GB"/>
        </w:rPr>
      </w:pPr>
      <w:r w:rsidRPr="00630291">
        <w:rPr>
          <w:lang w:val="en-GB"/>
        </w:rPr>
        <w:t xml:space="preserve">Nevertheless, the value-led approach is not without its own limitations. One of the key challenges is the difficulty of managing conflicting values. Different stakeholders may have competing priorities—for instance, economic development versus cultural preservation—which can complicate decision-making processes. Additionally, the emphasis on participation </w:t>
      </w:r>
      <w:r w:rsidRPr="00630291">
        <w:rPr>
          <w:lang w:val="en-GB"/>
        </w:rPr>
        <w:lastRenderedPageBreak/>
        <w:t xml:space="preserve">can make heritage management more time-consuming and </w:t>
      </w:r>
      <w:proofErr w:type="gramStart"/>
      <w:r w:rsidRPr="00630291">
        <w:rPr>
          <w:lang w:val="en-GB"/>
        </w:rPr>
        <w:t>resource-intensive</w:t>
      </w:r>
      <w:proofErr w:type="gramEnd"/>
      <w:r w:rsidRPr="00630291">
        <w:rPr>
          <w:lang w:val="en-GB"/>
        </w:rPr>
        <w:t>. There is also a risk that, in focusing on social values, the technical aspects of conservation may be neglected, potentially leading to the deterioration of physical heritage.</w:t>
      </w:r>
    </w:p>
    <w:p w14:paraId="4EF0F1D4" w14:textId="77777777" w:rsidR="00630291" w:rsidRPr="00630291" w:rsidRDefault="00630291" w:rsidP="00630291">
      <w:pPr>
        <w:spacing w:line="276" w:lineRule="auto"/>
        <w:rPr>
          <w:lang w:val="en-GB"/>
        </w:rPr>
      </w:pPr>
      <w:r w:rsidRPr="00630291">
        <w:rPr>
          <w:lang w:val="en-GB"/>
        </w:rPr>
        <w:t xml:space="preserve">Given these strengths and weaknesses, </w:t>
      </w:r>
      <w:proofErr w:type="gramStart"/>
      <w:r w:rsidRPr="00630291">
        <w:rPr>
          <w:lang w:val="en-GB"/>
        </w:rPr>
        <w:t>it is clear that neither</w:t>
      </w:r>
      <w:proofErr w:type="gramEnd"/>
      <w:r w:rsidRPr="00630291">
        <w:rPr>
          <w:lang w:val="en-GB"/>
        </w:rPr>
        <w:t xml:space="preserve"> approach is sufficient on its own. The conventional approach provides the technical foundation necessary for preserving the material aspects of heritage, while the value-led approach ensures that heritage remains relevant and meaningful to society. An integrated approach that combines these perspectives is therefore essential. Such a model would maintain scientific standards while also incorporating stakeholder values, creating a more balanced and sustainable framework for heritage management.</w:t>
      </w:r>
    </w:p>
    <w:p w14:paraId="0C7A27AA" w14:textId="77777777" w:rsidR="00630291" w:rsidRPr="00630291" w:rsidRDefault="00630291" w:rsidP="00630291">
      <w:pPr>
        <w:spacing w:line="276" w:lineRule="auto"/>
        <w:rPr>
          <w:lang w:val="en-GB"/>
        </w:rPr>
      </w:pPr>
      <w:r w:rsidRPr="00630291">
        <w:rPr>
          <w:lang w:val="en-GB"/>
        </w:rPr>
        <w:t>In conclusion, the shift from conventional to value-led heritage management reflects a broader transformation in the field, from a focus on objects to a focus on people. While the conventional approach remains important for its technical contributions, the value-led approach offers a more inclusive and adaptable framework. The future of heritage management lies in the ability to critically combine these approaches, ensuring both the preservation of heritage and its continued relevance in a rapidly changing world.</w:t>
      </w:r>
    </w:p>
    <w:p w14:paraId="45504979" w14:textId="4E4DD33C" w:rsidR="00630291" w:rsidRPr="00630291" w:rsidRDefault="00630291" w:rsidP="00630291">
      <w:pPr>
        <w:spacing w:line="276" w:lineRule="auto"/>
        <w:rPr>
          <w:lang w:val="en-GB"/>
        </w:rPr>
      </w:pPr>
    </w:p>
    <w:p w14:paraId="341F80F2" w14:textId="1AAD7F8A" w:rsidR="00630291" w:rsidRPr="00630291" w:rsidRDefault="00630291" w:rsidP="00630291">
      <w:pPr>
        <w:spacing w:line="276" w:lineRule="auto"/>
        <w:rPr>
          <w:b/>
          <w:bCs/>
          <w:lang w:val="en-GB"/>
        </w:rPr>
      </w:pPr>
      <w:r w:rsidRPr="00630291">
        <w:rPr>
          <w:b/>
          <w:bCs/>
          <w:lang w:val="en-GB"/>
        </w:rPr>
        <w:t xml:space="preserve">References </w:t>
      </w:r>
    </w:p>
    <w:p w14:paraId="37A2A386" w14:textId="77777777" w:rsidR="00630291" w:rsidRPr="00630291" w:rsidRDefault="00630291" w:rsidP="00630291">
      <w:pPr>
        <w:numPr>
          <w:ilvl w:val="0"/>
          <w:numId w:val="11"/>
        </w:numPr>
        <w:spacing w:line="276" w:lineRule="auto"/>
        <w:rPr>
          <w:lang w:val="en-GB"/>
        </w:rPr>
      </w:pPr>
      <w:r w:rsidRPr="00630291">
        <w:rPr>
          <w:lang w:val="en-GB"/>
        </w:rPr>
        <w:t>Holtorf, C. (2013).</w:t>
      </w:r>
      <w:r w:rsidRPr="00630291">
        <w:rPr>
          <w:lang w:val="en-GB"/>
        </w:rPr>
        <w:br/>
        <w:t xml:space="preserve">“On pastness: a reconsideration of materiality in archaeological object authenticity.” </w:t>
      </w:r>
      <w:r w:rsidRPr="00630291">
        <w:rPr>
          <w:i/>
          <w:iCs/>
          <w:lang w:val="en-GB"/>
        </w:rPr>
        <w:t>Anthropological Quarterly</w:t>
      </w:r>
      <w:r w:rsidRPr="00630291">
        <w:rPr>
          <w:lang w:val="en-GB"/>
        </w:rPr>
        <w:t>.</w:t>
      </w:r>
      <w:r w:rsidRPr="00630291">
        <w:rPr>
          <w:lang w:val="en-GB"/>
        </w:rPr>
        <w:br/>
        <w:t xml:space="preserve">DOI: https://doi.org/10.1353/anq.2013.0035 </w:t>
      </w:r>
    </w:p>
    <w:p w14:paraId="75681CD3" w14:textId="77777777" w:rsidR="00630291" w:rsidRPr="00630291" w:rsidRDefault="00630291" w:rsidP="00630291">
      <w:pPr>
        <w:numPr>
          <w:ilvl w:val="0"/>
          <w:numId w:val="11"/>
        </w:numPr>
        <w:spacing w:line="276" w:lineRule="auto"/>
        <w:rPr>
          <w:lang w:val="en-GB"/>
        </w:rPr>
      </w:pPr>
      <w:r w:rsidRPr="00630291">
        <w:rPr>
          <w:lang w:val="en-GB"/>
        </w:rPr>
        <w:t xml:space="preserve">Meskell, L. (2018). </w:t>
      </w:r>
      <w:r w:rsidRPr="00630291">
        <w:rPr>
          <w:i/>
          <w:iCs/>
          <w:lang w:val="en-GB"/>
        </w:rPr>
        <w:t>A Future in Ruins: UNESCO, World Heritage, and the Dream of Peace</w:t>
      </w:r>
      <w:r w:rsidRPr="00630291">
        <w:rPr>
          <w:lang w:val="en-GB"/>
        </w:rPr>
        <w:t>. Oxford University Press.</w:t>
      </w:r>
      <w:r w:rsidRPr="00630291">
        <w:rPr>
          <w:lang w:val="en-GB"/>
        </w:rPr>
        <w:br/>
        <w:t xml:space="preserve">DOI: https://doi.org/10.1093/oso/9780190648343.001.0001 </w:t>
      </w:r>
    </w:p>
    <w:p w14:paraId="3626BFFE" w14:textId="77777777" w:rsidR="00630291" w:rsidRPr="00630291" w:rsidRDefault="00630291" w:rsidP="00630291">
      <w:pPr>
        <w:numPr>
          <w:ilvl w:val="0"/>
          <w:numId w:val="11"/>
        </w:numPr>
        <w:spacing w:line="276" w:lineRule="auto"/>
        <w:rPr>
          <w:lang w:val="en-GB"/>
        </w:rPr>
      </w:pPr>
      <w:r w:rsidRPr="00630291">
        <w:rPr>
          <w:lang w:val="en-GB"/>
        </w:rPr>
        <w:t>Smith, L., &amp; Campbell, G. (2017).</w:t>
      </w:r>
      <w:r w:rsidRPr="00630291">
        <w:rPr>
          <w:lang w:val="en-GB"/>
        </w:rPr>
        <w:br/>
        <w:t xml:space="preserve">“The tautology of ‘intangible </w:t>
      </w:r>
      <w:proofErr w:type="gramStart"/>
      <w:r w:rsidRPr="00630291">
        <w:rPr>
          <w:lang w:val="en-GB"/>
        </w:rPr>
        <w:t>values’</w:t>
      </w:r>
      <w:proofErr w:type="gramEnd"/>
      <w:r w:rsidRPr="00630291">
        <w:rPr>
          <w:lang w:val="en-GB"/>
        </w:rPr>
        <w:t xml:space="preserve"> and the misrecognition of intangible cultural heritage.” </w:t>
      </w:r>
      <w:r w:rsidRPr="00630291">
        <w:rPr>
          <w:i/>
          <w:iCs/>
          <w:lang w:val="en-GB"/>
        </w:rPr>
        <w:t>Heritage &amp; Society</w:t>
      </w:r>
      <w:r w:rsidRPr="00630291">
        <w:rPr>
          <w:lang w:val="en-GB"/>
        </w:rPr>
        <w:t>.</w:t>
      </w:r>
      <w:r w:rsidRPr="00630291">
        <w:rPr>
          <w:lang w:val="en-GB"/>
        </w:rPr>
        <w:br/>
        <w:t xml:space="preserve">DOI: https://doi.org/10.1080/2159032X.2017.1423225 </w:t>
      </w:r>
    </w:p>
    <w:p w14:paraId="07A03823" w14:textId="77777777" w:rsidR="00630291" w:rsidRPr="00630291" w:rsidRDefault="00630291" w:rsidP="00630291">
      <w:pPr>
        <w:numPr>
          <w:ilvl w:val="0"/>
          <w:numId w:val="11"/>
        </w:numPr>
        <w:spacing w:line="276" w:lineRule="auto"/>
        <w:rPr>
          <w:lang w:val="en-GB"/>
        </w:rPr>
      </w:pPr>
      <w:r w:rsidRPr="00630291">
        <w:rPr>
          <w:lang w:val="en-GB"/>
        </w:rPr>
        <w:t>Pendlebury, J. (2013).</w:t>
      </w:r>
      <w:r w:rsidRPr="00630291">
        <w:rPr>
          <w:lang w:val="en-GB"/>
        </w:rPr>
        <w:br/>
        <w:t xml:space="preserve">“Conservation values, the authorised heritage discourse and the conservation-planning assemblage.” </w:t>
      </w:r>
      <w:r w:rsidRPr="00630291">
        <w:rPr>
          <w:i/>
          <w:iCs/>
          <w:lang w:val="en-GB"/>
        </w:rPr>
        <w:t>International Journal of Heritage Studies</w:t>
      </w:r>
      <w:r w:rsidRPr="00630291">
        <w:rPr>
          <w:lang w:val="en-GB"/>
        </w:rPr>
        <w:t>.</w:t>
      </w:r>
      <w:r w:rsidRPr="00630291">
        <w:rPr>
          <w:lang w:val="en-GB"/>
        </w:rPr>
        <w:br/>
        <w:t xml:space="preserve">DOI: </w:t>
      </w:r>
      <w:hyperlink r:id="rId6" w:tgtFrame="_new" w:history="1">
        <w:r w:rsidRPr="00630291">
          <w:rPr>
            <w:rStyle w:val="Hyperlink"/>
            <w:lang w:val="en-GB"/>
          </w:rPr>
          <w:t>https://doi.org/10.1080/13527258.2012.700282</w:t>
        </w:r>
      </w:hyperlink>
      <w:r w:rsidRPr="00630291">
        <w:rPr>
          <w:lang w:val="en-GB"/>
        </w:rPr>
        <w:t xml:space="preserve"> </w:t>
      </w:r>
    </w:p>
    <w:p w14:paraId="2896476C" w14:textId="77777777" w:rsidR="00630291" w:rsidRPr="00630291" w:rsidRDefault="00630291" w:rsidP="00630291">
      <w:pPr>
        <w:numPr>
          <w:ilvl w:val="0"/>
          <w:numId w:val="11"/>
        </w:numPr>
        <w:spacing w:line="276" w:lineRule="auto"/>
        <w:rPr>
          <w:lang w:val="en-GB"/>
        </w:rPr>
      </w:pPr>
      <w:r w:rsidRPr="00630291">
        <w:rPr>
          <w:lang w:val="en-GB"/>
        </w:rPr>
        <w:t>Winter, T. (2014).</w:t>
      </w:r>
      <w:r w:rsidRPr="00630291">
        <w:rPr>
          <w:lang w:val="en-GB"/>
        </w:rPr>
        <w:br/>
        <w:t xml:space="preserve">“Heritage studies and the privileging of theory.” </w:t>
      </w:r>
      <w:r w:rsidRPr="00630291">
        <w:rPr>
          <w:i/>
          <w:iCs/>
          <w:lang w:val="en-GB"/>
        </w:rPr>
        <w:t>International Journal of Heritage Studies</w:t>
      </w:r>
      <w:r w:rsidRPr="00630291">
        <w:rPr>
          <w:lang w:val="en-GB"/>
        </w:rPr>
        <w:t>.</w:t>
      </w:r>
      <w:r w:rsidRPr="00630291">
        <w:rPr>
          <w:lang w:val="en-GB"/>
        </w:rPr>
        <w:br/>
        <w:t>DOI: https://doi.org/10.1080/13527258.2013.832605</w:t>
      </w:r>
    </w:p>
    <w:p w14:paraId="776DCC7D" w14:textId="77777777" w:rsidR="004F00A3" w:rsidRDefault="004F00A3" w:rsidP="00630291">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BAD977B-CA98-4BD5-9387-6E9432091C6B}"/>
    <w:embedBold r:id="rId2" w:fontKey="{C03C921C-2BAA-4FEA-AA3F-23F1B97FAC81}"/>
    <w:embedItalic r:id="rId3" w:fontKey="{A20C1A96-1739-42EB-BC5D-B55A46FFCA7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21BF914-1175-49B7-91EC-1DE8C5892FB1}"/>
  </w:font>
  <w:font w:name="Calibri Light">
    <w:panose1 w:val="020F0302020204030204"/>
    <w:charset w:val="00"/>
    <w:family w:val="swiss"/>
    <w:pitch w:val="variable"/>
    <w:sig w:usb0="E4002EFF" w:usb1="C000247B" w:usb2="00000009" w:usb3="00000000" w:csb0="000001FF" w:csb1="00000000"/>
    <w:embedRegular r:id="rId5" w:fontKey="{8B187E53-A496-474B-B5DE-8F9847DE12B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4504E1"/>
    <w:multiLevelType w:val="multilevel"/>
    <w:tmpl w:val="AE847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20376D"/>
    <w:multiLevelType w:val="multilevel"/>
    <w:tmpl w:val="45368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F9525B"/>
    <w:multiLevelType w:val="multilevel"/>
    <w:tmpl w:val="4E6CE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1F623D"/>
    <w:multiLevelType w:val="multilevel"/>
    <w:tmpl w:val="07C2F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200508"/>
    <w:multiLevelType w:val="multilevel"/>
    <w:tmpl w:val="5E0C7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1B3731"/>
    <w:multiLevelType w:val="multilevel"/>
    <w:tmpl w:val="3B9C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C6A2650"/>
    <w:multiLevelType w:val="hybridMultilevel"/>
    <w:tmpl w:val="0A9EB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5E7F68"/>
    <w:multiLevelType w:val="multilevel"/>
    <w:tmpl w:val="1B700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56309E"/>
    <w:multiLevelType w:val="multilevel"/>
    <w:tmpl w:val="AC72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010166">
    <w:abstractNumId w:val="7"/>
  </w:num>
  <w:num w:numId="2" w16cid:durableId="321082758">
    <w:abstractNumId w:val="4"/>
  </w:num>
  <w:num w:numId="3" w16cid:durableId="1925534475">
    <w:abstractNumId w:val="9"/>
  </w:num>
  <w:num w:numId="4" w16cid:durableId="1785995615">
    <w:abstractNumId w:val="6"/>
  </w:num>
  <w:num w:numId="5" w16cid:durableId="1645886677">
    <w:abstractNumId w:val="3"/>
  </w:num>
  <w:num w:numId="6" w16cid:durableId="2056662666">
    <w:abstractNumId w:val="1"/>
  </w:num>
  <w:num w:numId="7" w16cid:durableId="1995061050">
    <w:abstractNumId w:val="10"/>
  </w:num>
  <w:num w:numId="8" w16cid:durableId="111098574">
    <w:abstractNumId w:val="0"/>
  </w:num>
  <w:num w:numId="9" w16cid:durableId="320044634">
    <w:abstractNumId w:val="2"/>
  </w:num>
  <w:num w:numId="10" w16cid:durableId="98960289">
    <w:abstractNumId w:val="8"/>
  </w:num>
  <w:num w:numId="11" w16cid:durableId="8260192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63ECF"/>
    <w:rsid w:val="001700EC"/>
    <w:rsid w:val="00174BB1"/>
    <w:rsid w:val="00224FD9"/>
    <w:rsid w:val="002F4AE0"/>
    <w:rsid w:val="00384E8A"/>
    <w:rsid w:val="003D1074"/>
    <w:rsid w:val="003F4BD0"/>
    <w:rsid w:val="00426865"/>
    <w:rsid w:val="00477CAA"/>
    <w:rsid w:val="004F00A3"/>
    <w:rsid w:val="00502E29"/>
    <w:rsid w:val="005E458B"/>
    <w:rsid w:val="00630291"/>
    <w:rsid w:val="00672345"/>
    <w:rsid w:val="0078667C"/>
    <w:rsid w:val="00806669"/>
    <w:rsid w:val="00844EC2"/>
    <w:rsid w:val="008516FE"/>
    <w:rsid w:val="008D42C9"/>
    <w:rsid w:val="00942251"/>
    <w:rsid w:val="009C1D0A"/>
    <w:rsid w:val="00A044F7"/>
    <w:rsid w:val="00A8150E"/>
    <w:rsid w:val="00B20343"/>
    <w:rsid w:val="00B85EA7"/>
    <w:rsid w:val="00BE65DD"/>
    <w:rsid w:val="00C50C4A"/>
    <w:rsid w:val="00C612A4"/>
    <w:rsid w:val="00CC38D3"/>
    <w:rsid w:val="00CC6AD1"/>
    <w:rsid w:val="00E6778A"/>
    <w:rsid w:val="00E7754C"/>
    <w:rsid w:val="00F13AC3"/>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13527258.2012.700282"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913</Words>
  <Characters>5206</Characters>
  <Application>Microsoft Office Word</Application>
  <DocSecurity>0</DocSecurity>
  <Lines>43</Lines>
  <Paragraphs>12</Paragraphs>
  <ScaleCrop>false</ScaleCrop>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2026-04-18T12:22:00Z</dcterms:created>
  <dcterms:modified xsi:type="dcterms:W3CDTF">2026-04-18T12:22:00Z</dcterms:modified>
</cp:coreProperties>
</file>