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302DAA" w14:textId="77777777" w:rsidR="00F65D2C" w:rsidRDefault="00F65D2C" w:rsidP="00F65D2C">
      <w:pPr>
        <w:pStyle w:val="Title"/>
        <w:rPr>
          <w:lang w:val="en-AU"/>
        </w:rPr>
      </w:pPr>
    </w:p>
    <w:p w14:paraId="1E86E999" w14:textId="77777777" w:rsidR="00F65D2C" w:rsidRDefault="00F65D2C" w:rsidP="00F65D2C">
      <w:pPr>
        <w:pStyle w:val="Title"/>
        <w:rPr>
          <w:lang w:val="en-AU"/>
        </w:rPr>
      </w:pPr>
    </w:p>
    <w:p w14:paraId="2B738CA1" w14:textId="77777777" w:rsidR="00F65D2C" w:rsidRDefault="00F65D2C" w:rsidP="00F65D2C">
      <w:pPr>
        <w:pStyle w:val="Title"/>
        <w:rPr>
          <w:lang w:val="en-AU"/>
        </w:rPr>
      </w:pPr>
    </w:p>
    <w:p w14:paraId="52941EE3" w14:textId="77777777" w:rsidR="00F65D2C" w:rsidRDefault="00F65D2C" w:rsidP="00F65D2C">
      <w:pPr>
        <w:pStyle w:val="Title"/>
        <w:rPr>
          <w:lang w:val="en-AU"/>
        </w:rPr>
      </w:pPr>
    </w:p>
    <w:p w14:paraId="056D3484" w14:textId="77777777" w:rsidR="00F65D2C" w:rsidRDefault="00F65D2C" w:rsidP="00F65D2C">
      <w:pPr>
        <w:pStyle w:val="Title"/>
        <w:rPr>
          <w:lang w:val="en-AU"/>
        </w:rPr>
      </w:pPr>
    </w:p>
    <w:p w14:paraId="774225A3" w14:textId="77777777" w:rsidR="00F65D2C" w:rsidRDefault="00F65D2C" w:rsidP="00F65D2C">
      <w:pPr>
        <w:pStyle w:val="Title"/>
        <w:rPr>
          <w:lang w:val="en-AU"/>
        </w:rPr>
      </w:pPr>
    </w:p>
    <w:p w14:paraId="1851AA23" w14:textId="77777777" w:rsidR="00F65D2C" w:rsidRDefault="00F65D2C" w:rsidP="00F65D2C">
      <w:pPr>
        <w:pStyle w:val="Title"/>
        <w:rPr>
          <w:lang w:val="en-AU"/>
        </w:rPr>
      </w:pPr>
    </w:p>
    <w:p w14:paraId="544220AB" w14:textId="77777777" w:rsidR="00F65D2C" w:rsidRDefault="00F65D2C" w:rsidP="00F65D2C">
      <w:pPr>
        <w:pStyle w:val="Title"/>
        <w:rPr>
          <w:lang w:val="en-AU"/>
        </w:rPr>
      </w:pPr>
    </w:p>
    <w:p w14:paraId="09B50CA2" w14:textId="77777777" w:rsidR="00F65D2C" w:rsidRDefault="00F65D2C" w:rsidP="00F65D2C">
      <w:pPr>
        <w:pStyle w:val="Title"/>
        <w:rPr>
          <w:lang w:val="en-AU"/>
        </w:rPr>
      </w:pPr>
    </w:p>
    <w:p w14:paraId="34C8A21B" w14:textId="77777777" w:rsidR="00F65D2C" w:rsidRDefault="00F65D2C" w:rsidP="00F65D2C">
      <w:pPr>
        <w:pStyle w:val="Title"/>
        <w:rPr>
          <w:lang w:val="en-AU"/>
        </w:rPr>
      </w:pPr>
    </w:p>
    <w:p w14:paraId="61820AD0" w14:textId="77777777" w:rsidR="00F65D2C" w:rsidRDefault="00F65D2C" w:rsidP="00F65D2C">
      <w:pPr>
        <w:pStyle w:val="Title"/>
        <w:rPr>
          <w:lang w:val="en-AU"/>
        </w:rPr>
      </w:pPr>
    </w:p>
    <w:p w14:paraId="489AE395" w14:textId="0FFFC054" w:rsidR="006B0E70" w:rsidRPr="0043091B" w:rsidRDefault="006B0E70" w:rsidP="00F65D2C">
      <w:pPr>
        <w:pStyle w:val="Title"/>
        <w:rPr>
          <w:lang w:val="en-AU"/>
        </w:rPr>
      </w:pPr>
      <w:r w:rsidRPr="0043091B">
        <w:rPr>
          <w:lang w:val="en-AU"/>
        </w:rPr>
        <w:t>Operations Management in Hospitality</w:t>
      </w:r>
    </w:p>
    <w:p w14:paraId="68AC6653" w14:textId="648C3705" w:rsidR="006B0E70" w:rsidRPr="0043091B" w:rsidRDefault="006B0E70" w:rsidP="00F65D2C">
      <w:pPr>
        <w:pStyle w:val="Title"/>
        <w:rPr>
          <w:lang w:val="en-AU"/>
        </w:rPr>
      </w:pPr>
      <w:r w:rsidRPr="0043091B">
        <w:rPr>
          <w:lang w:val="en-AU"/>
        </w:rPr>
        <w:t>Assignment 1</w:t>
      </w:r>
      <w:r w:rsidR="006F0442">
        <w:rPr>
          <w:lang w:val="en-AU"/>
        </w:rPr>
        <w:t>2</w:t>
      </w:r>
    </w:p>
    <w:p w14:paraId="0532D3D1" w14:textId="77777777" w:rsidR="000B492D" w:rsidRDefault="000B492D" w:rsidP="000B492D">
      <w:pPr>
        <w:pStyle w:val="Title"/>
        <w:rPr>
          <w:lang w:val="en-IN"/>
        </w:rPr>
      </w:pPr>
      <w:r>
        <w:rPr>
          <w:lang w:val="en-IN"/>
        </w:rPr>
        <w:t>Student Name: Kewal Kumar</w:t>
      </w:r>
    </w:p>
    <w:p w14:paraId="09F4B8D8" w14:textId="77777777" w:rsidR="000B492D" w:rsidRDefault="000B492D" w:rsidP="000B492D">
      <w:pPr>
        <w:pStyle w:val="Title"/>
        <w:rPr>
          <w:lang w:val="en-IN"/>
        </w:rPr>
      </w:pPr>
      <w:r>
        <w:rPr>
          <w:lang w:val="en-IN"/>
        </w:rPr>
        <w:t xml:space="preserve">Student ID: </w:t>
      </w:r>
      <w:r>
        <w:rPr>
          <w:rFonts w:cs="Times New Roman"/>
          <w:bCs/>
          <w:szCs w:val="32"/>
          <w:lang w:val="en-US"/>
        </w:rPr>
        <w:t>DE240138</w:t>
      </w:r>
    </w:p>
    <w:p w14:paraId="7F52682E" w14:textId="77777777" w:rsidR="006B0E70" w:rsidRPr="0043091B" w:rsidRDefault="006B0E70">
      <w:pPr>
        <w:spacing w:line="278" w:lineRule="auto"/>
        <w:rPr>
          <w:lang w:val="en-AU"/>
        </w:rPr>
      </w:pPr>
      <w:r w:rsidRPr="0043091B">
        <w:rPr>
          <w:lang w:val="en-AU"/>
        </w:rPr>
        <w:br w:type="page"/>
      </w:r>
    </w:p>
    <w:p w14:paraId="38F744C1" w14:textId="77777777" w:rsidR="007677AB" w:rsidRPr="007677AB" w:rsidRDefault="007677AB" w:rsidP="007677AB">
      <w:pPr>
        <w:pStyle w:val="Heading1"/>
        <w:rPr>
          <w:lang w:val="en-IN"/>
        </w:rPr>
      </w:pPr>
      <w:r w:rsidRPr="007677AB">
        <w:rPr>
          <w:lang w:val="en-IN"/>
        </w:rPr>
        <w:lastRenderedPageBreak/>
        <w:t>Why is price elasticity important for revenue management systems in hotels?</w:t>
      </w:r>
    </w:p>
    <w:p w14:paraId="79B17776" w14:textId="28744B96" w:rsidR="007677AB" w:rsidRDefault="007677AB" w:rsidP="007677AB">
      <w:pPr>
        <w:jc w:val="center"/>
        <w:rPr>
          <w:lang w:val="en-IN"/>
        </w:rPr>
      </w:pPr>
      <w:r w:rsidRPr="007677AB">
        <w:rPr>
          <w:noProof/>
          <w:lang w:val="en-IN"/>
        </w:rPr>
        <w:drawing>
          <wp:inline distT="0" distB="0" distL="0" distR="0" wp14:anchorId="10848EC4" wp14:editId="68D40F52">
            <wp:extent cx="3989739" cy="3387698"/>
            <wp:effectExtent l="0" t="0" r="0" b="3810"/>
            <wp:docPr id="18218897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1889780" name=""/>
                    <pic:cNvPicPr/>
                  </pic:nvPicPr>
                  <pic:blipFill>
                    <a:blip r:embed="rId7"/>
                    <a:stretch>
                      <a:fillRect/>
                    </a:stretch>
                  </pic:blipFill>
                  <pic:spPr>
                    <a:xfrm>
                      <a:off x="0" y="0"/>
                      <a:ext cx="3994388" cy="3391646"/>
                    </a:xfrm>
                    <a:prstGeom prst="rect">
                      <a:avLst/>
                    </a:prstGeom>
                  </pic:spPr>
                </pic:pic>
              </a:graphicData>
            </a:graphic>
          </wp:inline>
        </w:drawing>
      </w:r>
    </w:p>
    <w:p w14:paraId="4064099F" w14:textId="3C210E8E" w:rsidR="007677AB" w:rsidRPr="007677AB" w:rsidRDefault="007677AB" w:rsidP="007677AB">
      <w:pPr>
        <w:jc w:val="center"/>
        <w:rPr>
          <w:b/>
          <w:bCs/>
          <w:lang w:val="en-IN"/>
        </w:rPr>
      </w:pPr>
      <w:r w:rsidRPr="007677AB">
        <w:rPr>
          <w:b/>
          <w:bCs/>
          <w:lang w:val="en-IN"/>
        </w:rPr>
        <w:t>Figure</w:t>
      </w:r>
      <w:r>
        <w:rPr>
          <w:b/>
          <w:bCs/>
          <w:lang w:val="en-IN"/>
        </w:rPr>
        <w:t xml:space="preserve"> 1</w:t>
      </w:r>
      <w:r w:rsidRPr="007677AB">
        <w:rPr>
          <w:b/>
          <w:bCs/>
          <w:lang w:val="en-IN"/>
        </w:rPr>
        <w:t>: Domestic trips and results</w:t>
      </w:r>
    </w:p>
    <w:p w14:paraId="47F581B4" w14:textId="6DF70561" w:rsidR="007677AB" w:rsidRDefault="007677AB" w:rsidP="007677AB">
      <w:pPr>
        <w:jc w:val="center"/>
        <w:rPr>
          <w:lang w:val="en-IN"/>
        </w:rPr>
      </w:pPr>
      <w:r>
        <w:rPr>
          <w:lang w:val="en-IN"/>
        </w:rPr>
        <w:t xml:space="preserve">(Source: </w:t>
      </w:r>
      <w:r w:rsidRPr="007677AB">
        <w:rPr>
          <w:lang w:val="en-IN"/>
        </w:rPr>
        <w:t>TRA</w:t>
      </w:r>
      <w:r>
        <w:rPr>
          <w:lang w:val="en-IN"/>
        </w:rPr>
        <w:t xml:space="preserve">, </w:t>
      </w:r>
      <w:r w:rsidRPr="007677AB">
        <w:rPr>
          <w:lang w:val="en-IN"/>
        </w:rPr>
        <w:t>2025</w:t>
      </w:r>
      <w:r>
        <w:rPr>
          <w:lang w:val="en-IN"/>
        </w:rPr>
        <w:t>)</w:t>
      </w:r>
    </w:p>
    <w:p w14:paraId="01156760" w14:textId="099C69B0" w:rsidR="007677AB" w:rsidRPr="007677AB" w:rsidRDefault="007677AB" w:rsidP="00B50C84">
      <w:pPr>
        <w:ind w:firstLine="720"/>
        <w:rPr>
          <w:lang w:val="en-IN"/>
        </w:rPr>
      </w:pPr>
      <w:r w:rsidRPr="007677AB">
        <w:rPr>
          <w:lang w:val="en-IN"/>
        </w:rPr>
        <w:t xml:space="preserve">Hotel revenue management depends on price elasticity as it illustrates the extent to which room demand will change as price varies. This is more important in Australia following the periods of volatility in the 2021-2026 recovery swing. In December 2025, the number of people who used their domestic overnights </w:t>
      </w:r>
      <w:r>
        <w:rPr>
          <w:lang w:val="en-IN"/>
        </w:rPr>
        <w:t>totalled</w:t>
      </w:r>
      <w:r w:rsidRPr="007677AB">
        <w:rPr>
          <w:lang w:val="en-IN"/>
        </w:rPr>
        <w:t xml:space="preserve"> 29.5 million and household spending on accommodation was 7.5 billion, but overall expenditure on overnight travel declined by 3</w:t>
      </w:r>
      <w:r>
        <w:rPr>
          <w:lang w:val="en-IN"/>
        </w:rPr>
        <w:t>%</w:t>
      </w:r>
      <w:r w:rsidRPr="007677AB">
        <w:rPr>
          <w:lang w:val="en-IN"/>
        </w:rPr>
        <w:t>, indicating that demand to travel and household savings in this area were strong but the nature of household spending became more cautious (TRA, 2025). In the case of hotels, this implies that demand is available, but willingness to pay is skewed; pricing mechanisms need to estimate at which periods guests are price-elastic, instead of assuming on the basis of a practice-based assumption that every season with high demand reflected is feasible in reality.</w:t>
      </w:r>
    </w:p>
    <w:p w14:paraId="2D2B7763" w14:textId="73C9F432" w:rsidR="007677AB" w:rsidRPr="007677AB" w:rsidRDefault="007677AB" w:rsidP="00B50C84">
      <w:pPr>
        <w:ind w:firstLine="720"/>
        <w:rPr>
          <w:lang w:val="en-IN"/>
        </w:rPr>
      </w:pPr>
      <w:r w:rsidRPr="007677AB">
        <w:rPr>
          <w:lang w:val="en-IN"/>
        </w:rPr>
        <w:t xml:space="preserve">The initial rationale that the elasticity is important is market segmentation. Visitors on leisure, corporate and event basis do not respond the same to price. Australian trip arrivals of short-term visitors to the country peaked in 2026 in January to 716,680 trips, 2.0% less than </w:t>
      </w:r>
      <w:r w:rsidRPr="007677AB">
        <w:rPr>
          <w:lang w:val="en-IN"/>
        </w:rPr>
        <w:lastRenderedPageBreak/>
        <w:t>January 2019 but remaining 0.9% higher than in January 2021 (ABS, 2024). That gap suggests it means that inbound demand is recovered, yet not completely or in an even manner. A hotel that disregards elasticity may charge international vacationers who are still rebuilding an overpriced hotel, and prices downwards at times of the year when the business or VFR demand is not price-sensitive. The revenue management systems thus require channel, purpose, lead time and origin market estimates of elasticity rather than an overall demand curve averaged.</w:t>
      </w:r>
    </w:p>
    <w:p w14:paraId="778FDC91" w14:textId="0713223D" w:rsidR="007677AB" w:rsidRPr="007677AB" w:rsidRDefault="007677AB" w:rsidP="00B50C84">
      <w:pPr>
        <w:ind w:firstLine="720"/>
        <w:rPr>
          <w:lang w:val="en-IN"/>
        </w:rPr>
      </w:pPr>
      <w:r w:rsidRPr="007677AB">
        <w:rPr>
          <w:lang w:val="en-IN"/>
        </w:rPr>
        <w:t>Second, elasticity cushions the hotels against picking up the wrong pricing power against inflation. The CPI increased 3.8</w:t>
      </w:r>
      <w:r>
        <w:rPr>
          <w:lang w:val="en-IN"/>
        </w:rPr>
        <w:t>%</w:t>
      </w:r>
      <w:r w:rsidRPr="007677AB">
        <w:rPr>
          <w:lang w:val="en-IN"/>
        </w:rPr>
        <w:t xml:space="preserve"> in Australia in the year to December 2025 with the recreation and culture increasing 4.4</w:t>
      </w:r>
      <w:r>
        <w:rPr>
          <w:lang w:val="en-IN"/>
        </w:rPr>
        <w:t xml:space="preserve">% </w:t>
      </w:r>
      <w:r w:rsidRPr="007677AB">
        <w:rPr>
          <w:lang w:val="en-IN"/>
        </w:rPr>
        <w:t>(ABS, 2026). The inflation of costs puts pressure to increase room rates</w:t>
      </w:r>
      <w:r>
        <w:rPr>
          <w:lang w:val="en-IN"/>
        </w:rPr>
        <w:t>;</w:t>
      </w:r>
      <w:r w:rsidRPr="007677AB">
        <w:rPr>
          <w:lang w:val="en-IN"/>
        </w:rPr>
        <w:t xml:space="preserve"> however, the inflation of costs does not ensure the customers will take new high-priced rates. When managers go through inflation mechanically, then they can harm the occupancy and total revenue. The actual way ADR will boost RevPAR is the commercial question when the demand is adjusted, this is the test of the elasticity.</w:t>
      </w:r>
    </w:p>
    <w:p w14:paraId="650D9694" w14:textId="7B7573E0" w:rsidR="007677AB" w:rsidRPr="007677AB" w:rsidRDefault="00B50C84" w:rsidP="00B50C84">
      <w:pPr>
        <w:ind w:firstLine="720"/>
        <w:rPr>
          <w:lang w:val="en-IN"/>
        </w:rPr>
      </w:pPr>
      <w:r w:rsidRPr="00B50C84">
        <w:rPr>
          <w:lang w:val="en-IN"/>
        </w:rPr>
        <w:t xml:space="preserve">Third, strategy is forward-looking with the support of elasticity. TRA (2024) predicts international travel will be in 2026 at or above pre-pandemic levels, with domestic travel resuming increase starting in 2026 following a steady 2024-2025. More importantly, this implies that hotels must not use fixed pricing policies. During soft periods, a small amount of discount can drive sufficient additional volume to increase the total revenue, whereas during compression periods, a fenced pricing policy and closer discounting can be used to boost yield. Therefore, price elasticity is not only a variable of prediction, but a process through which market volatility transforms into </w:t>
      </w:r>
      <w:r>
        <w:rPr>
          <w:lang w:val="en-IN"/>
        </w:rPr>
        <w:t>profit-maximising</w:t>
      </w:r>
      <w:r w:rsidRPr="00B50C84">
        <w:rPr>
          <w:lang w:val="en-IN"/>
        </w:rPr>
        <w:t xml:space="preserve"> disciplined room pricing in the Australian hotels.</w:t>
      </w:r>
    </w:p>
    <w:p w14:paraId="2DFFB17C" w14:textId="77777777" w:rsidR="007677AB" w:rsidRDefault="007677AB">
      <w:pPr>
        <w:spacing w:line="278" w:lineRule="auto"/>
        <w:rPr>
          <w:rFonts w:eastAsiaTheme="majorEastAsia" w:cstheme="majorBidi"/>
          <w:b/>
          <w:sz w:val="28"/>
          <w:szCs w:val="40"/>
        </w:rPr>
      </w:pPr>
      <w:r>
        <w:br w:type="page"/>
      </w:r>
    </w:p>
    <w:p w14:paraId="351AEC3A" w14:textId="5A55F0B2" w:rsidR="004A4A5D" w:rsidRDefault="007677AB" w:rsidP="007677AB">
      <w:pPr>
        <w:pStyle w:val="Heading1"/>
      </w:pPr>
      <w:r w:rsidRPr="007677AB">
        <w:lastRenderedPageBreak/>
        <w:t>References</w:t>
      </w:r>
    </w:p>
    <w:p w14:paraId="6E6063E0" w14:textId="77777777" w:rsidR="007677AB" w:rsidRDefault="007677AB" w:rsidP="007677AB">
      <w:pPr>
        <w:ind w:left="720" w:hanging="720"/>
        <w:rPr>
          <w:lang w:val="en-IN"/>
        </w:rPr>
      </w:pPr>
      <w:r w:rsidRPr="007677AB">
        <w:rPr>
          <w:lang w:val="en-IN"/>
        </w:rPr>
        <w:t xml:space="preserve">TRA. (2025). Domestic tourism statistics results | Tourism Research Australia. Retrieved from Tra.gov.au website: </w:t>
      </w:r>
      <w:hyperlink r:id="rId8" w:history="1">
        <w:r w:rsidRPr="007677AB">
          <w:rPr>
            <w:rStyle w:val="Hyperlink"/>
            <w:lang w:val="en-IN"/>
          </w:rPr>
          <w:t>https://www.tra.gov.au/en/domestic/domestic-tourism-statistics-results</w:t>
        </w:r>
      </w:hyperlink>
    </w:p>
    <w:p w14:paraId="02E46EBC" w14:textId="77777777" w:rsidR="007677AB" w:rsidRDefault="007677AB" w:rsidP="007677AB">
      <w:pPr>
        <w:ind w:left="720" w:hanging="720"/>
        <w:rPr>
          <w:lang w:val="en-IN"/>
        </w:rPr>
      </w:pPr>
      <w:r w:rsidRPr="007677AB">
        <w:rPr>
          <w:lang w:val="en-IN"/>
        </w:rPr>
        <w:t xml:space="preserve">TRA. (2024). Tourism forecasts for Australia 2024-2029 | Tourism Research Australia. Retrieved from Tra.gov.au website: </w:t>
      </w:r>
      <w:hyperlink r:id="rId9" w:history="1">
        <w:r w:rsidRPr="007677AB">
          <w:rPr>
            <w:rStyle w:val="Hyperlink"/>
            <w:lang w:val="en-IN"/>
          </w:rPr>
          <w:t>https://www.tra.gov.au/en/economic-analysis/tourism-forecasts-for-australia/tffa-2024-2029</w:t>
        </w:r>
      </w:hyperlink>
    </w:p>
    <w:p w14:paraId="1078CB23" w14:textId="77777777" w:rsidR="007677AB" w:rsidRPr="007677AB" w:rsidRDefault="007677AB" w:rsidP="007677AB">
      <w:pPr>
        <w:ind w:left="720" w:hanging="720"/>
        <w:rPr>
          <w:lang w:val="en-IN"/>
        </w:rPr>
      </w:pPr>
      <w:r w:rsidRPr="007677AB">
        <w:rPr>
          <w:lang w:val="en-IN"/>
        </w:rPr>
        <w:t xml:space="preserve">ABS. (2024, November 9). Overseas Arrivals and Departures, Australia, July 2020 | Australian Bureau of Statistics. Retrieved from Australian Bureau of Statistics website: </w:t>
      </w:r>
      <w:hyperlink r:id="rId10" w:history="1">
        <w:r w:rsidRPr="007677AB">
          <w:rPr>
            <w:rStyle w:val="Hyperlink"/>
            <w:lang w:val="en-IN"/>
          </w:rPr>
          <w:t>https://www.abs.gov.au/statistics/industry/tourism-and-transport/overseas-arrivals-and-departures-australia/latest-release</w:t>
        </w:r>
      </w:hyperlink>
      <w:r>
        <w:rPr>
          <w:lang w:val="en-IN"/>
        </w:rPr>
        <w:t xml:space="preserve"> </w:t>
      </w:r>
    </w:p>
    <w:p w14:paraId="0515B0F9" w14:textId="77777777" w:rsidR="007677AB" w:rsidRDefault="007677AB" w:rsidP="007677AB">
      <w:pPr>
        <w:ind w:left="720" w:hanging="720"/>
        <w:rPr>
          <w:lang w:val="en-IN"/>
        </w:rPr>
      </w:pPr>
      <w:r w:rsidRPr="007677AB">
        <w:rPr>
          <w:lang w:val="en-IN"/>
        </w:rPr>
        <w:t xml:space="preserve">ABS. (2026, January 28). Consumer Price Index, Australia, December 2025. Retrieved from Australian Bureau of Statistics website: </w:t>
      </w:r>
      <w:hyperlink r:id="rId11" w:history="1">
        <w:r w:rsidRPr="007677AB">
          <w:rPr>
            <w:rStyle w:val="Hyperlink"/>
            <w:lang w:val="en-IN"/>
          </w:rPr>
          <w:t>https://www.abs.gov.au/statistics/economy/price-indexes-and-inflation/consumer-price-index-australia/dec-2025</w:t>
        </w:r>
      </w:hyperlink>
    </w:p>
    <w:p w14:paraId="3CB1C63A" w14:textId="77777777" w:rsidR="007677AB" w:rsidRPr="007677AB" w:rsidRDefault="007677AB" w:rsidP="007677AB">
      <w:pPr>
        <w:rPr>
          <w:lang w:val="en-IN"/>
        </w:rPr>
      </w:pPr>
    </w:p>
    <w:p w14:paraId="0F9312F4" w14:textId="77777777" w:rsidR="007677AB" w:rsidRPr="007677AB" w:rsidRDefault="007677AB" w:rsidP="007677AB">
      <w:pPr>
        <w:rPr>
          <w:lang w:val="en-IN"/>
        </w:rPr>
      </w:pPr>
    </w:p>
    <w:p w14:paraId="10295E7D" w14:textId="77777777" w:rsidR="007677AB" w:rsidRPr="007677AB" w:rsidRDefault="007677AB" w:rsidP="007677AB">
      <w:pPr>
        <w:rPr>
          <w:lang w:val="en-IN"/>
        </w:rPr>
      </w:pPr>
    </w:p>
    <w:p w14:paraId="5E5C781D" w14:textId="77777777" w:rsidR="007677AB" w:rsidRPr="007677AB" w:rsidRDefault="007677AB" w:rsidP="007677AB"/>
    <w:p w14:paraId="2CE04CA0" w14:textId="77777777" w:rsidR="004A4A5D" w:rsidRPr="004A4A5D" w:rsidRDefault="004A4A5D" w:rsidP="004A4A5D">
      <w:pPr>
        <w:rPr>
          <w:lang w:val="en-IN"/>
        </w:rPr>
      </w:pPr>
    </w:p>
    <w:p w14:paraId="3BA504FF" w14:textId="77777777" w:rsidR="004A4A5D" w:rsidRPr="004A4A5D" w:rsidRDefault="004A4A5D" w:rsidP="004A4A5D">
      <w:pPr>
        <w:rPr>
          <w:lang w:val="en-IN"/>
        </w:rPr>
      </w:pPr>
    </w:p>
    <w:p w14:paraId="25344507" w14:textId="77777777" w:rsidR="004A4A5D" w:rsidRDefault="004A4A5D" w:rsidP="0043091B">
      <w:pPr>
        <w:rPr>
          <w:lang w:val="en-AU"/>
        </w:rPr>
      </w:pPr>
    </w:p>
    <w:p w14:paraId="3FDAD5BB" w14:textId="77777777" w:rsidR="004A4A5D" w:rsidRPr="0043091B" w:rsidRDefault="004A4A5D" w:rsidP="0043091B">
      <w:pPr>
        <w:rPr>
          <w:lang w:val="en-AU"/>
        </w:rPr>
      </w:pPr>
    </w:p>
    <w:sectPr w:rsidR="004A4A5D" w:rsidRPr="0043091B" w:rsidSect="00AD02C5">
      <w:headerReference w:type="default" r:id="rId12"/>
      <w:pgSz w:w="11906" w:h="16838"/>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E71160" w14:textId="77777777" w:rsidR="00FB51A2" w:rsidRDefault="00FB51A2" w:rsidP="00AD02C5">
      <w:pPr>
        <w:spacing w:after="0" w:line="240" w:lineRule="auto"/>
      </w:pPr>
      <w:r>
        <w:separator/>
      </w:r>
    </w:p>
  </w:endnote>
  <w:endnote w:type="continuationSeparator" w:id="0">
    <w:p w14:paraId="2C3C8231" w14:textId="77777777" w:rsidR="00FB51A2" w:rsidRDefault="00FB51A2" w:rsidP="00AD02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1A2194" w14:textId="77777777" w:rsidR="00FB51A2" w:rsidRDefault="00FB51A2" w:rsidP="00AD02C5">
      <w:pPr>
        <w:spacing w:after="0" w:line="240" w:lineRule="auto"/>
      </w:pPr>
      <w:r>
        <w:separator/>
      </w:r>
    </w:p>
  </w:footnote>
  <w:footnote w:type="continuationSeparator" w:id="0">
    <w:p w14:paraId="0D118D52" w14:textId="77777777" w:rsidR="00FB51A2" w:rsidRDefault="00FB51A2" w:rsidP="00AD02C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12538719"/>
      <w:docPartObj>
        <w:docPartGallery w:val="Page Numbers (Top of Page)"/>
        <w:docPartUnique/>
      </w:docPartObj>
    </w:sdtPr>
    <w:sdtEndPr>
      <w:rPr>
        <w:noProof/>
      </w:rPr>
    </w:sdtEndPr>
    <w:sdtContent>
      <w:p w14:paraId="7A339651" w14:textId="09831486" w:rsidR="00AD02C5" w:rsidRDefault="00AD02C5">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7780D034" w14:textId="77777777" w:rsidR="00AD02C5" w:rsidRDefault="00AD02C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8045AC7"/>
    <w:multiLevelType w:val="hybridMultilevel"/>
    <w:tmpl w:val="BC9E7D5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2068680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6E35"/>
    <w:rsid w:val="00091E9C"/>
    <w:rsid w:val="000B492D"/>
    <w:rsid w:val="000F4D4E"/>
    <w:rsid w:val="001606DB"/>
    <w:rsid w:val="001A7F79"/>
    <w:rsid w:val="00315BA7"/>
    <w:rsid w:val="003565C8"/>
    <w:rsid w:val="003B2BC1"/>
    <w:rsid w:val="003E2963"/>
    <w:rsid w:val="0043091B"/>
    <w:rsid w:val="004A4A5D"/>
    <w:rsid w:val="00503ECA"/>
    <w:rsid w:val="00596CDE"/>
    <w:rsid w:val="005C40E2"/>
    <w:rsid w:val="006B0E70"/>
    <w:rsid w:val="006B1C35"/>
    <w:rsid w:val="006F0442"/>
    <w:rsid w:val="00713882"/>
    <w:rsid w:val="007677AB"/>
    <w:rsid w:val="008B6E35"/>
    <w:rsid w:val="00904418"/>
    <w:rsid w:val="00996643"/>
    <w:rsid w:val="00996A7A"/>
    <w:rsid w:val="00A7482E"/>
    <w:rsid w:val="00AD02C5"/>
    <w:rsid w:val="00B50C84"/>
    <w:rsid w:val="00CB6714"/>
    <w:rsid w:val="00E94AFB"/>
    <w:rsid w:val="00EF221F"/>
    <w:rsid w:val="00F65D2C"/>
    <w:rsid w:val="00F90E7D"/>
    <w:rsid w:val="00FB51A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C798FE"/>
  <w15:chartTrackingRefBased/>
  <w15:docId w15:val="{C0A280D9-2400-409D-9808-981254B9C8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0E70"/>
    <w:pPr>
      <w:spacing w:line="360" w:lineRule="auto"/>
    </w:pPr>
    <w:rPr>
      <w:rFonts w:ascii="Times New Roman" w:hAnsi="Times New Roman"/>
      <w:lang w:val="en-GB"/>
    </w:rPr>
  </w:style>
  <w:style w:type="paragraph" w:styleId="Heading1">
    <w:name w:val="heading 1"/>
    <w:basedOn w:val="Normal"/>
    <w:next w:val="Normal"/>
    <w:link w:val="Heading1Char"/>
    <w:uiPriority w:val="9"/>
    <w:qFormat/>
    <w:rsid w:val="006B0E70"/>
    <w:pPr>
      <w:keepNext/>
      <w:keepLines/>
      <w:spacing w:before="360" w:after="80"/>
      <w:jc w:val="center"/>
      <w:outlineLvl w:val="0"/>
    </w:pPr>
    <w:rPr>
      <w:rFonts w:eastAsiaTheme="majorEastAsia" w:cstheme="majorBidi"/>
      <w:b/>
      <w:sz w:val="28"/>
      <w:szCs w:val="40"/>
    </w:rPr>
  </w:style>
  <w:style w:type="paragraph" w:styleId="Heading2">
    <w:name w:val="heading 2"/>
    <w:basedOn w:val="Normal"/>
    <w:next w:val="Normal"/>
    <w:link w:val="Heading2Char"/>
    <w:uiPriority w:val="9"/>
    <w:semiHidden/>
    <w:unhideWhenUsed/>
    <w:qFormat/>
    <w:rsid w:val="00315BA7"/>
    <w:pPr>
      <w:keepNext/>
      <w:keepLines/>
      <w:spacing w:before="160" w:after="80"/>
      <w:outlineLvl w:val="1"/>
    </w:pPr>
    <w:rPr>
      <w:rFonts w:eastAsiaTheme="majorEastAsia" w:cstheme="majorBidi"/>
      <w:b/>
      <w:szCs w:val="32"/>
    </w:rPr>
  </w:style>
  <w:style w:type="paragraph" w:styleId="Heading3">
    <w:name w:val="heading 3"/>
    <w:basedOn w:val="Normal"/>
    <w:next w:val="Normal"/>
    <w:link w:val="Heading3Char"/>
    <w:uiPriority w:val="9"/>
    <w:unhideWhenUsed/>
    <w:qFormat/>
    <w:rsid w:val="00A7482E"/>
    <w:pPr>
      <w:keepNext/>
      <w:keepLines/>
      <w:spacing w:before="160" w:after="80"/>
      <w:outlineLvl w:val="2"/>
    </w:pPr>
    <w:rPr>
      <w:rFonts w:eastAsiaTheme="majorEastAsia" w:cstheme="majorBidi"/>
      <w:b/>
      <w:szCs w:val="28"/>
    </w:rPr>
  </w:style>
  <w:style w:type="paragraph" w:styleId="Heading4">
    <w:name w:val="heading 4"/>
    <w:basedOn w:val="Normal"/>
    <w:next w:val="Normal"/>
    <w:link w:val="Heading4Char"/>
    <w:uiPriority w:val="9"/>
    <w:semiHidden/>
    <w:unhideWhenUsed/>
    <w:qFormat/>
    <w:rsid w:val="008B6E35"/>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8B6E35"/>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8B6E35"/>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8B6E35"/>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8B6E35"/>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8B6E35"/>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B0E70"/>
    <w:rPr>
      <w:rFonts w:ascii="Times New Roman" w:eastAsiaTheme="majorEastAsia" w:hAnsi="Times New Roman" w:cstheme="majorBidi"/>
      <w:b/>
      <w:sz w:val="28"/>
      <w:szCs w:val="40"/>
      <w:lang w:val="en-GB"/>
    </w:rPr>
  </w:style>
  <w:style w:type="character" w:customStyle="1" w:styleId="Heading2Char">
    <w:name w:val="Heading 2 Char"/>
    <w:basedOn w:val="DefaultParagraphFont"/>
    <w:link w:val="Heading2"/>
    <w:uiPriority w:val="9"/>
    <w:semiHidden/>
    <w:rsid w:val="00315BA7"/>
    <w:rPr>
      <w:rFonts w:ascii="Times New Roman" w:eastAsiaTheme="majorEastAsia" w:hAnsi="Times New Roman" w:cstheme="majorBidi"/>
      <w:b/>
      <w:szCs w:val="32"/>
    </w:rPr>
  </w:style>
  <w:style w:type="paragraph" w:styleId="Title">
    <w:name w:val="Title"/>
    <w:basedOn w:val="Normal"/>
    <w:next w:val="Normal"/>
    <w:link w:val="TitleChar"/>
    <w:uiPriority w:val="10"/>
    <w:qFormat/>
    <w:rsid w:val="00315BA7"/>
    <w:pPr>
      <w:spacing w:after="80"/>
      <w:contextualSpacing/>
      <w:jc w:val="center"/>
    </w:pPr>
    <w:rPr>
      <w:rFonts w:eastAsiaTheme="majorEastAsia" w:cstheme="majorBidi"/>
      <w:b/>
      <w:spacing w:val="-10"/>
      <w:kern w:val="28"/>
      <w:sz w:val="32"/>
      <w:szCs w:val="56"/>
    </w:rPr>
  </w:style>
  <w:style w:type="character" w:customStyle="1" w:styleId="TitleChar">
    <w:name w:val="Title Char"/>
    <w:basedOn w:val="DefaultParagraphFont"/>
    <w:link w:val="Title"/>
    <w:uiPriority w:val="10"/>
    <w:rsid w:val="00315BA7"/>
    <w:rPr>
      <w:rFonts w:ascii="Times New Roman" w:eastAsiaTheme="majorEastAsia" w:hAnsi="Times New Roman" w:cstheme="majorBidi"/>
      <w:b/>
      <w:spacing w:val="-10"/>
      <w:kern w:val="28"/>
      <w:sz w:val="32"/>
      <w:szCs w:val="56"/>
    </w:rPr>
  </w:style>
  <w:style w:type="character" w:customStyle="1" w:styleId="Heading3Char">
    <w:name w:val="Heading 3 Char"/>
    <w:basedOn w:val="DefaultParagraphFont"/>
    <w:link w:val="Heading3"/>
    <w:uiPriority w:val="9"/>
    <w:rsid w:val="00A7482E"/>
    <w:rPr>
      <w:rFonts w:ascii="Times New Roman" w:eastAsiaTheme="majorEastAsia" w:hAnsi="Times New Roman" w:cstheme="majorBidi"/>
      <w:b/>
      <w:szCs w:val="28"/>
      <w:lang w:val="en-GB"/>
    </w:rPr>
  </w:style>
  <w:style w:type="character" w:customStyle="1" w:styleId="Heading4Char">
    <w:name w:val="Heading 4 Char"/>
    <w:basedOn w:val="DefaultParagraphFont"/>
    <w:link w:val="Heading4"/>
    <w:uiPriority w:val="9"/>
    <w:semiHidden/>
    <w:rsid w:val="008B6E35"/>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8B6E35"/>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8B6E35"/>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8B6E35"/>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8B6E35"/>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8B6E35"/>
    <w:rPr>
      <w:rFonts w:eastAsiaTheme="majorEastAsia" w:cstheme="majorBidi"/>
      <w:color w:val="272727" w:themeColor="text1" w:themeTint="D8"/>
      <w:lang w:val="en-GB"/>
    </w:rPr>
  </w:style>
  <w:style w:type="paragraph" w:styleId="Subtitle">
    <w:name w:val="Subtitle"/>
    <w:basedOn w:val="Normal"/>
    <w:next w:val="Normal"/>
    <w:link w:val="SubtitleChar"/>
    <w:uiPriority w:val="11"/>
    <w:qFormat/>
    <w:rsid w:val="008B6E35"/>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B6E35"/>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8B6E35"/>
    <w:pPr>
      <w:spacing w:before="160"/>
      <w:jc w:val="center"/>
    </w:pPr>
    <w:rPr>
      <w:i/>
      <w:iCs/>
      <w:color w:val="404040" w:themeColor="text1" w:themeTint="BF"/>
    </w:rPr>
  </w:style>
  <w:style w:type="character" w:customStyle="1" w:styleId="QuoteChar">
    <w:name w:val="Quote Char"/>
    <w:basedOn w:val="DefaultParagraphFont"/>
    <w:link w:val="Quote"/>
    <w:uiPriority w:val="29"/>
    <w:rsid w:val="008B6E35"/>
    <w:rPr>
      <w:rFonts w:ascii="Times New Roman" w:hAnsi="Times New Roman"/>
      <w:i/>
      <w:iCs/>
      <w:color w:val="404040" w:themeColor="text1" w:themeTint="BF"/>
      <w:lang w:val="en-GB"/>
    </w:rPr>
  </w:style>
  <w:style w:type="paragraph" w:styleId="ListParagraph">
    <w:name w:val="List Paragraph"/>
    <w:basedOn w:val="Normal"/>
    <w:uiPriority w:val="34"/>
    <w:qFormat/>
    <w:rsid w:val="008B6E35"/>
    <w:pPr>
      <w:ind w:left="720"/>
      <w:contextualSpacing/>
    </w:pPr>
  </w:style>
  <w:style w:type="character" w:styleId="IntenseEmphasis">
    <w:name w:val="Intense Emphasis"/>
    <w:basedOn w:val="DefaultParagraphFont"/>
    <w:uiPriority w:val="21"/>
    <w:qFormat/>
    <w:rsid w:val="008B6E35"/>
    <w:rPr>
      <w:i/>
      <w:iCs/>
      <w:color w:val="0F4761" w:themeColor="accent1" w:themeShade="BF"/>
    </w:rPr>
  </w:style>
  <w:style w:type="paragraph" w:styleId="IntenseQuote">
    <w:name w:val="Intense Quote"/>
    <w:basedOn w:val="Normal"/>
    <w:next w:val="Normal"/>
    <w:link w:val="IntenseQuoteChar"/>
    <w:uiPriority w:val="30"/>
    <w:qFormat/>
    <w:rsid w:val="008B6E3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B6E35"/>
    <w:rPr>
      <w:rFonts w:ascii="Times New Roman" w:hAnsi="Times New Roman"/>
      <w:i/>
      <w:iCs/>
      <w:color w:val="0F4761" w:themeColor="accent1" w:themeShade="BF"/>
      <w:lang w:val="en-GB"/>
    </w:rPr>
  </w:style>
  <w:style w:type="character" w:styleId="IntenseReference">
    <w:name w:val="Intense Reference"/>
    <w:basedOn w:val="DefaultParagraphFont"/>
    <w:uiPriority w:val="32"/>
    <w:qFormat/>
    <w:rsid w:val="008B6E35"/>
    <w:rPr>
      <w:b/>
      <w:bCs/>
      <w:smallCaps/>
      <w:color w:val="0F4761" w:themeColor="accent1" w:themeShade="BF"/>
      <w:spacing w:val="5"/>
    </w:rPr>
  </w:style>
  <w:style w:type="paragraph" w:styleId="NormalWeb">
    <w:name w:val="Normal (Web)"/>
    <w:basedOn w:val="Normal"/>
    <w:uiPriority w:val="99"/>
    <w:semiHidden/>
    <w:unhideWhenUsed/>
    <w:rsid w:val="0043091B"/>
    <w:rPr>
      <w:rFonts w:cs="Times New Roman"/>
    </w:rPr>
  </w:style>
  <w:style w:type="character" w:styleId="Hyperlink">
    <w:name w:val="Hyperlink"/>
    <w:basedOn w:val="DefaultParagraphFont"/>
    <w:uiPriority w:val="99"/>
    <w:unhideWhenUsed/>
    <w:rsid w:val="0043091B"/>
    <w:rPr>
      <w:color w:val="467886" w:themeColor="hyperlink"/>
      <w:u w:val="single"/>
    </w:rPr>
  </w:style>
  <w:style w:type="character" w:styleId="UnresolvedMention">
    <w:name w:val="Unresolved Mention"/>
    <w:basedOn w:val="DefaultParagraphFont"/>
    <w:uiPriority w:val="99"/>
    <w:semiHidden/>
    <w:unhideWhenUsed/>
    <w:rsid w:val="0043091B"/>
    <w:rPr>
      <w:color w:val="605E5C"/>
      <w:shd w:val="clear" w:color="auto" w:fill="E1DFDD"/>
    </w:rPr>
  </w:style>
  <w:style w:type="paragraph" w:styleId="Header">
    <w:name w:val="header"/>
    <w:basedOn w:val="Normal"/>
    <w:link w:val="HeaderChar"/>
    <w:uiPriority w:val="99"/>
    <w:unhideWhenUsed/>
    <w:rsid w:val="00AD02C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02C5"/>
    <w:rPr>
      <w:rFonts w:ascii="Times New Roman" w:hAnsi="Times New Roman"/>
      <w:lang w:val="en-GB"/>
    </w:rPr>
  </w:style>
  <w:style w:type="paragraph" w:styleId="Footer">
    <w:name w:val="footer"/>
    <w:basedOn w:val="Normal"/>
    <w:link w:val="FooterChar"/>
    <w:uiPriority w:val="99"/>
    <w:unhideWhenUsed/>
    <w:rsid w:val="00AD02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02C5"/>
    <w:rPr>
      <w:rFonts w:ascii="Times New Roman" w:hAnsi="Times New Roman"/>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ra.gov.au/en/domestic/domestic-tourism-statistics-results"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abs.gov.au/statistics/economy/price-indexes-and-inflation/consumer-price-index-australia/dec-2025" TargetMode="External"/><Relationship Id="rId5" Type="http://schemas.openxmlformats.org/officeDocument/2006/relationships/footnotes" Target="footnotes.xml"/><Relationship Id="rId10" Type="http://schemas.openxmlformats.org/officeDocument/2006/relationships/hyperlink" Target="https://www.abs.gov.au/statistics/industry/tourism-and-transport/overseas-arrivals-and-departures-australia/latest-release" TargetMode="External"/><Relationship Id="rId4" Type="http://schemas.openxmlformats.org/officeDocument/2006/relationships/webSettings" Target="webSettings.xml"/><Relationship Id="rId9" Type="http://schemas.openxmlformats.org/officeDocument/2006/relationships/hyperlink" Target="https://www.tra.gov.au/en/economic-analysis/tourism-forecasts-for-australia/tffa-2024-2029"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709</Words>
  <Characters>4047</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23997</dc:creator>
  <cp:keywords/>
  <dc:description/>
  <cp:lastModifiedBy>ARIN KOLEH</cp:lastModifiedBy>
  <cp:revision>2</cp:revision>
  <dcterms:created xsi:type="dcterms:W3CDTF">2026-04-15T11:47:00Z</dcterms:created>
  <dcterms:modified xsi:type="dcterms:W3CDTF">2026-04-15T11:47:00Z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522965ad-0ae7-4ec7-97b1-c3dc0aa5335c</vt:lpwstr>
  </property>
</Properties>
</file>