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04D" w:rsidRPr="002829E3" w:rsidRDefault="0019504D" w:rsidP="0019504D">
      <w:pPr>
        <w:rPr>
          <w:rFonts w:ascii="Times New Roman" w:hAnsi="Times New Roman" w:cs="Times New Roman"/>
          <w:lang w:val="en-US"/>
        </w:rPr>
      </w:pPr>
      <w:r w:rsidRPr="002829E3">
        <w:rPr>
          <w:rFonts w:ascii="Times New Roman" w:hAnsi="Times New Roman" w:cs="Times New Roman"/>
          <w:noProof/>
          <w:lang w:val="en-US"/>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426865" w:rsidRPr="002829E3" w:rsidRDefault="00CD620A" w:rsidP="0019504D">
      <w:pPr>
        <w:rPr>
          <w:rFonts w:ascii="Times New Roman" w:hAnsi="Times New Roman" w:cs="Times New Roman"/>
          <w:b/>
          <w:bCs/>
          <w:lang w:val="en-US"/>
        </w:rPr>
      </w:pPr>
      <w:r w:rsidRPr="002829E3">
        <w:rPr>
          <w:rFonts w:ascii="Times New Roman" w:hAnsi="Times New Roman" w:cs="Times New Roman"/>
          <w:b/>
          <w:bCs/>
          <w:lang w:val="en-US"/>
        </w:rPr>
        <w:t>Recreation Course</w:t>
      </w:r>
    </w:p>
    <w:p w:rsidR="0019504D" w:rsidRPr="002829E3" w:rsidRDefault="0019504D" w:rsidP="0019504D">
      <w:pPr>
        <w:rPr>
          <w:rFonts w:ascii="Times New Roman" w:hAnsi="Times New Roman" w:cs="Times New Roman"/>
          <w:lang w:val="en-US"/>
        </w:rPr>
      </w:pPr>
      <w:r w:rsidRPr="002829E3">
        <w:rPr>
          <w:rFonts w:ascii="Times New Roman" w:hAnsi="Times New Roman" w:cs="Times New Roman"/>
          <w:lang w:val="en-US"/>
        </w:rPr>
        <w:t>Assignment 1</w:t>
      </w:r>
      <w:bookmarkStart w:id="0" w:name="_GoBack"/>
      <w:bookmarkEnd w:id="0"/>
    </w:p>
    <w:p w:rsidR="0019504D" w:rsidRPr="002829E3" w:rsidRDefault="0019504D" w:rsidP="0019504D">
      <w:pPr>
        <w:rPr>
          <w:rFonts w:ascii="Times New Roman" w:hAnsi="Times New Roman" w:cs="Times New Roman"/>
          <w:lang w:val="en-US"/>
        </w:rPr>
      </w:pPr>
      <w:r w:rsidRPr="002829E3">
        <w:rPr>
          <w:rFonts w:ascii="Times New Roman" w:hAnsi="Times New Roman" w:cs="Times New Roman"/>
          <w:lang w:val="en-US"/>
        </w:rPr>
        <w:t>0</w:t>
      </w:r>
      <w:r w:rsidR="00CD620A" w:rsidRPr="002829E3">
        <w:rPr>
          <w:rFonts w:ascii="Times New Roman" w:hAnsi="Times New Roman" w:cs="Times New Roman"/>
          <w:lang w:val="en-US"/>
        </w:rPr>
        <w:t>4</w:t>
      </w:r>
      <w:r w:rsidRPr="002829E3">
        <w:rPr>
          <w:rFonts w:ascii="Times New Roman" w:hAnsi="Times New Roman" w:cs="Times New Roman"/>
          <w:lang w:val="en-US"/>
        </w:rPr>
        <w:t>.0</w:t>
      </w:r>
      <w:r w:rsidR="00CD620A" w:rsidRPr="002829E3">
        <w:rPr>
          <w:rFonts w:ascii="Times New Roman" w:hAnsi="Times New Roman" w:cs="Times New Roman"/>
          <w:lang w:val="en-US"/>
        </w:rPr>
        <w:t>7</w:t>
      </w:r>
      <w:r w:rsidRPr="002829E3">
        <w:rPr>
          <w:rFonts w:ascii="Times New Roman" w:hAnsi="Times New Roman" w:cs="Times New Roman"/>
          <w:lang w:val="en-US"/>
        </w:rPr>
        <w:t>.2025</w:t>
      </w:r>
    </w:p>
    <w:p w:rsidR="0019504D" w:rsidRPr="002829E3" w:rsidRDefault="0019504D">
      <w:pPr>
        <w:rPr>
          <w:rFonts w:ascii="Times New Roman" w:hAnsi="Times New Roman" w:cs="Times New Roman"/>
        </w:rPr>
      </w:pPr>
    </w:p>
    <w:p w:rsidR="0019504D" w:rsidRPr="002829E3" w:rsidRDefault="0019504D">
      <w:pPr>
        <w:rPr>
          <w:rFonts w:ascii="Times New Roman" w:hAnsi="Times New Roman" w:cs="Times New Roman"/>
        </w:rPr>
      </w:pPr>
    </w:p>
    <w:p w:rsidR="0019504D" w:rsidRPr="002829E3" w:rsidRDefault="0019504D">
      <w:pPr>
        <w:rPr>
          <w:rFonts w:ascii="Times New Roman" w:hAnsi="Times New Roman" w:cs="Times New Roman"/>
        </w:rPr>
      </w:pPr>
    </w:p>
    <w:p w:rsidR="0019504D" w:rsidRPr="002829E3" w:rsidRDefault="0019504D">
      <w:pPr>
        <w:rPr>
          <w:rFonts w:ascii="Times New Roman" w:hAnsi="Times New Roman" w:cs="Times New Roman"/>
        </w:rPr>
      </w:pPr>
    </w:p>
    <w:p w:rsidR="0019504D" w:rsidRPr="002829E3" w:rsidRDefault="0019504D">
      <w:pPr>
        <w:rPr>
          <w:rFonts w:ascii="Times New Roman" w:hAnsi="Times New Roman" w:cs="Times New Roman"/>
        </w:rPr>
      </w:pPr>
    </w:p>
    <w:p w:rsidR="00CD620A" w:rsidRPr="002829E3" w:rsidRDefault="00CD620A">
      <w:pPr>
        <w:rPr>
          <w:rFonts w:ascii="Times New Roman" w:hAnsi="Times New Roman" w:cs="Times New Roman"/>
        </w:rPr>
      </w:pPr>
    </w:p>
    <w:p w:rsidR="00CD620A" w:rsidRPr="002829E3" w:rsidRDefault="00CD620A">
      <w:pPr>
        <w:rPr>
          <w:rFonts w:ascii="Times New Roman" w:hAnsi="Times New Roman" w:cs="Times New Roman"/>
        </w:rPr>
      </w:pPr>
    </w:p>
    <w:p w:rsidR="002829E3" w:rsidRPr="002829E3" w:rsidRDefault="002829E3" w:rsidP="002829E3">
      <w:pPr>
        <w:spacing w:before="100" w:beforeAutospacing="1" w:after="100" w:afterAutospacing="1"/>
        <w:rPr>
          <w:rFonts w:ascii="Times New Roman" w:eastAsia="Times New Roman" w:hAnsi="Times New Roman" w:cs="Times New Roman"/>
          <w:b/>
          <w:bCs/>
        </w:rPr>
      </w:pPr>
    </w:p>
    <w:p w:rsidR="002829E3" w:rsidRPr="002829E3" w:rsidRDefault="002829E3" w:rsidP="002829E3">
      <w:pPr>
        <w:spacing w:before="100" w:beforeAutospacing="1" w:after="100" w:afterAutospacing="1"/>
        <w:rPr>
          <w:rFonts w:ascii="Times New Roman" w:eastAsia="Times New Roman" w:hAnsi="Times New Roman" w:cs="Times New Roman"/>
        </w:rPr>
      </w:pPr>
      <w:r w:rsidRPr="002829E3">
        <w:rPr>
          <w:rFonts w:ascii="Times New Roman" w:eastAsia="Times New Roman" w:hAnsi="Times New Roman" w:cs="Times New Roman"/>
          <w:b/>
          <w:bCs/>
        </w:rPr>
        <w:t>Submitted by       :</w:t>
      </w:r>
      <w:r w:rsidRPr="002829E3">
        <w:rPr>
          <w:rFonts w:ascii="Times New Roman" w:eastAsia="Times New Roman" w:hAnsi="Times New Roman" w:cs="Times New Roman"/>
        </w:rPr>
        <w:t xml:space="preserve"> Ehtisham Ul Haq</w:t>
      </w:r>
    </w:p>
    <w:p w:rsidR="002829E3" w:rsidRPr="002829E3" w:rsidRDefault="002829E3" w:rsidP="002829E3">
      <w:pPr>
        <w:spacing w:before="100" w:beforeAutospacing="1" w:after="100" w:afterAutospacing="1"/>
        <w:rPr>
          <w:rFonts w:ascii="Times New Roman" w:eastAsia="Times New Roman" w:hAnsi="Times New Roman" w:cs="Times New Roman"/>
          <w:b/>
        </w:rPr>
      </w:pPr>
      <w:r w:rsidRPr="002829E3">
        <w:rPr>
          <w:rFonts w:ascii="Times New Roman" w:eastAsia="Times New Roman" w:hAnsi="Times New Roman" w:cs="Times New Roman"/>
          <w:b/>
        </w:rPr>
        <w:t>Course                  :</w:t>
      </w:r>
      <w:r w:rsidRPr="002829E3">
        <w:rPr>
          <w:rFonts w:ascii="Times New Roman" w:eastAsia="Times New Roman" w:hAnsi="Times New Roman" w:cs="Times New Roman"/>
        </w:rPr>
        <w:t xml:space="preserve"> BA Tourism Management and Recreation</w:t>
      </w:r>
    </w:p>
    <w:p w:rsidR="002829E3" w:rsidRPr="002829E3" w:rsidRDefault="002829E3" w:rsidP="002829E3">
      <w:pPr>
        <w:spacing w:before="100" w:beforeAutospacing="1" w:after="100" w:afterAutospacing="1"/>
        <w:rPr>
          <w:rFonts w:ascii="Times New Roman" w:eastAsia="Times New Roman" w:hAnsi="Times New Roman" w:cs="Times New Roman"/>
          <w:lang w:val="en-US"/>
        </w:rPr>
      </w:pPr>
      <w:r w:rsidRPr="002829E3">
        <w:rPr>
          <w:rFonts w:ascii="Times New Roman" w:eastAsia="Times New Roman" w:hAnsi="Times New Roman" w:cs="Times New Roman"/>
          <w:b/>
        </w:rPr>
        <w:t>Subject</w:t>
      </w:r>
      <w:r w:rsidRPr="002829E3">
        <w:rPr>
          <w:rFonts w:ascii="Times New Roman" w:eastAsia="Times New Roman" w:hAnsi="Times New Roman" w:cs="Times New Roman"/>
        </w:rPr>
        <w:t xml:space="preserve">              </w:t>
      </w:r>
      <w:r w:rsidRPr="002829E3">
        <w:rPr>
          <w:rFonts w:ascii="Times New Roman" w:eastAsia="Times New Roman" w:hAnsi="Times New Roman" w:cs="Times New Roman"/>
          <w:b/>
        </w:rPr>
        <w:t xml:space="preserve">  : </w:t>
      </w:r>
      <w:r>
        <w:rPr>
          <w:rFonts w:ascii="Times New Roman" w:eastAsia="Times New Roman" w:hAnsi="Times New Roman" w:cs="Times New Roman"/>
          <w:lang w:val="en-US"/>
        </w:rPr>
        <w:t>Recreation</w:t>
      </w:r>
    </w:p>
    <w:p w:rsidR="002829E3" w:rsidRPr="002829E3" w:rsidRDefault="002829E3" w:rsidP="002829E3">
      <w:pPr>
        <w:spacing w:before="100" w:beforeAutospacing="1" w:after="100" w:afterAutospacing="1"/>
        <w:rPr>
          <w:rFonts w:ascii="Times New Roman" w:eastAsia="Times New Roman" w:hAnsi="Times New Roman" w:cs="Times New Roman"/>
        </w:rPr>
      </w:pPr>
      <w:r w:rsidRPr="002829E3">
        <w:rPr>
          <w:rFonts w:ascii="Times New Roman" w:eastAsia="Times New Roman" w:hAnsi="Times New Roman" w:cs="Times New Roman"/>
          <w:b/>
          <w:bCs/>
        </w:rPr>
        <w:t>Institution Name:</w:t>
      </w:r>
      <w:r w:rsidRPr="002829E3">
        <w:rPr>
          <w:rFonts w:ascii="Times New Roman" w:eastAsia="Times New Roman" w:hAnsi="Times New Roman" w:cs="Times New Roman"/>
        </w:rPr>
        <w:t xml:space="preserve"> European Institute of Innovation Entrepreneurship and Technology</w:t>
      </w:r>
    </w:p>
    <w:p w:rsidR="002829E3" w:rsidRDefault="002829E3" w:rsidP="002829E3">
      <w:pPr>
        <w:rPr>
          <w:rFonts w:ascii="Times New Roman" w:eastAsia="Times New Roman" w:hAnsi="Times New Roman" w:cs="Times New Roman"/>
          <w:b/>
        </w:rPr>
      </w:pPr>
    </w:p>
    <w:p w:rsidR="002829E3" w:rsidRDefault="002829E3" w:rsidP="002829E3">
      <w:pPr>
        <w:rPr>
          <w:rFonts w:ascii="Times New Roman" w:eastAsia="Times New Roman" w:hAnsi="Times New Roman" w:cs="Times New Roman"/>
          <w:b/>
        </w:rPr>
      </w:pPr>
    </w:p>
    <w:p w:rsidR="002829E3" w:rsidRDefault="002829E3" w:rsidP="002829E3">
      <w:pPr>
        <w:rPr>
          <w:rFonts w:ascii="Times New Roman" w:eastAsia="Times New Roman" w:hAnsi="Times New Roman" w:cs="Times New Roman"/>
          <w:b/>
        </w:rPr>
      </w:pPr>
    </w:p>
    <w:p w:rsidR="002829E3" w:rsidRPr="002829E3" w:rsidRDefault="002829E3" w:rsidP="002829E3">
      <w:pPr>
        <w:rPr>
          <w:rFonts w:ascii="Times New Roman" w:hAnsi="Times New Roman" w:cs="Times New Roman"/>
        </w:rPr>
      </w:pPr>
      <w:r w:rsidRPr="002829E3">
        <w:rPr>
          <w:rFonts w:ascii="Times New Roman" w:eastAsia="Times New Roman" w:hAnsi="Times New Roman" w:cs="Times New Roman"/>
          <w:b/>
          <w:sz w:val="28"/>
        </w:rPr>
        <w:t xml:space="preserve">Title       </w:t>
      </w:r>
      <w:r w:rsidRPr="002829E3">
        <w:rPr>
          <w:rFonts w:ascii="Times New Roman" w:eastAsia="Times New Roman" w:hAnsi="Times New Roman" w:cs="Times New Roman"/>
          <w:b/>
        </w:rPr>
        <w:t xml:space="preserve">              </w:t>
      </w:r>
    </w:p>
    <w:p w:rsidR="002829E3" w:rsidRPr="002829E3" w:rsidRDefault="002829E3" w:rsidP="002829E3">
      <w:pPr>
        <w:rPr>
          <w:rFonts w:ascii="Times New Roman" w:hAnsi="Times New Roman" w:cs="Times New Roman"/>
        </w:rPr>
      </w:pPr>
      <w:r w:rsidRPr="002829E3">
        <w:rPr>
          <w:rFonts w:ascii="Times New Roman" w:hAnsi="Times New Roman" w:cs="Times New Roman"/>
        </w:rPr>
        <w:pict>
          <v:rect id="_x0000_i1034" style="width:0;height:1.5pt" o:hralign="center" o:hrstd="t" o:hr="t" fillcolor="#a0a0a0" stroked="f"/>
        </w:pict>
      </w:r>
    </w:p>
    <w:p w:rsidR="002829E3" w:rsidRDefault="002829E3" w:rsidP="002829E3">
      <w:pPr>
        <w:pStyle w:val="Heading3"/>
        <w:rPr>
          <w:rStyle w:val="Strong"/>
          <w:bCs w:val="0"/>
        </w:rPr>
      </w:pPr>
    </w:p>
    <w:p w:rsidR="002829E3" w:rsidRPr="002829E3" w:rsidRDefault="002829E3" w:rsidP="002829E3">
      <w:pPr>
        <w:pStyle w:val="Heading3"/>
      </w:pPr>
      <w:r w:rsidRPr="002829E3">
        <w:rPr>
          <w:rStyle w:val="Strong"/>
          <w:bCs w:val="0"/>
        </w:rPr>
        <w:t xml:space="preserve">Leisure and Recreation from the “State of Being” Perspective </w:t>
      </w:r>
    </w:p>
    <w:p w:rsidR="002829E3" w:rsidRPr="002829E3" w:rsidRDefault="002829E3" w:rsidP="002829E3">
      <w:pPr>
        <w:rPr>
          <w:lang w:val="en-US"/>
        </w:rPr>
      </w:pPr>
    </w:p>
    <w:p w:rsidR="002829E3" w:rsidRPr="002829E3" w:rsidRDefault="002829E3" w:rsidP="002829E3">
      <w:pPr>
        <w:pStyle w:val="NormalWeb"/>
      </w:pPr>
      <w:r w:rsidRPr="002829E3">
        <w:t>Leisure and recreation are often thought of simply as activities or ways to pass time, but they can also be understood as deeper aspects of human existence. From the “state of being” perspective, leisure is not just what one does, but a condition of mind and spirit. It represents a state of personal freedom, relaxation, and fulfillment. In this context, leisure is an experience where individuals temporarily step away from obligations, work, and societal pressures, allowing themselves to be fully present with their thoughts, emotions, and surroundings.</w:t>
      </w:r>
    </w:p>
    <w:p w:rsidR="002829E3" w:rsidRPr="002829E3" w:rsidRDefault="002829E3" w:rsidP="002829E3">
      <w:pPr>
        <w:pStyle w:val="NormalWeb"/>
      </w:pPr>
      <w:r w:rsidRPr="002829E3">
        <w:t>Recreation is closely linked to this state of being because it provides the activities and experiences that facilitate it. These activities can be structured, such as sports, hobbies, or cultural events, or unstructured, like taking a walk in nature, meditating, or enjoying quiet reflection. From this perspective, the focus shifts from the activity itself to the quality of the experience and the sense of satisfaction it provides. For example, two people may go for a walk in a park, but only the one who engages mindfully and enjoys the surroundings experiences true leisure. This highlights that the “state of being” is central to the meaning and benefits of recreational activities.</w:t>
      </w:r>
    </w:p>
    <w:p w:rsidR="002829E3" w:rsidRPr="002829E3" w:rsidRDefault="002829E3" w:rsidP="002829E3">
      <w:pPr>
        <w:pStyle w:val="NormalWeb"/>
      </w:pPr>
      <w:r w:rsidRPr="002829E3">
        <w:lastRenderedPageBreak/>
        <w:t>Understanding leisure as a state of being also emphasizes its transformative potential. It allows individuals to engage in self-reflection, develop creativity, and restore emotional balance. Unlike routine or work, which can be externally imposed, leisure chosen and experienced consciously provides autonomy and empowerment. It can enhance personal growth, strengthen identity, and foster a deeper sense of purpose in life. In addition, the state of being perspective acknowledges that leisure is essential for mental and emotional well-being. In today’s fast-paced and technology-driven world, leisure offers a chance to pause, reduce stress, and reconnect with oneself, promoting resilience and satisfaction.</w:t>
      </w:r>
    </w:p>
    <w:p w:rsidR="002829E3" w:rsidRPr="002829E3" w:rsidRDefault="002829E3" w:rsidP="002829E3">
      <w:pPr>
        <w:pStyle w:val="NormalWeb"/>
      </w:pPr>
      <w:r w:rsidRPr="002829E3">
        <w:t>Moreover, leisure in this sense is not bound by time, space, or activity type. It is an internal state that can be cultivated even during brief moments of solitude or simple enjoyment. The focus is on the quality of presence, awareness, and engagement with the moment, rather than the quantity of activities or external markers of recreation. By emphasizing the inner experience, this perspective shifts the understanding of leisure from an external pursuit to a holistic approach to life.</w:t>
      </w:r>
    </w:p>
    <w:p w:rsidR="002829E3" w:rsidRPr="002829E3" w:rsidRDefault="002829E3" w:rsidP="002829E3">
      <w:pPr>
        <w:pStyle w:val="NormalWeb"/>
      </w:pPr>
      <w:r w:rsidRPr="002829E3">
        <w:t>In summary, leisure and recreation, from the “state of being” perspective, are essential for human flourishing. Leisure is an internal condition of relaxation, freedom, and fulfillment, while recreation provides opportunities to experience and enhance this state. Together, they contribute to emotional balance, personal growth, and overall well-being. Understanding leisure as a state of being encourages individuals to prioritize quality experiences over quantity, fostering a richer and more meaningful life.</w:t>
      </w:r>
    </w:p>
    <w:p w:rsidR="002829E3" w:rsidRPr="002829E3" w:rsidRDefault="002829E3" w:rsidP="002829E3">
      <w:pPr>
        <w:rPr>
          <w:rFonts w:ascii="Times New Roman" w:hAnsi="Times New Roman" w:cs="Times New Roman"/>
        </w:rPr>
      </w:pPr>
      <w:r w:rsidRPr="002829E3">
        <w:rPr>
          <w:rFonts w:ascii="Times New Roman" w:hAnsi="Times New Roman" w:cs="Times New Roman"/>
        </w:rPr>
        <w:pict>
          <v:rect id="_x0000_i1035" style="width:0;height:1.5pt" o:hralign="center" o:hrstd="t" o:hr="t" fillcolor="#a0a0a0" stroked="f"/>
        </w:pict>
      </w:r>
    </w:p>
    <w:p w:rsidR="002829E3" w:rsidRDefault="002829E3" w:rsidP="002829E3">
      <w:pPr>
        <w:pStyle w:val="Heading3"/>
        <w:rPr>
          <w:rStyle w:val="Strong"/>
          <w:bCs w:val="0"/>
        </w:rPr>
      </w:pPr>
      <w:r w:rsidRPr="002829E3">
        <w:rPr>
          <w:rStyle w:val="Strong"/>
          <w:bCs w:val="0"/>
        </w:rPr>
        <w:t xml:space="preserve"> </w:t>
      </w:r>
    </w:p>
    <w:p w:rsidR="002829E3" w:rsidRDefault="002829E3" w:rsidP="002829E3">
      <w:pPr>
        <w:pStyle w:val="Heading3"/>
        <w:rPr>
          <w:rFonts w:eastAsia="Times New Roman"/>
          <w:b/>
          <w:sz w:val="28"/>
        </w:rPr>
      </w:pPr>
      <w:r w:rsidRPr="002829E3">
        <w:rPr>
          <w:rFonts w:eastAsia="Times New Roman"/>
          <w:b/>
          <w:sz w:val="28"/>
        </w:rPr>
        <w:t xml:space="preserve">Title  </w:t>
      </w:r>
    </w:p>
    <w:p w:rsidR="002829E3" w:rsidRPr="002829E3" w:rsidRDefault="002829E3" w:rsidP="002829E3">
      <w:pPr>
        <w:rPr>
          <w:lang w:val="en-US"/>
        </w:rPr>
      </w:pPr>
    </w:p>
    <w:p w:rsidR="002829E3" w:rsidRPr="002829E3" w:rsidRDefault="002829E3" w:rsidP="002829E3">
      <w:pPr>
        <w:pStyle w:val="Heading3"/>
      </w:pPr>
      <w:r w:rsidRPr="002829E3">
        <w:rPr>
          <w:rStyle w:val="Strong"/>
          <w:bCs w:val="0"/>
        </w:rPr>
        <w:t xml:space="preserve">Population Growth and Urban Revitalization as Factors for Recreation </w:t>
      </w:r>
    </w:p>
    <w:p w:rsidR="002829E3" w:rsidRPr="002829E3" w:rsidRDefault="002829E3" w:rsidP="002829E3">
      <w:pPr>
        <w:pStyle w:val="NormalWeb"/>
      </w:pPr>
      <w:r w:rsidRPr="002829E3">
        <w:t>Population growth and urban revitalization are significant societal factors that influence recreation. As populations increase, especially in urban areas, the demand for recreational spaces, facilities, and programs also grows. High population densities can strain existing resources, making it necessary for communities to develop inclusive and accessible recreational opportunities. Population growth encourages planners to diversify recreational programs to meet the needs of different age groups, cultural backgrounds, and interests. Parks, sports facilities, playgrounds, and community centers must be thoughtfully designed to serve larger and more diverse populations effectively.</w:t>
      </w:r>
    </w:p>
    <w:p w:rsidR="002829E3" w:rsidRPr="002829E3" w:rsidRDefault="002829E3" w:rsidP="002829E3">
      <w:pPr>
        <w:pStyle w:val="NormalWeb"/>
      </w:pPr>
      <w:r w:rsidRPr="002829E3">
        <w:t>Urban revitalization complements these efforts by transforming underused or declining areas into vibrant spaces that support recreation and leisure. This process often includes creating public parks, walking paths, sports complexes, cultural hubs, and entertainment areas. Such revitalized spaces provide venues for social interaction, physical activity, and cultural engagement. By improving infrastructure and aesthetics, urban revitalization makes recreational activities more appealing, accessible, and safe, thereby promoting community participation and enhancing quality of life.</w:t>
      </w:r>
    </w:p>
    <w:p w:rsidR="002829E3" w:rsidRPr="002829E3" w:rsidRDefault="002829E3" w:rsidP="002829E3">
      <w:pPr>
        <w:pStyle w:val="NormalWeb"/>
      </w:pPr>
      <w:r w:rsidRPr="002829E3">
        <w:t xml:space="preserve">The combination of population growth and urban revitalization also contributes to economic and social benefits. Recreational spaces attract tourism, support local businesses, and encourage community events, generating both economic and social value. From a public </w:t>
      </w:r>
      <w:r w:rsidRPr="002829E3">
        <w:lastRenderedPageBreak/>
        <w:t>health perspective, accessible recreation encourages physical activity, reduces stress, and fosters social cohesion. These benefits are particularly important in urban environments, where limited open space and dense populations can otherwise hinder community well-being.</w:t>
      </w:r>
    </w:p>
    <w:p w:rsidR="002829E3" w:rsidRPr="002829E3" w:rsidRDefault="002829E3" w:rsidP="002829E3">
      <w:pPr>
        <w:pStyle w:val="NormalWeb"/>
      </w:pPr>
      <w:r w:rsidRPr="002829E3">
        <w:t>In essence, population growth drives the need for more recreational opportunities, while urban revitalization provides the infrastructure and spaces necessary to meet that demand. Together, they ensure that recreation remains relevant, inclusive, and sustainable. Effective planning and development in response to these factors can transform urban areas into dynamic communities that promote health, social interaction, and overall well-being. By understanding the impact of demographic trends and urban renewal, policymakers and planners can create recreational opportunities that enrich the lives of residents and strengthen community life.</w:t>
      </w:r>
    </w:p>
    <w:p w:rsidR="002829E3" w:rsidRPr="002829E3" w:rsidRDefault="002829E3" w:rsidP="002829E3">
      <w:pPr>
        <w:rPr>
          <w:rFonts w:ascii="Times New Roman" w:hAnsi="Times New Roman" w:cs="Times New Roman"/>
        </w:rPr>
      </w:pPr>
      <w:r w:rsidRPr="002829E3">
        <w:rPr>
          <w:rFonts w:ascii="Times New Roman" w:hAnsi="Times New Roman" w:cs="Times New Roman"/>
        </w:rPr>
        <w:pict>
          <v:rect id="_x0000_i1036" style="width:0;height:1.5pt" o:hralign="center" o:hrstd="t" o:hr="t" fillcolor="#a0a0a0" stroked="f"/>
        </w:pict>
      </w:r>
    </w:p>
    <w:p w:rsidR="00903466" w:rsidRPr="002829E3" w:rsidRDefault="00903466" w:rsidP="002829E3">
      <w:pPr>
        <w:spacing w:line="276" w:lineRule="auto"/>
        <w:rPr>
          <w:rFonts w:ascii="Times New Roman" w:hAnsi="Times New Roman" w:cs="Times New Roman"/>
          <w:lang w:val="en-US"/>
        </w:rPr>
      </w:pPr>
    </w:p>
    <w:sectPr w:rsidR="00903466" w:rsidRPr="002829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embedRegular r:id="rId1" w:fontKey="{6132C7BF-8194-446B-8FA9-37B2321BC234}"/>
    <w:embedBold r:id="rId2" w:fontKey="{E188078B-E52A-4592-B469-6B920C75271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87B3F1BE-8B7D-4553-B032-DDBFA1505EFF}"/>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4" w:fontKey="{E384088B-79FA-454E-B9B0-0E3F1288ED6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04D"/>
    <w:rsid w:val="0003533E"/>
    <w:rsid w:val="001700EC"/>
    <w:rsid w:val="00174BB1"/>
    <w:rsid w:val="0019504D"/>
    <w:rsid w:val="00224FD9"/>
    <w:rsid w:val="002829E3"/>
    <w:rsid w:val="002F4AE0"/>
    <w:rsid w:val="00320322"/>
    <w:rsid w:val="00384E8A"/>
    <w:rsid w:val="003D1074"/>
    <w:rsid w:val="00426865"/>
    <w:rsid w:val="00477CAA"/>
    <w:rsid w:val="00502E29"/>
    <w:rsid w:val="005E458B"/>
    <w:rsid w:val="00844EC2"/>
    <w:rsid w:val="008516FE"/>
    <w:rsid w:val="0085724C"/>
    <w:rsid w:val="00903466"/>
    <w:rsid w:val="009C1D0A"/>
    <w:rsid w:val="00A044F7"/>
    <w:rsid w:val="00A8150E"/>
    <w:rsid w:val="00B20343"/>
    <w:rsid w:val="00B85EA7"/>
    <w:rsid w:val="00BE65DD"/>
    <w:rsid w:val="00C612A4"/>
    <w:rsid w:val="00CC6AD1"/>
    <w:rsid w:val="00CD620A"/>
    <w:rsid w:val="00E6778A"/>
    <w:rsid w:val="00EE1EB8"/>
    <w:rsid w:val="00F25F5B"/>
    <w:rsid w:val="00F515D1"/>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93DB5"/>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2829E3"/>
    <w:pPr>
      <w:keepNext/>
      <w:keepLines/>
      <w:spacing w:before="40" w:line="276" w:lineRule="auto"/>
      <w:outlineLvl w:val="2"/>
    </w:pPr>
    <w:rPr>
      <w:rFonts w:ascii="Times New Roman" w:eastAsiaTheme="majorEastAsia" w:hAnsi="Times New Roman" w:cs="Times New Roman"/>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2829E3"/>
    <w:rPr>
      <w:rFonts w:ascii="Times New Roman" w:eastAsiaTheme="majorEastAsia" w:hAnsi="Times New Roman" w:cs="Times New Roman"/>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2829E3"/>
    <w:pPr>
      <w:spacing w:before="100" w:beforeAutospacing="1" w:after="100" w:afterAutospacing="1"/>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2829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514246">
      <w:bodyDiv w:val="1"/>
      <w:marLeft w:val="0"/>
      <w:marRight w:val="0"/>
      <w:marTop w:val="0"/>
      <w:marBottom w:val="0"/>
      <w:divBdr>
        <w:top w:val="none" w:sz="0" w:space="0" w:color="auto"/>
        <w:left w:val="none" w:sz="0" w:space="0" w:color="auto"/>
        <w:bottom w:val="none" w:sz="0" w:space="0" w:color="auto"/>
        <w:right w:val="none" w:sz="0" w:space="0" w:color="auto"/>
      </w:divBdr>
    </w:div>
    <w:div w:id="527064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875</Words>
  <Characters>4991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Talha Alvi</cp:lastModifiedBy>
  <cp:revision>2</cp:revision>
  <dcterms:created xsi:type="dcterms:W3CDTF">2025-12-24T16:03:00Z</dcterms:created>
  <dcterms:modified xsi:type="dcterms:W3CDTF">2025-12-24T16:03:00Z</dcterms:modified>
</cp:coreProperties>
</file>