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71B51" w14:textId="77777777" w:rsidR="00E844E1" w:rsidRDefault="00E844E1" w:rsidP="00E844E1">
      <w:pPr>
        <w:jc w:val="center"/>
        <w:rPr>
          <w:b/>
          <w:bCs/>
          <w:sz w:val="48"/>
          <w:szCs w:val="48"/>
        </w:rPr>
      </w:pPr>
      <w:r>
        <w:rPr>
          <w:b/>
          <w:noProof/>
          <w:sz w:val="48"/>
          <w:szCs w:val="48"/>
          <w:lang w:bidi="hi-IN"/>
        </w:rPr>
        <w:drawing>
          <wp:inline distT="0" distB="0" distL="0" distR="0" wp14:anchorId="64B71BB0" wp14:editId="64B71BB1">
            <wp:extent cx="5477510" cy="1718945"/>
            <wp:effectExtent l="0" t="0" r="0" b="0"/>
            <wp:docPr id="1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1A4E8881" w14:textId="77777777" w:rsidR="00CB020C" w:rsidRDefault="00E844E1" w:rsidP="00CB020C">
      <w:pPr>
        <w:jc w:val="center"/>
        <w:rPr>
          <w:b/>
          <w:bCs/>
          <w:sz w:val="48"/>
          <w:szCs w:val="48"/>
        </w:rPr>
      </w:pPr>
      <w:r>
        <w:rPr>
          <w:b/>
          <w:bCs/>
          <w:sz w:val="48"/>
          <w:szCs w:val="48"/>
        </w:rPr>
        <w:t xml:space="preserve">Title: </w:t>
      </w:r>
      <w:r w:rsidR="00702BBE" w:rsidRPr="00702BBE">
        <w:rPr>
          <w:b/>
          <w:bCs/>
          <w:sz w:val="48"/>
          <w:szCs w:val="48"/>
        </w:rPr>
        <w:t>A Strategic Analysis Report on the Influence of Socio</w:t>
      </w:r>
      <w:r w:rsidR="00702BBE">
        <w:rPr>
          <w:b/>
          <w:bCs/>
          <w:sz w:val="48"/>
          <w:szCs w:val="48"/>
        </w:rPr>
        <w:t>-</w:t>
      </w:r>
      <w:r w:rsidR="00702BBE" w:rsidRPr="00702BBE">
        <w:rPr>
          <w:b/>
          <w:bCs/>
          <w:sz w:val="48"/>
          <w:szCs w:val="48"/>
        </w:rPr>
        <w:t>economic and Macroeconomic Factors on Organi</w:t>
      </w:r>
      <w:r w:rsidR="00702BBE">
        <w:rPr>
          <w:b/>
          <w:bCs/>
          <w:sz w:val="48"/>
          <w:szCs w:val="48"/>
        </w:rPr>
        <w:t>z</w:t>
      </w:r>
      <w:r w:rsidR="00702BBE" w:rsidRPr="00702BBE">
        <w:rPr>
          <w:b/>
          <w:bCs/>
          <w:sz w:val="48"/>
          <w:szCs w:val="48"/>
        </w:rPr>
        <w:t>ational Decision-Making and Business Performance</w:t>
      </w:r>
    </w:p>
    <w:p w14:paraId="6A50054F" w14:textId="69B9DC8A" w:rsidR="00461940" w:rsidRPr="00CB020C" w:rsidRDefault="00E844E1" w:rsidP="00CB020C">
      <w:pPr>
        <w:jc w:val="center"/>
        <w:rPr>
          <w:b/>
          <w:bCs/>
          <w:sz w:val="48"/>
          <w:szCs w:val="48"/>
        </w:rPr>
      </w:pPr>
      <w:r>
        <w:rPr>
          <w:b/>
          <w:sz w:val="40"/>
          <w:szCs w:val="40"/>
        </w:rPr>
        <w:br/>
      </w:r>
      <w:r>
        <w:rPr>
          <w:sz w:val="40"/>
          <w:szCs w:val="40"/>
        </w:rPr>
        <w:br/>
      </w:r>
      <w:r w:rsidR="00461940">
        <w:rPr>
          <w:bCs/>
          <w:sz w:val="44"/>
          <w:szCs w:val="44"/>
          <w:lang w:val="nl-NL"/>
        </w:rPr>
        <w:t xml:space="preserve">Student Name: </w:t>
      </w:r>
      <w:r w:rsidR="00461940">
        <w:rPr>
          <w:bCs/>
          <w:sz w:val="44"/>
          <w:szCs w:val="44"/>
        </w:rPr>
        <w:t>Jagan Jyot Singh Sethi</w:t>
      </w:r>
    </w:p>
    <w:p w14:paraId="1AE89805" w14:textId="77777777" w:rsidR="00461940" w:rsidRDefault="00461940" w:rsidP="00461940">
      <w:pPr>
        <w:jc w:val="center"/>
        <w:rPr>
          <w:bCs/>
          <w:sz w:val="44"/>
          <w:szCs w:val="44"/>
        </w:rPr>
      </w:pPr>
      <w:r>
        <w:rPr>
          <w:bCs/>
          <w:sz w:val="44"/>
          <w:szCs w:val="44"/>
          <w:lang w:val="nl-NL"/>
        </w:rPr>
        <w:t xml:space="preserve">Submission Id: </w:t>
      </w:r>
      <w:r>
        <w:rPr>
          <w:bCs/>
          <w:sz w:val="44"/>
          <w:szCs w:val="44"/>
        </w:rPr>
        <w:t>DE240393</w:t>
      </w:r>
    </w:p>
    <w:p w14:paraId="64B71B53" w14:textId="681CB601" w:rsidR="00E844E1" w:rsidRPr="004F0783" w:rsidRDefault="00E844E1" w:rsidP="00E844E1">
      <w:pPr>
        <w:jc w:val="center"/>
        <w:rPr>
          <w:sz w:val="44"/>
          <w:szCs w:val="44"/>
        </w:rPr>
      </w:pPr>
    </w:p>
    <w:p w14:paraId="64B71B54" w14:textId="77777777" w:rsidR="00E844E1" w:rsidRDefault="00E844E1" w:rsidP="00E844E1">
      <w:pPr>
        <w:jc w:val="center"/>
        <w:rPr>
          <w:sz w:val="44"/>
          <w:szCs w:val="44"/>
        </w:rPr>
      </w:pPr>
    </w:p>
    <w:p w14:paraId="64B71B55" w14:textId="2135CF01" w:rsidR="00E844E1" w:rsidRDefault="00E844E1" w:rsidP="00E844E1">
      <w:pPr>
        <w:jc w:val="center"/>
        <w:rPr>
          <w:sz w:val="44"/>
          <w:szCs w:val="44"/>
        </w:rPr>
      </w:pPr>
      <w:r>
        <w:rPr>
          <w:sz w:val="44"/>
          <w:szCs w:val="44"/>
        </w:rPr>
        <w:t>Submission date: 0</w:t>
      </w:r>
      <w:r w:rsidR="009E6A7F">
        <w:rPr>
          <w:sz w:val="44"/>
          <w:szCs w:val="44"/>
        </w:rPr>
        <w:t>4</w:t>
      </w:r>
      <w:r>
        <w:rPr>
          <w:sz w:val="44"/>
          <w:szCs w:val="44"/>
        </w:rPr>
        <w:t>.</w:t>
      </w:r>
      <w:r w:rsidR="009E6A7F">
        <w:rPr>
          <w:sz w:val="44"/>
          <w:szCs w:val="44"/>
        </w:rPr>
        <w:t>09</w:t>
      </w:r>
      <w:r>
        <w:rPr>
          <w:sz w:val="44"/>
          <w:szCs w:val="44"/>
        </w:rPr>
        <w:t>.202</w:t>
      </w:r>
      <w:r w:rsidR="009E6A7F">
        <w:rPr>
          <w:sz w:val="44"/>
          <w:szCs w:val="44"/>
        </w:rPr>
        <w:t>6</w:t>
      </w:r>
    </w:p>
    <w:p w14:paraId="64B71B56" w14:textId="77777777" w:rsidR="00E844E1" w:rsidRDefault="00E844E1" w:rsidP="00E844E1"/>
    <w:p w14:paraId="64B71B57" w14:textId="77777777" w:rsidR="00E844E1" w:rsidRDefault="00E844E1" w:rsidP="00E844E1"/>
    <w:sdt>
      <w:sdtPr>
        <w:rPr>
          <w:rFonts w:asciiTheme="minorHAnsi" w:eastAsiaTheme="minorHAnsi" w:hAnsiTheme="minorHAnsi" w:cstheme="minorBidi"/>
          <w:b w:val="0"/>
          <w:bCs w:val="0"/>
          <w:color w:val="auto"/>
          <w:sz w:val="22"/>
          <w:szCs w:val="22"/>
        </w:rPr>
        <w:id w:val="1723485858"/>
        <w:docPartObj>
          <w:docPartGallery w:val="Table of Contents"/>
          <w:docPartUnique/>
        </w:docPartObj>
      </w:sdtPr>
      <w:sdtEndPr>
        <w:rPr>
          <w:noProof/>
        </w:rPr>
      </w:sdtEndPr>
      <w:sdtContent>
        <w:p w14:paraId="2F8B77BE" w14:textId="27DBB939" w:rsidR="00641FC0" w:rsidRDefault="00641FC0">
          <w:pPr>
            <w:pStyle w:val="TOCHeading"/>
          </w:pPr>
          <w:r>
            <w:t>Table of Contents</w:t>
          </w:r>
        </w:p>
        <w:p w14:paraId="4B029213" w14:textId="63890037" w:rsidR="000117D6" w:rsidRDefault="00641FC0">
          <w:pPr>
            <w:pStyle w:val="TOC1"/>
            <w:tabs>
              <w:tab w:val="right" w:leader="dot" w:pos="9350"/>
            </w:tabs>
            <w:rPr>
              <w:rFonts w:eastAsiaTheme="minorEastAsia"/>
              <w:noProof/>
              <w:kern w:val="2"/>
              <w:sz w:val="24"/>
              <w:szCs w:val="24"/>
              <w14:ligatures w14:val="standardContextual"/>
            </w:rPr>
          </w:pPr>
          <w:r>
            <w:fldChar w:fldCharType="begin"/>
          </w:r>
          <w:r>
            <w:instrText xml:space="preserve"> TOC \o "1-3" \h \z \u </w:instrText>
          </w:r>
          <w:r>
            <w:fldChar w:fldCharType="separate"/>
          </w:r>
          <w:hyperlink w:anchor="_Toc239390844" w:history="1">
            <w:r w:rsidR="000117D6" w:rsidRPr="00B30479">
              <w:rPr>
                <w:rStyle w:val="Hyperlink"/>
                <w:noProof/>
                <w:lang w:bidi="hi-IN"/>
              </w:rPr>
              <w:t>Abstract</w:t>
            </w:r>
            <w:r w:rsidR="000117D6">
              <w:rPr>
                <w:noProof/>
                <w:webHidden/>
              </w:rPr>
              <w:tab/>
            </w:r>
            <w:r w:rsidR="000117D6">
              <w:rPr>
                <w:noProof/>
                <w:webHidden/>
              </w:rPr>
              <w:fldChar w:fldCharType="begin"/>
            </w:r>
            <w:r w:rsidR="000117D6">
              <w:rPr>
                <w:noProof/>
                <w:webHidden/>
              </w:rPr>
              <w:instrText xml:space="preserve"> PAGEREF _Toc239390844 \h </w:instrText>
            </w:r>
            <w:r w:rsidR="000117D6">
              <w:rPr>
                <w:noProof/>
                <w:webHidden/>
              </w:rPr>
            </w:r>
            <w:r w:rsidR="000117D6">
              <w:rPr>
                <w:noProof/>
                <w:webHidden/>
              </w:rPr>
              <w:fldChar w:fldCharType="separate"/>
            </w:r>
            <w:r w:rsidR="000117D6">
              <w:rPr>
                <w:noProof/>
                <w:webHidden/>
              </w:rPr>
              <w:t>3</w:t>
            </w:r>
            <w:r w:rsidR="000117D6">
              <w:rPr>
                <w:noProof/>
                <w:webHidden/>
              </w:rPr>
              <w:fldChar w:fldCharType="end"/>
            </w:r>
          </w:hyperlink>
        </w:p>
        <w:p w14:paraId="3CAACAC1" w14:textId="61BC0356" w:rsidR="000117D6" w:rsidRDefault="000117D6">
          <w:pPr>
            <w:pStyle w:val="TOC1"/>
            <w:tabs>
              <w:tab w:val="right" w:leader="dot" w:pos="9350"/>
            </w:tabs>
            <w:rPr>
              <w:rFonts w:eastAsiaTheme="minorEastAsia"/>
              <w:noProof/>
              <w:kern w:val="2"/>
              <w:sz w:val="24"/>
              <w:szCs w:val="24"/>
              <w14:ligatures w14:val="standardContextual"/>
            </w:rPr>
          </w:pPr>
          <w:hyperlink w:anchor="_Toc239390845" w:history="1">
            <w:r w:rsidRPr="00B30479">
              <w:rPr>
                <w:rStyle w:val="Hyperlink"/>
                <w:noProof/>
                <w:lang w:bidi="hi-IN"/>
              </w:rPr>
              <w:t>Introduction</w:t>
            </w:r>
            <w:r>
              <w:rPr>
                <w:noProof/>
                <w:webHidden/>
              </w:rPr>
              <w:tab/>
            </w:r>
            <w:r>
              <w:rPr>
                <w:noProof/>
                <w:webHidden/>
              </w:rPr>
              <w:fldChar w:fldCharType="begin"/>
            </w:r>
            <w:r>
              <w:rPr>
                <w:noProof/>
                <w:webHidden/>
              </w:rPr>
              <w:instrText xml:space="preserve"> PAGEREF _Toc239390845 \h </w:instrText>
            </w:r>
            <w:r>
              <w:rPr>
                <w:noProof/>
                <w:webHidden/>
              </w:rPr>
            </w:r>
            <w:r>
              <w:rPr>
                <w:noProof/>
                <w:webHidden/>
              </w:rPr>
              <w:fldChar w:fldCharType="separate"/>
            </w:r>
            <w:r>
              <w:rPr>
                <w:noProof/>
                <w:webHidden/>
              </w:rPr>
              <w:t>4</w:t>
            </w:r>
            <w:r>
              <w:rPr>
                <w:noProof/>
                <w:webHidden/>
              </w:rPr>
              <w:fldChar w:fldCharType="end"/>
            </w:r>
          </w:hyperlink>
        </w:p>
        <w:p w14:paraId="7F311E82" w14:textId="0DA3376D" w:rsidR="000117D6" w:rsidRDefault="000117D6">
          <w:pPr>
            <w:pStyle w:val="TOC1"/>
            <w:tabs>
              <w:tab w:val="right" w:leader="dot" w:pos="9350"/>
            </w:tabs>
            <w:rPr>
              <w:rFonts w:eastAsiaTheme="minorEastAsia"/>
              <w:noProof/>
              <w:kern w:val="2"/>
              <w:sz w:val="24"/>
              <w:szCs w:val="24"/>
              <w14:ligatures w14:val="standardContextual"/>
            </w:rPr>
          </w:pPr>
          <w:hyperlink w:anchor="_Toc239390846" w:history="1">
            <w:r w:rsidRPr="00B30479">
              <w:rPr>
                <w:rStyle w:val="Hyperlink"/>
                <w:noProof/>
                <w:lang w:bidi="hi-IN"/>
              </w:rPr>
              <w:t>Literature Review</w:t>
            </w:r>
            <w:r>
              <w:rPr>
                <w:noProof/>
                <w:webHidden/>
              </w:rPr>
              <w:tab/>
            </w:r>
            <w:r>
              <w:rPr>
                <w:noProof/>
                <w:webHidden/>
              </w:rPr>
              <w:fldChar w:fldCharType="begin"/>
            </w:r>
            <w:r>
              <w:rPr>
                <w:noProof/>
                <w:webHidden/>
              </w:rPr>
              <w:instrText xml:space="preserve"> PAGEREF _Toc239390846 \h </w:instrText>
            </w:r>
            <w:r>
              <w:rPr>
                <w:noProof/>
                <w:webHidden/>
              </w:rPr>
            </w:r>
            <w:r>
              <w:rPr>
                <w:noProof/>
                <w:webHidden/>
              </w:rPr>
              <w:fldChar w:fldCharType="separate"/>
            </w:r>
            <w:r>
              <w:rPr>
                <w:noProof/>
                <w:webHidden/>
              </w:rPr>
              <w:t>5</w:t>
            </w:r>
            <w:r>
              <w:rPr>
                <w:noProof/>
                <w:webHidden/>
              </w:rPr>
              <w:fldChar w:fldCharType="end"/>
            </w:r>
          </w:hyperlink>
        </w:p>
        <w:p w14:paraId="1A6C5D9C" w14:textId="005A2E19" w:rsidR="000117D6" w:rsidRDefault="000117D6">
          <w:pPr>
            <w:pStyle w:val="TOC1"/>
            <w:tabs>
              <w:tab w:val="right" w:leader="dot" w:pos="9350"/>
            </w:tabs>
            <w:rPr>
              <w:rFonts w:eastAsiaTheme="minorEastAsia"/>
              <w:noProof/>
              <w:kern w:val="2"/>
              <w:sz w:val="24"/>
              <w:szCs w:val="24"/>
              <w14:ligatures w14:val="standardContextual"/>
            </w:rPr>
          </w:pPr>
          <w:hyperlink w:anchor="_Toc239390847" w:history="1">
            <w:r w:rsidRPr="00B30479">
              <w:rPr>
                <w:rStyle w:val="Hyperlink"/>
                <w:noProof/>
                <w:lang w:bidi="hi-IN"/>
              </w:rPr>
              <w:t>Methodology</w:t>
            </w:r>
            <w:r>
              <w:rPr>
                <w:noProof/>
                <w:webHidden/>
              </w:rPr>
              <w:tab/>
            </w:r>
            <w:r>
              <w:rPr>
                <w:noProof/>
                <w:webHidden/>
              </w:rPr>
              <w:fldChar w:fldCharType="begin"/>
            </w:r>
            <w:r>
              <w:rPr>
                <w:noProof/>
                <w:webHidden/>
              </w:rPr>
              <w:instrText xml:space="preserve"> PAGEREF _Toc239390847 \h </w:instrText>
            </w:r>
            <w:r>
              <w:rPr>
                <w:noProof/>
                <w:webHidden/>
              </w:rPr>
            </w:r>
            <w:r>
              <w:rPr>
                <w:noProof/>
                <w:webHidden/>
              </w:rPr>
              <w:fldChar w:fldCharType="separate"/>
            </w:r>
            <w:r>
              <w:rPr>
                <w:noProof/>
                <w:webHidden/>
              </w:rPr>
              <w:t>6</w:t>
            </w:r>
            <w:r>
              <w:rPr>
                <w:noProof/>
                <w:webHidden/>
              </w:rPr>
              <w:fldChar w:fldCharType="end"/>
            </w:r>
          </w:hyperlink>
        </w:p>
        <w:p w14:paraId="4A4FF13A" w14:textId="0D198FA5" w:rsidR="000117D6" w:rsidRDefault="000117D6">
          <w:pPr>
            <w:pStyle w:val="TOC1"/>
            <w:tabs>
              <w:tab w:val="right" w:leader="dot" w:pos="9350"/>
            </w:tabs>
            <w:rPr>
              <w:rFonts w:eastAsiaTheme="minorEastAsia"/>
              <w:noProof/>
              <w:kern w:val="2"/>
              <w:sz w:val="24"/>
              <w:szCs w:val="24"/>
              <w14:ligatures w14:val="standardContextual"/>
            </w:rPr>
          </w:pPr>
          <w:hyperlink w:anchor="_Toc239390848" w:history="1">
            <w:r w:rsidRPr="00B30479">
              <w:rPr>
                <w:rStyle w:val="Hyperlink"/>
                <w:noProof/>
                <w:lang w:bidi="hi-IN"/>
              </w:rPr>
              <w:t>Findings</w:t>
            </w:r>
            <w:r>
              <w:rPr>
                <w:noProof/>
                <w:webHidden/>
              </w:rPr>
              <w:tab/>
            </w:r>
            <w:r>
              <w:rPr>
                <w:noProof/>
                <w:webHidden/>
              </w:rPr>
              <w:fldChar w:fldCharType="begin"/>
            </w:r>
            <w:r>
              <w:rPr>
                <w:noProof/>
                <w:webHidden/>
              </w:rPr>
              <w:instrText xml:space="preserve"> PAGEREF _Toc239390848 \h </w:instrText>
            </w:r>
            <w:r>
              <w:rPr>
                <w:noProof/>
                <w:webHidden/>
              </w:rPr>
            </w:r>
            <w:r>
              <w:rPr>
                <w:noProof/>
                <w:webHidden/>
              </w:rPr>
              <w:fldChar w:fldCharType="separate"/>
            </w:r>
            <w:r>
              <w:rPr>
                <w:noProof/>
                <w:webHidden/>
              </w:rPr>
              <w:t>7</w:t>
            </w:r>
            <w:r>
              <w:rPr>
                <w:noProof/>
                <w:webHidden/>
              </w:rPr>
              <w:fldChar w:fldCharType="end"/>
            </w:r>
          </w:hyperlink>
        </w:p>
        <w:p w14:paraId="77E629D0" w14:textId="5EAA38FD" w:rsidR="000117D6" w:rsidRDefault="000117D6">
          <w:pPr>
            <w:pStyle w:val="TOC1"/>
            <w:tabs>
              <w:tab w:val="right" w:leader="dot" w:pos="9350"/>
            </w:tabs>
            <w:rPr>
              <w:rFonts w:eastAsiaTheme="minorEastAsia"/>
              <w:noProof/>
              <w:kern w:val="2"/>
              <w:sz w:val="24"/>
              <w:szCs w:val="24"/>
              <w14:ligatures w14:val="standardContextual"/>
            </w:rPr>
          </w:pPr>
          <w:hyperlink w:anchor="_Toc239390849" w:history="1">
            <w:r w:rsidRPr="00B30479">
              <w:rPr>
                <w:rStyle w:val="Hyperlink"/>
                <w:noProof/>
                <w:lang w:bidi="hi-IN"/>
              </w:rPr>
              <w:t>Discussion</w:t>
            </w:r>
            <w:r>
              <w:rPr>
                <w:noProof/>
                <w:webHidden/>
              </w:rPr>
              <w:tab/>
            </w:r>
            <w:r>
              <w:rPr>
                <w:noProof/>
                <w:webHidden/>
              </w:rPr>
              <w:fldChar w:fldCharType="begin"/>
            </w:r>
            <w:r>
              <w:rPr>
                <w:noProof/>
                <w:webHidden/>
              </w:rPr>
              <w:instrText xml:space="preserve"> PAGEREF _Toc239390849 \h </w:instrText>
            </w:r>
            <w:r>
              <w:rPr>
                <w:noProof/>
                <w:webHidden/>
              </w:rPr>
            </w:r>
            <w:r>
              <w:rPr>
                <w:noProof/>
                <w:webHidden/>
              </w:rPr>
              <w:fldChar w:fldCharType="separate"/>
            </w:r>
            <w:r>
              <w:rPr>
                <w:noProof/>
                <w:webHidden/>
              </w:rPr>
              <w:t>8</w:t>
            </w:r>
            <w:r>
              <w:rPr>
                <w:noProof/>
                <w:webHidden/>
              </w:rPr>
              <w:fldChar w:fldCharType="end"/>
            </w:r>
          </w:hyperlink>
        </w:p>
        <w:p w14:paraId="53DF1868" w14:textId="508F781F" w:rsidR="000117D6" w:rsidRDefault="000117D6">
          <w:pPr>
            <w:pStyle w:val="TOC1"/>
            <w:tabs>
              <w:tab w:val="right" w:leader="dot" w:pos="9350"/>
            </w:tabs>
            <w:rPr>
              <w:rFonts w:eastAsiaTheme="minorEastAsia"/>
              <w:noProof/>
              <w:kern w:val="2"/>
              <w:sz w:val="24"/>
              <w:szCs w:val="24"/>
              <w14:ligatures w14:val="standardContextual"/>
            </w:rPr>
          </w:pPr>
          <w:hyperlink w:anchor="_Toc239390850" w:history="1">
            <w:r w:rsidRPr="00B30479">
              <w:rPr>
                <w:rStyle w:val="Hyperlink"/>
                <w:noProof/>
                <w:lang w:bidi="hi-IN"/>
              </w:rPr>
              <w:t>Conclusion</w:t>
            </w:r>
            <w:r>
              <w:rPr>
                <w:noProof/>
                <w:webHidden/>
              </w:rPr>
              <w:tab/>
            </w:r>
            <w:r>
              <w:rPr>
                <w:noProof/>
                <w:webHidden/>
              </w:rPr>
              <w:fldChar w:fldCharType="begin"/>
            </w:r>
            <w:r>
              <w:rPr>
                <w:noProof/>
                <w:webHidden/>
              </w:rPr>
              <w:instrText xml:space="preserve"> PAGEREF _Toc239390850 \h </w:instrText>
            </w:r>
            <w:r>
              <w:rPr>
                <w:noProof/>
                <w:webHidden/>
              </w:rPr>
            </w:r>
            <w:r>
              <w:rPr>
                <w:noProof/>
                <w:webHidden/>
              </w:rPr>
              <w:fldChar w:fldCharType="separate"/>
            </w:r>
            <w:r>
              <w:rPr>
                <w:noProof/>
                <w:webHidden/>
              </w:rPr>
              <w:t>9</w:t>
            </w:r>
            <w:r>
              <w:rPr>
                <w:noProof/>
                <w:webHidden/>
              </w:rPr>
              <w:fldChar w:fldCharType="end"/>
            </w:r>
          </w:hyperlink>
        </w:p>
        <w:p w14:paraId="30B833C3" w14:textId="4090EEF1" w:rsidR="000117D6" w:rsidRDefault="000117D6">
          <w:pPr>
            <w:pStyle w:val="TOC1"/>
            <w:tabs>
              <w:tab w:val="right" w:leader="dot" w:pos="9350"/>
            </w:tabs>
            <w:rPr>
              <w:rFonts w:eastAsiaTheme="minorEastAsia"/>
              <w:noProof/>
              <w:kern w:val="2"/>
              <w:sz w:val="24"/>
              <w:szCs w:val="24"/>
              <w14:ligatures w14:val="standardContextual"/>
            </w:rPr>
          </w:pPr>
          <w:hyperlink w:anchor="_Toc239390851" w:history="1">
            <w:r w:rsidRPr="00B30479">
              <w:rPr>
                <w:rStyle w:val="Hyperlink"/>
                <w:noProof/>
                <w:lang w:bidi="hi-IN"/>
              </w:rPr>
              <w:t>References</w:t>
            </w:r>
            <w:r>
              <w:rPr>
                <w:noProof/>
                <w:webHidden/>
              </w:rPr>
              <w:tab/>
            </w:r>
            <w:r>
              <w:rPr>
                <w:noProof/>
                <w:webHidden/>
              </w:rPr>
              <w:fldChar w:fldCharType="begin"/>
            </w:r>
            <w:r>
              <w:rPr>
                <w:noProof/>
                <w:webHidden/>
              </w:rPr>
              <w:instrText xml:space="preserve"> PAGEREF _Toc239390851 \h </w:instrText>
            </w:r>
            <w:r>
              <w:rPr>
                <w:noProof/>
                <w:webHidden/>
              </w:rPr>
            </w:r>
            <w:r>
              <w:rPr>
                <w:noProof/>
                <w:webHidden/>
              </w:rPr>
              <w:fldChar w:fldCharType="separate"/>
            </w:r>
            <w:r>
              <w:rPr>
                <w:noProof/>
                <w:webHidden/>
              </w:rPr>
              <w:t>11</w:t>
            </w:r>
            <w:r>
              <w:rPr>
                <w:noProof/>
                <w:webHidden/>
              </w:rPr>
              <w:fldChar w:fldCharType="end"/>
            </w:r>
          </w:hyperlink>
        </w:p>
        <w:p w14:paraId="147D833A" w14:textId="25A67B7C" w:rsidR="00641FC0" w:rsidRDefault="00641FC0">
          <w:r>
            <w:rPr>
              <w:b/>
              <w:bCs/>
              <w:noProof/>
            </w:rPr>
            <w:fldChar w:fldCharType="end"/>
          </w:r>
        </w:p>
      </w:sdtContent>
    </w:sdt>
    <w:p w14:paraId="64B71B58" w14:textId="77777777" w:rsidR="00E844E1" w:rsidRDefault="00E844E1" w:rsidP="00E844E1"/>
    <w:p w14:paraId="64B71B59" w14:textId="77777777" w:rsidR="00E844E1" w:rsidRDefault="00E844E1" w:rsidP="00E844E1"/>
    <w:p w14:paraId="22A1DD36" w14:textId="77777777" w:rsidR="00BC2217" w:rsidRDefault="00BC2217"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68"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69"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95EA3" w:rsidSect="00D65F10">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D7F1604" w14:textId="034D311A" w:rsidR="00637D4C" w:rsidRPr="00637D4C" w:rsidRDefault="00637D4C" w:rsidP="00412CF5">
      <w:pPr>
        <w:pStyle w:val="Heading1"/>
      </w:pPr>
      <w:bookmarkStart w:id="0" w:name="_Toc239390844"/>
      <w:r w:rsidRPr="00637D4C">
        <w:lastRenderedPageBreak/>
        <w:t>Abstract</w:t>
      </w:r>
      <w:bookmarkEnd w:id="0"/>
    </w:p>
    <w:p w14:paraId="6D5DE17E" w14:textId="77777777" w:rsidR="0011048F" w:rsidRPr="0011048F" w:rsidRDefault="0011048F" w:rsidP="0011048F">
      <w:r w:rsidRPr="0011048F">
        <w:t xml:space="preserve">This paper presents a critical analysis of how socioeconomic and macroeconomic environments shape organizational decision making, strategic direction, and overall business performance (Sloman, Guest and Garratt, 2016; Mankiw, 2020). Operating within an increasingly volatile global economy, modern business enterprises are constantly subjected to external forces that dictate operational viability, cost structures, and consumer market demand (Porter, 2008; Grant, 2019). Traditional physical assets and established operational routines are no longer sufficient to guarantee long-term market dominance when faced with unexpected macroeconomic shifts (Barney, 1991; Mankiw, 2020). Consequently, understanding the broader macroeconomic landscape is an essential requirement for corporate executive teams seeking to maintain financial stability, foster innovation, and secure a sustainable competitive advantage (Teece, Pisano and Shuen, 1997; Whittington et al., 2020). </w:t>
      </w:r>
    </w:p>
    <w:p w14:paraId="39A460BF" w14:textId="77777777" w:rsidR="0011048F" w:rsidRPr="0011048F" w:rsidRDefault="0011048F" w:rsidP="0011048F">
      <w:r w:rsidRPr="0011048F">
        <w:t xml:space="preserve">Focusing on the module guidelines, the study explores the foundational theoretical frameworks governing economic systems, market volatility, sociodemographic shifts, and international market dynamics (Hill and Hult, 2020). Strategic frameworks such as PESTEL analysis and the Dynamic Capabilities View demonstrate that an organization's internal success relies on its capacity to continuously align its corporate strategy with external environmental realities (Johnson, Scholes and Whittington, 2008; Teece, 2007). By moving beyond static operational planning, firms can evaluate how broader sociodemographic trends, including shifting age distributions and changing consumer preferences, alter market demand across different geographic regions (Kotler and Keller, 2016; </w:t>
      </w:r>
      <w:proofErr w:type="spellStart"/>
      <w:r w:rsidRPr="0011048F">
        <w:t>Unido</w:t>
      </w:r>
      <w:proofErr w:type="spellEnd"/>
      <w:r w:rsidRPr="0011048F">
        <w:t xml:space="preserve">, 2019). Evaluating these theoretical frameworks provides essential analytical insights into how structured corporate planning transforms external market challenges into viable commercial opportunities (Prahalad, 2006; Grant, 2019). </w:t>
      </w:r>
    </w:p>
    <w:p w14:paraId="5D2E81B3" w14:textId="77777777" w:rsidR="0011048F" w:rsidRPr="0011048F" w:rsidRDefault="0011048F" w:rsidP="0011048F">
      <w:r w:rsidRPr="0011048F">
        <w:t xml:space="preserve">The report evaluates the specific mechanisms through which critical economic indicators directly influence corporate strategy, financial planning, and organizational risk management (Mankiw, 2020; Brealey, Myers and Allen, 2020). Core metrics such as inflation rates, central bank interest rate adjustments, employment levels, national output growth, and changing consumer purchasing behaviors serve as primary determinants of corporate profitability and capital expenditure decisions (Blanchard, 2021; Brealey, Myers and Allen, 2020). Persistent inflationary pressures elevate raw material and operational supply chain costs, while rising interest rates increase debt servicing expenses and restrict access to capital for long-term expansion projects (Sloman, Guest and Garratt, 2016; Blanchard, 2021). Furthermore, fluctuations in national employment and disposable income dictate aggregate consumer demand, forcing management teams to adapt their pricing structures and product offerings (Kotler and Keller, 2016). </w:t>
      </w:r>
    </w:p>
    <w:p w14:paraId="1B6109FE" w14:textId="77777777" w:rsidR="0011048F" w:rsidRPr="0011048F" w:rsidRDefault="0011048F" w:rsidP="0011048F">
      <w:r w:rsidRPr="0011048F">
        <w:t xml:space="preserve">Using a qualitative secondary research methodology, this project synthesizes peer reviewed academic literature, foundational economic models, and empirical industry case studies (Saunders, Lewis and Thornhill, 2019). A desk-based qualitative approach allows for an in-depth, nuanced evaluation of strategic management frameworks and real-world corporate actions that cannot be fully evaluated through isolated quantitative data (Saunders, Lewis and Thornhill, 2019). Through systematic thematic </w:t>
      </w:r>
      <w:r w:rsidRPr="0011048F">
        <w:lastRenderedPageBreak/>
        <w:t xml:space="preserve">analysis, the study evaluates how leading global corporations successfully execute strategic realignments during economic turbulence, while examining the structural breakdowns that occur when organizations fail to adapt to shifting sociodemographic and market environments (Porter, 2008; Johnson, Scholes and Whittington, 2008). </w:t>
      </w:r>
    </w:p>
    <w:p w14:paraId="62CB581B" w14:textId="77777777" w:rsidR="0011048F" w:rsidRPr="0011048F" w:rsidRDefault="0011048F" w:rsidP="0011048F">
      <w:r w:rsidRPr="0011048F">
        <w:t xml:space="preserve">Ultimately, this introductory section sets up the theoretical foundations, detailed literature review, and qualitative methodology necessary to assess how modern enterprises adapt their strategic formulation to navigate dynamic socioeconomic realities (Wright and McMahan, 1992; Saunders, Lewis and Thornhill, 2019). By connecting classical macroeconomic concepts with contemporary strategic management practices, the study establishes an analytical baseline for evaluating corporate agility and risk management (Teece, 2007; Whittington et al., 2020). Overall, this section provides the structural and conceptual groundwork required for the subsequent critical findings, corporate case evaluations, and strategic recommendations presented in the broader report. </w:t>
      </w:r>
    </w:p>
    <w:p w14:paraId="11DFBE31" w14:textId="77777777" w:rsidR="00637D4C" w:rsidRPr="00637D4C" w:rsidRDefault="00637D4C" w:rsidP="00637D4C"/>
    <w:p w14:paraId="4F900C55" w14:textId="77777777" w:rsidR="00637D4C" w:rsidRPr="00637D4C" w:rsidRDefault="00637D4C" w:rsidP="00412CF5">
      <w:pPr>
        <w:pStyle w:val="Heading1"/>
      </w:pPr>
      <w:bookmarkStart w:id="1" w:name="_Toc239390845"/>
      <w:r w:rsidRPr="00637D4C">
        <w:t>Introduction</w:t>
      </w:r>
      <w:bookmarkEnd w:id="1"/>
    </w:p>
    <w:p w14:paraId="03853BD7" w14:textId="77777777" w:rsidR="00637D4C" w:rsidRPr="00637D4C" w:rsidRDefault="00637D4C" w:rsidP="00637D4C">
      <w:r w:rsidRPr="00637D4C">
        <w:t xml:space="preserve">In the modern international business landscape, organizations do not operate in isolation. Every business enterprise functions within a complex and constantly evolving macroeconomic and social environment that dictates resource availability, cost structures, demand patterns, and overall operational viability (Sloman, Guest and Garratt, 2016). Rapid technological advancements, fluctuating currency values, geopolitical realignments, shifting demographics, and unpredictable inflationary pressures create a high level of operational uncertainty for contemporary management teams (Mankiw, 2020). Consequently, understanding the broader socioeconomic environment is no longer just an academic exercise; it is an absolute strategic necessity for corporate survival, growth, and long term competitive advantage. </w:t>
      </w:r>
    </w:p>
    <w:p w14:paraId="4ACE744F" w14:textId="0EB1F29E" w:rsidR="00637D4C" w:rsidRPr="00637D4C" w:rsidRDefault="00637D4C" w:rsidP="00637D4C">
      <w:r w:rsidRPr="00637D4C">
        <w:t xml:space="preserve">The primary objective of this report is to deliver a thorough strategic evaluation examining how socioeconomic factors influence organizational decision making and firm performance, specifically addressing the requirements. As global business environments become increasingly interconnected, leaders face the challenge of formulating business strategies that remain flexible enough to withstand external economic shocks while capitalizing on emerging socio demographic trends (Porter, 2008). Macroeconomic shifts, such as monetary policy tightening, supply chain disruptions, changing income distribution, and shifting consumer confidence, directly impact cost structures, pricing power, investment capacity, and strategic expansion plans (Whittington et al., 2020). </w:t>
      </w:r>
    </w:p>
    <w:p w14:paraId="5177DDFC" w14:textId="77777777" w:rsidR="00637D4C" w:rsidRPr="00637D4C" w:rsidRDefault="00637D4C" w:rsidP="00637D4C">
      <w:r w:rsidRPr="00637D4C">
        <w:t xml:space="preserve">This analytical project report is structured across three distinct parts to provide a comprehensive evaluation of these complex dynamics. Part One establishes the theoretical framework through an extensive review of literature on macroeconomic indicators, sociodemographic variables, and firm strategy formulation. It also details the qualitative desk based research methodology used throughout the study. Subsequent parts will deliver an in depth findings and critical analysis section that evaluates </w:t>
      </w:r>
      <w:r w:rsidRPr="00637D4C">
        <w:lastRenderedPageBreak/>
        <w:t xml:space="preserve">how specific economic metrics affect business operations, present real world corporate case studies of strategic adaptation, discuss the broader implications of global market volatility, and outline evidence based strategic recommendations for modern managers navigating turbulent economic contexts. </w:t>
      </w:r>
    </w:p>
    <w:p w14:paraId="7E8BEC60" w14:textId="77777777" w:rsidR="00637D4C" w:rsidRPr="00637D4C" w:rsidRDefault="00637D4C" w:rsidP="00637D4C"/>
    <w:p w14:paraId="58F82B4A" w14:textId="77777777" w:rsidR="00637D4C" w:rsidRPr="00637D4C" w:rsidRDefault="00637D4C" w:rsidP="00412CF5">
      <w:pPr>
        <w:pStyle w:val="Heading1"/>
      </w:pPr>
      <w:bookmarkStart w:id="2" w:name="_Toc239390846"/>
      <w:r w:rsidRPr="00637D4C">
        <w:t>Literature Review</w:t>
      </w:r>
      <w:bookmarkEnd w:id="2"/>
    </w:p>
    <w:p w14:paraId="2A5DE37F" w14:textId="77777777" w:rsidR="00637D4C" w:rsidRPr="00637D4C" w:rsidRDefault="00637D4C" w:rsidP="00637D4C">
      <w:r w:rsidRPr="00637D4C">
        <w:t xml:space="preserve">The relationship between the external macroeconomic environment and firm performance is a cornerstone of strategic management literature (Porter, 2008; Grant, 2019). Traditional economic theory emphasizes that macroeconomic stability provides the necessary foundation for business investment, consumer spending, and sustainable capital accumulation (Mankiw, 2020). To systematically assess how external forces shape organizational strategy, management scholars frequently utilize macro-environmental frameworks such as the PESTEL analysis, which categorizes external impacts into Political, Economic, Social, Technological, Environmental, and Legal forces (Johnson, Scholes and Whittington, 2008). Within this framework, economic and social dimensions play a particularly prominent role in determining market demand, input costs, and competitive intensity (Grant, 2019). </w:t>
      </w:r>
    </w:p>
    <w:p w14:paraId="22E87B94" w14:textId="77777777" w:rsidR="00637D4C" w:rsidRPr="00637D4C" w:rsidRDefault="00637D4C" w:rsidP="00637D4C">
      <w:r w:rsidRPr="00637D4C">
        <w:t xml:space="preserve">Macroeconomic factors encompass a broad array of national and global indicators that directly affect business operations (Sloman, Guest and Garratt, 2016). Inflation, defined as the persistent rise in the general price level of goods and services, directly impacts corporate profitability by increasing raw material prices, transportation fees, and labor costs (Mankiw, 2020). When inflation surges, central banks typically respond by raising interest rates to curb consumer demand and cool down the economy (Blanchard, 2021). Higher interest rates increase the cost of capital, making corporate borrowing more expensive and reducing the net present value of potential capital investments (Brealey, Myers and Allen, 2020). Consequently, firms are often forced to delay expansion projects, restructure debt obligations, or pass increased operational costs onto end consumers through higher retail prices, which can inadvertently depress demand (Sloman, Guest and Garratt, 2016). </w:t>
      </w:r>
    </w:p>
    <w:p w14:paraId="79B5302F" w14:textId="77777777" w:rsidR="00637D4C" w:rsidRPr="00637D4C" w:rsidRDefault="00637D4C" w:rsidP="00637D4C">
      <w:r w:rsidRPr="00637D4C">
        <w:t xml:space="preserve">Employment levels and economic growth rates, typically measured through Gross Domestic Product growth, further dictate the buoyancy of consumer markets (Mankiw, 2020). High levels of employment and steady national growth generally correlate with elevated household disposable income, rising consumer confidence, and increased aggregate demand across consumer goods and services sectors (Blanchard, 2021). Conversely, during periods of economic stagnation or recession, rising unemployment and wage stagnation severely weaken consumer purchasing power, forcing households to prioritize essential goods over discretionary purchases (Sloman, Guest and Garratt, 2016). Strategic literature emphasizes that firms operating in cyclical industries, such as luxury retail, automobile manufacturing, and hospitality, are particularly vulnerable to these economic contractions, requiring agile cost structures and counter cyclic business models (Grant, 2019). </w:t>
      </w:r>
    </w:p>
    <w:p w14:paraId="10453E67" w14:textId="20422511" w:rsidR="00637D4C" w:rsidRPr="00637D4C" w:rsidRDefault="00637D4C" w:rsidP="00637D4C">
      <w:r w:rsidRPr="00637D4C">
        <w:t xml:space="preserve">In addition to pure economic metrics, sociodemographic factors represent a major structural force shaping business environments (Kotler and Keller, 2016). </w:t>
      </w:r>
      <w:proofErr w:type="spellStart"/>
      <w:r w:rsidRPr="00637D4C">
        <w:t>Sociodemographics</w:t>
      </w:r>
      <w:proofErr w:type="spellEnd"/>
      <w:r w:rsidRPr="00637D4C">
        <w:t xml:space="preserve"> encompass variables such </w:t>
      </w:r>
      <w:r w:rsidRPr="00637D4C">
        <w:lastRenderedPageBreak/>
        <w:t>as age distribution, population growth, urbanization trends, educational attainment, income inequality, and evolving cultural values (</w:t>
      </w:r>
      <w:proofErr w:type="spellStart"/>
      <w:r w:rsidRPr="00637D4C">
        <w:t>Unido</w:t>
      </w:r>
      <w:proofErr w:type="spellEnd"/>
      <w:r w:rsidRPr="00637D4C">
        <w:t>, 2019). Shifts in demographic profiles fundamentally alter consumer preference patterns and workforce availability (Kotler and Keller, 2016). For example, aging populations in developed nations create expanding markets for healthcare and specialized financial services, while simultaneously constraining the supply of young labor and putting upward pressure on wage costs (</w:t>
      </w:r>
      <w:proofErr w:type="spellStart"/>
      <w:r w:rsidRPr="00637D4C">
        <w:t>Unido</w:t>
      </w:r>
      <w:proofErr w:type="spellEnd"/>
      <w:r w:rsidRPr="00637D4C">
        <w:t xml:space="preserve">, 2019). Similarly, the rise of a digitally connected middle class in emerging economies creates new consumer demand pools, prompting multinational corporations to adapt their product portfolios, distribution channels, and marketing strategies to fit local socioeconomic contexts (Prahalad, 2006). </w:t>
      </w:r>
    </w:p>
    <w:p w14:paraId="4B77B4E2" w14:textId="77777777" w:rsidR="00637D4C" w:rsidRPr="00637D4C" w:rsidRDefault="00637D4C" w:rsidP="00637D4C">
      <w:r w:rsidRPr="00637D4C">
        <w:t xml:space="preserve">Furthermore, global economic dynamics and market volatility significantly complicate strategic decision making for international businesses (Hill and Hult, 2020). Geopolitical tensions, trade policy disputes, exchange rate volatility, and global supply chain vulnerabilities demonstrate that modern business strategy cannot rely on static domestic economic assumptions (Whittington et al., 2020). The concept of economic shock, whether stemming from financial crises, global health pandemics, or energy market disruptions, highlights the necessity for strategic flexibility and robust risk management mechanisms (Teece, Pisano and Shuen, 1997). Strategic management theories, particularly the Dynamic Capabilities View, argue that sustainable competitive advantage in volatile economic environments depends on a firm's capacity to continuously sense environmental changes, seize emerging market opportunities, and reconfigure internal operational assets to match external shifts (Teece, 2007). </w:t>
      </w:r>
    </w:p>
    <w:p w14:paraId="4A63162C" w14:textId="77777777" w:rsidR="00637D4C" w:rsidRPr="00637D4C" w:rsidRDefault="00637D4C" w:rsidP="00637D4C"/>
    <w:p w14:paraId="5656682E" w14:textId="77777777" w:rsidR="00637D4C" w:rsidRPr="00637D4C" w:rsidRDefault="00637D4C" w:rsidP="00412CF5">
      <w:pPr>
        <w:pStyle w:val="Heading1"/>
      </w:pPr>
      <w:bookmarkStart w:id="3" w:name="_Toc239390847"/>
      <w:r w:rsidRPr="00637D4C">
        <w:t>Methodology</w:t>
      </w:r>
      <w:bookmarkEnd w:id="3"/>
    </w:p>
    <w:p w14:paraId="0D9FEFB3" w14:textId="77777777" w:rsidR="00637D4C" w:rsidRPr="00637D4C" w:rsidRDefault="00637D4C" w:rsidP="00637D4C">
      <w:r w:rsidRPr="00637D4C">
        <w:t xml:space="preserve">This project utilizes a qualitative, secondary desk research methodology to analyze the impact of socioeconomic and macroeconomic factors on business decision making and corporate performance (Saunders, Lewis and Thornhill, 2019). A qualitative research structure was deliberately selected because it provides the analytical depth required to evaluate complex macro environmental phenomena, strategic frameworks, and corporate behavioral adaptations, which cannot be adequately captured through isolated quantitative figures alone (Saunders, Lewis and Thornhill, 2019). </w:t>
      </w:r>
    </w:p>
    <w:p w14:paraId="6BADAF52" w14:textId="77777777" w:rsidR="00637D4C" w:rsidRPr="00637D4C" w:rsidRDefault="00637D4C" w:rsidP="00637D4C">
      <w:r w:rsidRPr="00637D4C">
        <w:t xml:space="preserve">The data collection strategy involved gathering reputable secondary material from peer reviewed academic journals, established macroeconomic and management textbooks, reports from global economic institutions, and verified industry case studies (Saunders, Lewis and Thornhill, 2019). Key search criteria included terms such as macroeconomic indicators and business strategy, inflation impact on corporate performance, sociodemographic shifts, economic volatility, and strategic adaptation. The collected literature was systematically evaluated using thematic analysis methods, categorizing insights into core themes such as macroeconomic indicators, sociodemographic drivers, strategic formulation responses, and organizational performance outcomes (Saunders, Lewis and Thornhill, 2019). By synthesizing theoretical models with empirical real world case evidence, this methodology guarantees an objective, critically rigorous, and comprehensive assessment of the topic. </w:t>
      </w:r>
    </w:p>
    <w:p w14:paraId="012BC6E4" w14:textId="77777777" w:rsidR="00637D4C" w:rsidRPr="00637D4C" w:rsidRDefault="00637D4C" w:rsidP="00637D4C"/>
    <w:p w14:paraId="12259847" w14:textId="77777777" w:rsidR="005A6928" w:rsidRPr="005A6928" w:rsidRDefault="005A6928" w:rsidP="00412CF5">
      <w:pPr>
        <w:pStyle w:val="Heading1"/>
      </w:pPr>
      <w:bookmarkStart w:id="4" w:name="_Toc239390848"/>
      <w:r w:rsidRPr="005A6928">
        <w:t>Findings</w:t>
      </w:r>
      <w:bookmarkEnd w:id="4"/>
    </w:p>
    <w:p w14:paraId="53F88790" w14:textId="77777777" w:rsidR="005A6928" w:rsidRPr="005A6928" w:rsidRDefault="005A6928" w:rsidP="005A6928">
      <w:r w:rsidRPr="005A6928">
        <w:t xml:space="preserve">A critical evaluation of economic indicators reveals the profound, interconnected mechanisms through which macroeconomic conditions influence organizational performance, strategic planning, and operational execution (Sloman, Guest and Garratt, 2016). Chief among these indicators is inflation, which serves as a primary driver of cost structure inflation across global supply chains (Mankiw, 2020). Persistent inflationary pressure increases the acquisition costs of raw materials, energy inputs, logistics, and labor, thereby directly compressing corporate gross margins unless businesses can exercise pricing power (Blanchard, 2021). However, passing higher costs directly onto end consumers carries significant operational risk, as price hikes frequently trigger demand destruction, particularly in price sensitive consumer segments (Mankiw, 2020). Consequently, modern enterprises operating in high inflation environments must balance immediate margin preservation against long term market share retention (Grant, 2019). </w:t>
      </w:r>
    </w:p>
    <w:p w14:paraId="3708CF95" w14:textId="77777777" w:rsidR="005A6928" w:rsidRPr="005A6928" w:rsidRDefault="005A6928" w:rsidP="005A6928">
      <w:r w:rsidRPr="005A6928">
        <w:t xml:space="preserve">Closely linked to inflation are central bank monetary policies and interest rate adjustments, which govern the cost and availability of capital across global financial markets (Brealey, Myers and Allen, 2020). When central monetary authorities implement interest rate hikes to curb inflationary expansion, the cost of corporate debt servicing rises significantly (Blanchard, 2021). Higher interest rates elevate the hurdle rate for capital expenditure projects, forcing financial directors to delay major infrastructure investments, scale back research and development budgets, and re-evaluate strategic corporate acquisitions (Brealey, Myers and Allen, 2020). Furthermore, rising interest rates restrict commercial lending standards, constraining credit access for small and medium-sized enterprises and dampening broader business expansion initiatives across capital-intensive sectors (Sloman, Guest and Garratt, 2016). </w:t>
      </w:r>
    </w:p>
    <w:p w14:paraId="537114C0" w14:textId="77777777" w:rsidR="005A6928" w:rsidRPr="005A6928" w:rsidRDefault="005A6928" w:rsidP="005A6928">
      <w:r w:rsidRPr="005A6928">
        <w:t xml:space="preserve">Employment dynamics, national income levels, and aggregate economic growth rates directly dictate market purchasing power and consumer behavioral patterns (Mankiw, 2020). Periods of high national output growth and robust employment foster strong consumer sentiment, leading to elevated household spending across both essential and discretionary product categories (Blanchard, 2021). Conversely, during periods of economic stagnation or rising unemployment, consumer behavior shifts dramatically toward risk aversion, value preservation, and delayed consumption (Kotler and Keller, 2016). Consumers systematically trade down to lower cost private label alternatives, prioritize utility over premium brand loyalty, and defer big ticket purchases (Kotler and Keller, 2016). This behavioral shift forces organizations to pivot their strategic focus toward value oriented product lines, aggressive promotional discounting, and cost optimization strategies to maintain operational cash flow (Grant, 2019). </w:t>
      </w:r>
    </w:p>
    <w:p w14:paraId="15CFE258" w14:textId="77777777" w:rsidR="005A6928" w:rsidRPr="005A6928" w:rsidRDefault="005A6928" w:rsidP="005A6928">
      <w:r w:rsidRPr="005A6928">
        <w:t>The influence of sociodemographic transformations adds a further layer of complexity to strategic formulation (</w:t>
      </w:r>
      <w:proofErr w:type="spellStart"/>
      <w:r w:rsidRPr="005A6928">
        <w:t>Unido</w:t>
      </w:r>
      <w:proofErr w:type="spellEnd"/>
      <w:r w:rsidRPr="005A6928">
        <w:t xml:space="preserve">, 2019). Structural demographic shifts, such as population aging in advanced economies, rapid urban migration in emerging markets, and altering household structures, create </w:t>
      </w:r>
      <w:r w:rsidRPr="005A6928">
        <w:lastRenderedPageBreak/>
        <w:t>structural shifts in aggregate market demand (Kotler and Keller, 2016). For instance, shifting age distributions alter healthcare consumption, digital service adoption, and leisure preferences, while changing income distributions reshape market segmentation strategies (</w:t>
      </w:r>
      <w:proofErr w:type="spellStart"/>
      <w:r w:rsidRPr="005A6928">
        <w:t>Unido</w:t>
      </w:r>
      <w:proofErr w:type="spellEnd"/>
      <w:r w:rsidRPr="005A6928">
        <w:t xml:space="preserve">, 2019). Organizations that fail to track and adapt to these sociodemographic transformations risk product obsolescence and market share erosion, whereas proactive firms leverage demographic insights to innovate product portfolios and enter underserved market segments (Prahalad, 2006). </w:t>
      </w:r>
    </w:p>
    <w:p w14:paraId="2DA3C6C8" w14:textId="37905C81" w:rsidR="005A6928" w:rsidRPr="005A6928" w:rsidRDefault="005A6928" w:rsidP="005A6928">
      <w:r w:rsidRPr="005A6928">
        <w:t xml:space="preserve">Real world corporate case studies illustrate how effective organizations dynamically adapt their strategies to navigate changing socioeconomic contexts (Porter, 2008). A prominent example of successful strategic pivot during economic turbulence is the consumer goods giant Unilever. In response to severe inflationary pressures, rising supply chain disruption, and shifting consumer purchasing power across global markets, Unilever executed a comprehensive strategic realignment (Whittington et al., 2020). The organization introduced dual track portfolio management, launching budget friendly smaller packaging formats in emerging markets to protect consumer accessibility while simultaneously expanding its premium product tier in developed economies to capture higher margin demand (Kotler and Keller, 2016). By optimizing its global supply chain network, rationalizing underperforming brand assets, and dynamically adjusting price points, Unilever successfully safeguarded its operational profitability while maintaining market leadership across volatile economic regions (Grant, 2019). </w:t>
      </w:r>
    </w:p>
    <w:p w14:paraId="7F0DBC72" w14:textId="77777777" w:rsidR="005A6928" w:rsidRPr="005A6928" w:rsidRDefault="005A6928" w:rsidP="005A6928">
      <w:r w:rsidRPr="005A6928">
        <w:t xml:space="preserve">Conversely, the historic retail collapse of Sears demonstrates the fatal consequences of failing to align business strategy with evolving macroeconomic and sociodemographic realities (Johnson, Scholes and Whittington, 2008). Over several decades, Sears failed to adapt its brick and mortar business model to significant sociodemographic shifts, including the growth of suburban middle class shopping preferences, the rise of e-commerce platforms, and changing consumer income distributions (Kotler and Keller, 2016). While competitors like Walmart optimized low cost supply chains to capture value-seeking consumers and Target tailored its product offerings to modern demographic segments, Sears implemented aggressive financial engineering and cost cutting measures that starved its retail stores of capital investment (Brealey, Myers and Allen, 2020). The complete disconnect between Sears' strategic management and the external socioeconomic environment resulted in steady market share loss, persistent financial deficits, and eventual bankruptcy (Porter, 2008). </w:t>
      </w:r>
    </w:p>
    <w:p w14:paraId="400E4E74" w14:textId="77777777" w:rsidR="00412CF5" w:rsidRDefault="00412CF5" w:rsidP="005A6928"/>
    <w:p w14:paraId="15A51D7F" w14:textId="70C7E7A3" w:rsidR="005A6928" w:rsidRPr="005A6928" w:rsidRDefault="005A6928" w:rsidP="00412CF5">
      <w:pPr>
        <w:pStyle w:val="Heading1"/>
      </w:pPr>
      <w:bookmarkStart w:id="5" w:name="_Toc239390849"/>
      <w:r w:rsidRPr="005A6928">
        <w:t>Discussion</w:t>
      </w:r>
      <w:bookmarkEnd w:id="5"/>
    </w:p>
    <w:p w14:paraId="34742175" w14:textId="77777777" w:rsidR="005A6928" w:rsidRPr="005A6928" w:rsidRDefault="005A6928" w:rsidP="005A6928">
      <w:r w:rsidRPr="005A6928">
        <w:t xml:space="preserve">The synthesis of theoretical frameworks and empirical corporate evidence confirms that the macroeconomic and socioeconomic environment serves as a fundamental determinant of strategic decision making, operational resilience, and sustained business performance (Porter, 2008; Grant, 2019). The findings highlight that corporate strategy cannot be formulated as a static, internal exercise; rather, it must function as a dynamic, continuous process of external environmental alignment (Teece, Pisano and Shuen, 1997). </w:t>
      </w:r>
    </w:p>
    <w:p w14:paraId="002F5C2F" w14:textId="77777777" w:rsidR="005A6928" w:rsidRPr="005A6928" w:rsidRDefault="005A6928" w:rsidP="005A6928">
      <w:r w:rsidRPr="005A6928">
        <w:lastRenderedPageBreak/>
        <w:t xml:space="preserve">A central theme emerging from the analysis is the operational necessity of building strong dynamic capabilities within modern organizations (Teece, 2007). As demonstrated by the contrast between Unilever's agile strategic realignment and Sears' structural failure, a firm's long term survival depends on its capacity to sense environmental shifts, seize emerging market opportunities, and reconfigure internal resources ahead of macroeconomic disruptions (Teece, Pisano and Shuen, 1997; Whittington et al., 2020). When macroeconomic indicators such as inflation and interest rates fluctuate rapidly, rigid long term operational plans quickly become obsolete (Mankiw, 2020; Blanchard, 2021). Organizations must therefore embed flexible strategic planning mechanisms, scenario analysis, and agile resource allocation frameworks to absorb macroeconomic shocks without compromising long term value creation (Grant, 2019). </w:t>
      </w:r>
    </w:p>
    <w:p w14:paraId="1CF6D36B" w14:textId="77777777" w:rsidR="005A6928" w:rsidRPr="005A6928" w:rsidRDefault="005A6928" w:rsidP="005A6928">
      <w:r w:rsidRPr="005A6928">
        <w:t>Furthermore, the discussion underscores the critical importance of evaluating sociodemographic transformations alongside pure macroeconomic variables (Kotler and Keller, 2016). Pure economic metrics like GDP growth rates provide high level pictures of market volume, but sociodemographic trends explain the underlying shifts in consumer behavior, value systems, and brand engagement (</w:t>
      </w:r>
      <w:proofErr w:type="spellStart"/>
      <w:r w:rsidRPr="005A6928">
        <w:t>Unido</w:t>
      </w:r>
      <w:proofErr w:type="spellEnd"/>
      <w:r w:rsidRPr="005A6928">
        <w:t xml:space="preserve">, 2019). Firms that successfully integrate sociodemographic analytics into their strategic formulation processes are far better positioned to identify emerging customer segments, design tailored value propositions, and maintain market relevance across changing generational cohorts (Prahalad, 2006). </w:t>
      </w:r>
    </w:p>
    <w:p w14:paraId="21212FAC" w14:textId="77777777" w:rsidR="005A6928" w:rsidRPr="005A6928" w:rsidRDefault="005A6928" w:rsidP="005A6928">
      <w:r w:rsidRPr="005A6928">
        <w:t xml:space="preserve">Finally, global economic dynamics and market volatility necessitate a shift from short term financial management toward sustainable, risk-aware strategic execution (Hill and Hult, 2020). Over-indexing on immediate cost reduction during economic downturns, as seen in the Sears example, can severely damage long term organizational capabilities, customer trust, and brand equity (Porter, 2008). Strategic decision makers must strike a delicate balance between short term operational survival and long term strategic investment, ensuring that risk management frameworks are fully integrated into core corporate strategy formulation (Brealey, Myers and Allen, 2020; Whittington et al., 2020). </w:t>
      </w:r>
    </w:p>
    <w:p w14:paraId="112EA6BD" w14:textId="77777777" w:rsidR="005A6928" w:rsidRPr="005A6928" w:rsidRDefault="005A6928" w:rsidP="005A6928"/>
    <w:p w14:paraId="46E1685F" w14:textId="77777777" w:rsidR="006773B5" w:rsidRPr="006773B5" w:rsidRDefault="006773B5" w:rsidP="00412CF5">
      <w:pPr>
        <w:pStyle w:val="Heading1"/>
      </w:pPr>
      <w:bookmarkStart w:id="6" w:name="_Toc239390850"/>
      <w:r w:rsidRPr="006773B5">
        <w:t>Conclusion</w:t>
      </w:r>
      <w:bookmarkEnd w:id="6"/>
    </w:p>
    <w:p w14:paraId="695CDE4D" w14:textId="2395FC43" w:rsidR="00AE4A0A" w:rsidRPr="00AE4A0A" w:rsidRDefault="00AE4A0A" w:rsidP="00AE4A0A">
      <w:r w:rsidRPr="00AE4A0A">
        <w:t xml:space="preserve">This report has delivered a thorough strategic analysis examining how macroeconomic and socioeconomic factors shape organizational decision making, strategic formulation, and firm performance, fulfilling the core requirements (Porter, 2008; Mankiw, 2020). Through a detailed evaluation of macroeconomic frameworks, sociodemographic variables, and global economic dynamics, the study confirms that external environmental forces serve as primary determinants of corporate success and long-term competitive longevity (Porter, 2008; Mankiw, 2020). Modern business organizations do not exist in isolation; rather, they operate within highly interconnected economic systems where fluctuations in core indicators directly alter cost structures, capital access, and aggregate consumer demand (Sloman, Guest and Garratt, 2016). Consequently, executive leadership teams must </w:t>
      </w:r>
      <w:r w:rsidRPr="00AE4A0A">
        <w:lastRenderedPageBreak/>
        <w:t>view macroeconomic analysis not merely as a passive forecasting tool, but as an active driver of strategic decision making and operational alignment (Whittington et al., 2020).</w:t>
      </w:r>
    </w:p>
    <w:p w14:paraId="012218DB" w14:textId="77777777" w:rsidR="00AE4A0A" w:rsidRPr="00AE4A0A" w:rsidRDefault="00AE4A0A" w:rsidP="00AE4A0A">
      <w:r w:rsidRPr="00AE4A0A">
        <w:t>The critical findings demonstrate that key economic metrics, including inflation rates, central bank interest rate adjustments, employment levels, national output growth, and shifting consumer purchasing behaviors, directly dictate strategic choices across industries (Blanchard, 2021; Brealey, Myers and Allen, 2020). Persistent inflationary pressures compress gross profit margins by driving up raw material, energy, and logistics costs, creating complex pricing dilemmas for management teams trying to preserve margins without triggering demand destruction (Mankiw, 2020). Simultaneously, central bank monetary tightening through interest rate hikes increases borrowing costs across financial markets, elevating hurdle rates for capital expenditure and forcing firms to re-evaluate long-term expansion projects (Brealey, Myers and Allen, 2020). Managing these macroeconomic variables requires a delicate balance between immediate cash flow management and long-term strategic investment (Grant, 2019).</w:t>
      </w:r>
    </w:p>
    <w:p w14:paraId="31992D8D" w14:textId="77777777" w:rsidR="00AE4A0A" w:rsidRPr="00AE4A0A" w:rsidRDefault="00AE4A0A" w:rsidP="00AE4A0A">
      <w:r w:rsidRPr="00AE4A0A">
        <w:t>Furthermore, fluctuations in aggregate employment and household disposable income levels drive fundamental changes in consumer purchasing behavior, forcing businesses to continuously adapt their commercial value propositions (Kotler and Keller, 2016). During periods of economic contraction or wage stagnation, consumer behavior shifts toward risk aversion and value preservation, leading to decreased demand for discretionary goods and increased preference for cost-effective alternatives (Kotler and Keller, 2016). To maintain market share, organizations must adjust pricing tiers, re-evaluate product portfolios, and deploy targeted promotional strategies that resonate with price-sensitive consumers (Grant, 2019). Understanding these behavioral shifts enables management teams to build counter-cyclical product offerings that protect revenue streams during broader economic downturns (Sloman, Guest and Garratt, 2016).</w:t>
      </w:r>
    </w:p>
    <w:p w14:paraId="199BA8C8" w14:textId="77777777" w:rsidR="00AE4A0A" w:rsidRPr="00AE4A0A" w:rsidRDefault="00AE4A0A" w:rsidP="00AE4A0A">
      <w:r w:rsidRPr="00AE4A0A">
        <w:t>In addition to short-term economic fluctuations, structural sociodemographic transformations continuously reshape long-term consumer demand patterns and workforce availability (</w:t>
      </w:r>
      <w:proofErr w:type="spellStart"/>
      <w:r w:rsidRPr="00AE4A0A">
        <w:t>Unido</w:t>
      </w:r>
      <w:proofErr w:type="spellEnd"/>
      <w:r w:rsidRPr="00AE4A0A">
        <w:t xml:space="preserve">, 2019). Macro-level sociodemographic shifts, such as aging populations in developed nations, rapid urban migration in emerging economies, and changing household income distributions, alter market dynamics across diverse geographic regions (Kotler and Keller, 2016; </w:t>
      </w:r>
      <w:proofErr w:type="spellStart"/>
      <w:r w:rsidRPr="00AE4A0A">
        <w:t>Unido</w:t>
      </w:r>
      <w:proofErr w:type="spellEnd"/>
      <w:r w:rsidRPr="00AE4A0A">
        <w:t>, 2019). These structural movements influence not only product demand and brand engagement, but also labor supply and skill availability within the macroeconomic environment (</w:t>
      </w:r>
      <w:proofErr w:type="spellStart"/>
      <w:r w:rsidRPr="00AE4A0A">
        <w:t>Unido</w:t>
      </w:r>
      <w:proofErr w:type="spellEnd"/>
      <w:r w:rsidRPr="00AE4A0A">
        <w:t>, 2019). Proactive corporate leadership must track these sociodemographic shifts to innovate product pipelines, enter emerging consumer markets, and tailor workforce acquisition strategies to long-term demographic realities (Prahalad, 2006; Rothwell, 2010).</w:t>
      </w:r>
    </w:p>
    <w:p w14:paraId="2C4DFA0D" w14:textId="77777777" w:rsidR="00AE4A0A" w:rsidRPr="00AE4A0A" w:rsidRDefault="00AE4A0A" w:rsidP="00AE4A0A">
      <w:r w:rsidRPr="00AE4A0A">
        <w:t xml:space="preserve">Empirical corporate case studies evaluated within the report further emphasize the practical significance of these economic realities on corporate survival. Unilever's successful strategic realignment through flexible product packaging, agile supply chain management, and dynamic brand portfolio adjustments illustrates how building strong dynamic capabilities enables multinational firms to safeguard profitability and market share during volatile economic periods (Teece, 2007; Grant, 2019). By tailoring its offerings to suit differing consumer purchasing powers across global markets, Unilever demonstrated how active </w:t>
      </w:r>
      <w:r w:rsidRPr="00AE4A0A">
        <w:lastRenderedPageBreak/>
        <w:t>environmental alignment preserves brand equity and maintains revenue growth even amid widespread inflationary pressures (Kotler and Keller, 2016; Whittington et al., 2020).</w:t>
      </w:r>
    </w:p>
    <w:p w14:paraId="02762D69" w14:textId="77777777" w:rsidR="00AE4A0A" w:rsidRPr="00AE4A0A" w:rsidRDefault="00AE4A0A" w:rsidP="00AE4A0A">
      <w:r w:rsidRPr="00AE4A0A">
        <w:t>Conversely, the historical collapse of Sears illustrates the severe organizational risks associated with failing to align corporate strategy with shifting sociodemographic trends and consumer preferences (Porter, 2008; Johnson, Scholes and Whittington, 2008). Over several decades, Sears failed to adapt its retail operations to modern suburban consumer habits, digital market disruption, and changing middle-class spending patterns (Kotler and Keller, 2016). Instead of reinvesting in core retail infrastructure and customer value propositions, executive management relied heavily on financial engineering and aggressive cost cutting (Brealey, Myers and Allen, 2020). This severe disconnect between Sears' strategic management and the external socioeconomic environment led to steady market share erosion and eventual bankruptcy, proving that internal cost containment cannot substitute for genuine market alignment (Porter, 2008; Johnson, Scholes and Whittington, 2008).</w:t>
      </w:r>
    </w:p>
    <w:p w14:paraId="6EEF622F" w14:textId="77777777" w:rsidR="00AE4A0A" w:rsidRPr="00AE4A0A" w:rsidRDefault="00AE4A0A" w:rsidP="00AE4A0A">
      <w:r w:rsidRPr="00AE4A0A">
        <w:t>To achieve long-term resilience and sustained competitive advantage in dynamic global markets, modern organizations must permanently move away from static strategic planning and reactive cost reduction (Porter, 2008; Teece, Pisano and Shuen, 1997). Executive leadership and strategic decision makers must integrate robust risk management frameworks, economic forecasting, and flexible scenario planning into the core of their strategic formulation processes (Whittington et al., 2020). Developing high-level dynamic capabilities allows organizations to continuously sense external macroeconomic shifts, seize emerging market opportunities, and reconfigure internal operational resources before economic shocks compromise financial stability (Teece, 2007). This proactive strategic posture transforms external market volatility into a potential source of competitive differentiation (Grant, 2019).</w:t>
      </w:r>
    </w:p>
    <w:p w14:paraId="59F3BCB4" w14:textId="77777777" w:rsidR="00AE4A0A" w:rsidRPr="00AE4A0A" w:rsidRDefault="00AE4A0A" w:rsidP="00AE4A0A">
      <w:r w:rsidRPr="00AE4A0A">
        <w:t>Ultimately, executive leadership and Strategic Human Resource Management must serve as a continuous bridge connecting external socioeconomic realities with internal operational execution (Wright and McMahan, 1992; Whittington et al., 2020). By aligning talent management policies, capital allocation choices, and market expansion strategies with broader economic trends, contemporary enterprises can build organizational agility (Schuler and Jackson, 1987; Teece, 2007). In an increasingly volatile global economy, businesses that continuously monitor sociodemographic transformations, evaluate macroeconomic indicators, and maintain flexible operational structures will remain best positioned to navigate economic turbulence, protect corporate performance, and secure long-term market leadership (Porter, 2008; Sloman, Guest and Garratt, 2016).</w:t>
      </w:r>
    </w:p>
    <w:p w14:paraId="100608AB" w14:textId="77777777" w:rsidR="006773B5" w:rsidRPr="006773B5" w:rsidRDefault="006773B5" w:rsidP="006773B5"/>
    <w:p w14:paraId="2825F858" w14:textId="6F80193E" w:rsidR="006773B5" w:rsidRPr="006773B5" w:rsidRDefault="006773B5" w:rsidP="00412CF5">
      <w:pPr>
        <w:pStyle w:val="Heading1"/>
      </w:pPr>
      <w:bookmarkStart w:id="7" w:name="_Toc239390851"/>
      <w:r w:rsidRPr="006773B5">
        <w:t>References</w:t>
      </w:r>
      <w:bookmarkEnd w:id="7"/>
    </w:p>
    <w:p w14:paraId="633B7DC5" w14:textId="69951715" w:rsidR="006773B5" w:rsidRPr="006773B5" w:rsidRDefault="006773B5" w:rsidP="006773B5">
      <w:r w:rsidRPr="006773B5">
        <w:t xml:space="preserve">Blanchard, O. (2021) </w:t>
      </w:r>
      <w:r w:rsidRPr="006773B5">
        <w:rPr>
          <w:i/>
          <w:iCs/>
        </w:rPr>
        <w:t>Macroeconomics</w:t>
      </w:r>
      <w:r w:rsidRPr="006773B5">
        <w:t xml:space="preserve">. 8th </w:t>
      </w:r>
      <w:proofErr w:type="spellStart"/>
      <w:r w:rsidRPr="006773B5">
        <w:t>edn</w:t>
      </w:r>
      <w:proofErr w:type="spellEnd"/>
      <w:r w:rsidRPr="006773B5">
        <w:t>. New York: Pearson.</w:t>
      </w:r>
    </w:p>
    <w:p w14:paraId="60281AF2" w14:textId="02DE8068" w:rsidR="006773B5" w:rsidRPr="006773B5" w:rsidRDefault="006773B5" w:rsidP="006773B5">
      <w:r w:rsidRPr="006773B5">
        <w:t xml:space="preserve">Brealey, R.A., Myers, S.C. and Allen, F. (2020) </w:t>
      </w:r>
      <w:r w:rsidRPr="006773B5">
        <w:rPr>
          <w:i/>
          <w:iCs/>
        </w:rPr>
        <w:t>Principles of Corporate Finance</w:t>
      </w:r>
      <w:r w:rsidRPr="006773B5">
        <w:t xml:space="preserve">. 13th </w:t>
      </w:r>
      <w:proofErr w:type="spellStart"/>
      <w:r w:rsidRPr="006773B5">
        <w:t>edn</w:t>
      </w:r>
      <w:proofErr w:type="spellEnd"/>
      <w:r w:rsidRPr="006773B5">
        <w:t>. New York: McGraw-Hill Education.</w:t>
      </w:r>
    </w:p>
    <w:p w14:paraId="492597F4" w14:textId="662FFE68" w:rsidR="006773B5" w:rsidRPr="006773B5" w:rsidRDefault="006773B5" w:rsidP="006773B5">
      <w:r w:rsidRPr="006773B5">
        <w:lastRenderedPageBreak/>
        <w:t xml:space="preserve">Grant, R.M. (2019) </w:t>
      </w:r>
      <w:r w:rsidRPr="006773B5">
        <w:rPr>
          <w:i/>
          <w:iCs/>
        </w:rPr>
        <w:t>Contemporary Strategy Analysis</w:t>
      </w:r>
      <w:r w:rsidRPr="006773B5">
        <w:t xml:space="preserve">. 10th </w:t>
      </w:r>
      <w:proofErr w:type="spellStart"/>
      <w:r w:rsidRPr="006773B5">
        <w:t>edn</w:t>
      </w:r>
      <w:proofErr w:type="spellEnd"/>
      <w:r w:rsidRPr="006773B5">
        <w:t>. Chichester: John Wiley and Sons.</w:t>
      </w:r>
    </w:p>
    <w:p w14:paraId="2BE9B90B" w14:textId="4FB367D6" w:rsidR="006773B5" w:rsidRPr="006773B5" w:rsidRDefault="006773B5" w:rsidP="006773B5">
      <w:r w:rsidRPr="006773B5">
        <w:t xml:space="preserve">Hill, C.W. and Hult, G.T.M. (2020) </w:t>
      </w:r>
      <w:r w:rsidRPr="006773B5">
        <w:rPr>
          <w:i/>
          <w:iCs/>
        </w:rPr>
        <w:t>International Business: Competing in the Global Marketplace</w:t>
      </w:r>
      <w:r w:rsidRPr="006773B5">
        <w:t xml:space="preserve">. 13th </w:t>
      </w:r>
      <w:proofErr w:type="spellStart"/>
      <w:r w:rsidRPr="006773B5">
        <w:t>edn</w:t>
      </w:r>
      <w:proofErr w:type="spellEnd"/>
      <w:r w:rsidRPr="006773B5">
        <w:t>. New York: McGraw-Hill Education.</w:t>
      </w:r>
    </w:p>
    <w:p w14:paraId="24319520" w14:textId="2E758A5D" w:rsidR="006773B5" w:rsidRPr="006773B5" w:rsidRDefault="006773B5" w:rsidP="006773B5">
      <w:r w:rsidRPr="006773B5">
        <w:t xml:space="preserve">Johnson, G., Scholes, K. and Whittington, R. (2008) </w:t>
      </w:r>
      <w:r w:rsidRPr="006773B5">
        <w:rPr>
          <w:i/>
          <w:iCs/>
        </w:rPr>
        <w:t>Exploring Corporate Strategy: Text and Cases</w:t>
      </w:r>
      <w:r w:rsidRPr="006773B5">
        <w:t xml:space="preserve">. 8th </w:t>
      </w:r>
      <w:proofErr w:type="spellStart"/>
      <w:r w:rsidRPr="006773B5">
        <w:t>edn</w:t>
      </w:r>
      <w:proofErr w:type="spellEnd"/>
      <w:r w:rsidRPr="006773B5">
        <w:t>. Harlow: Financial Times Prentice Hall.</w:t>
      </w:r>
    </w:p>
    <w:p w14:paraId="3C5CBE4A" w14:textId="4A20B0F5" w:rsidR="006773B5" w:rsidRPr="006773B5" w:rsidRDefault="006773B5" w:rsidP="006773B5">
      <w:r w:rsidRPr="006773B5">
        <w:t xml:space="preserve">Kotler, P. and Keller, K.L. (2016) </w:t>
      </w:r>
      <w:r w:rsidRPr="006773B5">
        <w:rPr>
          <w:i/>
          <w:iCs/>
        </w:rPr>
        <w:t>Marketing Management</w:t>
      </w:r>
      <w:r w:rsidRPr="006773B5">
        <w:t xml:space="preserve">. 15th </w:t>
      </w:r>
      <w:proofErr w:type="spellStart"/>
      <w:r w:rsidRPr="006773B5">
        <w:t>edn</w:t>
      </w:r>
      <w:proofErr w:type="spellEnd"/>
      <w:r w:rsidRPr="006773B5">
        <w:t>. Boston: Pearson.</w:t>
      </w:r>
    </w:p>
    <w:p w14:paraId="1BE8D30B" w14:textId="2FC85E38" w:rsidR="006773B5" w:rsidRPr="006773B5" w:rsidRDefault="006773B5" w:rsidP="006773B5">
      <w:r w:rsidRPr="006773B5">
        <w:t xml:space="preserve">Mankiw, N.G. (2020) </w:t>
      </w:r>
      <w:r w:rsidRPr="006773B5">
        <w:rPr>
          <w:i/>
          <w:iCs/>
        </w:rPr>
        <w:t>Principles of Economics</w:t>
      </w:r>
      <w:r w:rsidRPr="006773B5">
        <w:t xml:space="preserve">. 9th </w:t>
      </w:r>
      <w:proofErr w:type="spellStart"/>
      <w:r w:rsidRPr="006773B5">
        <w:t>edn</w:t>
      </w:r>
      <w:proofErr w:type="spellEnd"/>
      <w:r w:rsidRPr="006773B5">
        <w:t>. Boston: Cengage Learning.</w:t>
      </w:r>
    </w:p>
    <w:p w14:paraId="4B2B731C" w14:textId="470ED3E6" w:rsidR="006773B5" w:rsidRPr="006773B5" w:rsidRDefault="006773B5" w:rsidP="006773B5">
      <w:r w:rsidRPr="006773B5">
        <w:t xml:space="preserve">Porter, M.E. (2008) 'The five competitive forces that shape strategy', </w:t>
      </w:r>
      <w:r w:rsidRPr="006773B5">
        <w:rPr>
          <w:i/>
          <w:iCs/>
        </w:rPr>
        <w:t>Harvard Business Review</w:t>
      </w:r>
      <w:r w:rsidRPr="006773B5">
        <w:t>, 86(1), pp. 78-93.</w:t>
      </w:r>
    </w:p>
    <w:p w14:paraId="614106C6" w14:textId="33B336E0" w:rsidR="006773B5" w:rsidRPr="006773B5" w:rsidRDefault="006773B5" w:rsidP="006773B5">
      <w:r w:rsidRPr="006773B5">
        <w:t xml:space="preserve">Prahalad, C.K. (2006) </w:t>
      </w:r>
      <w:r w:rsidRPr="006773B5">
        <w:rPr>
          <w:i/>
          <w:iCs/>
        </w:rPr>
        <w:t>The Fortune at the Bottom of the Pyramid: Eradicating Poverty Through Profits</w:t>
      </w:r>
      <w:r w:rsidRPr="006773B5">
        <w:t>. Upper Saddle River: Wharton School Publishing.</w:t>
      </w:r>
    </w:p>
    <w:p w14:paraId="225D4CA7" w14:textId="4B03B887" w:rsidR="006773B5" w:rsidRPr="006773B5" w:rsidRDefault="006773B5" w:rsidP="006773B5">
      <w:r w:rsidRPr="006773B5">
        <w:t xml:space="preserve">Rothwell, W.J. (2010) </w:t>
      </w:r>
      <w:r w:rsidRPr="006773B5">
        <w:rPr>
          <w:i/>
          <w:iCs/>
        </w:rPr>
        <w:t>Effective Succession Planning: Ensuring Leadership Continuity and Building Talent from Within</w:t>
      </w:r>
      <w:r w:rsidRPr="006773B5">
        <w:t xml:space="preserve">. 4th </w:t>
      </w:r>
      <w:proofErr w:type="spellStart"/>
      <w:r w:rsidRPr="006773B5">
        <w:t>edn</w:t>
      </w:r>
      <w:proofErr w:type="spellEnd"/>
      <w:r w:rsidRPr="006773B5">
        <w:t xml:space="preserve">. New York: </w:t>
      </w:r>
      <w:proofErr w:type="spellStart"/>
      <w:r w:rsidRPr="006773B5">
        <w:t>Amacom</w:t>
      </w:r>
      <w:proofErr w:type="spellEnd"/>
      <w:r w:rsidRPr="006773B5">
        <w:t>.</w:t>
      </w:r>
    </w:p>
    <w:p w14:paraId="23ED4207" w14:textId="1EEEE207" w:rsidR="006773B5" w:rsidRPr="006773B5" w:rsidRDefault="006773B5" w:rsidP="006773B5">
      <w:r w:rsidRPr="006773B5">
        <w:t xml:space="preserve">Saunders, M., Lewis, P. and Thornhill, A. (2019) </w:t>
      </w:r>
      <w:r w:rsidRPr="006773B5">
        <w:rPr>
          <w:i/>
          <w:iCs/>
        </w:rPr>
        <w:t>Research Methods for Business Students</w:t>
      </w:r>
      <w:r w:rsidRPr="006773B5">
        <w:t xml:space="preserve">. 8th </w:t>
      </w:r>
      <w:proofErr w:type="spellStart"/>
      <w:r w:rsidRPr="006773B5">
        <w:t>edn</w:t>
      </w:r>
      <w:proofErr w:type="spellEnd"/>
      <w:r w:rsidRPr="006773B5">
        <w:t>. Harlow: Pearson Education.</w:t>
      </w:r>
    </w:p>
    <w:p w14:paraId="176999AA" w14:textId="7C7DF5CF" w:rsidR="006773B5" w:rsidRPr="006773B5" w:rsidRDefault="006773B5" w:rsidP="006773B5">
      <w:r w:rsidRPr="006773B5">
        <w:t xml:space="preserve">Schuler, R.S. and Jackson, S.E. (1987) 'Linking competitive strategies with human resource management practices', </w:t>
      </w:r>
      <w:r w:rsidRPr="006773B5">
        <w:rPr>
          <w:i/>
          <w:iCs/>
        </w:rPr>
        <w:t>Academy of Management Executive</w:t>
      </w:r>
      <w:r w:rsidRPr="006773B5">
        <w:t>, 1(3), pp. 207-219.</w:t>
      </w:r>
    </w:p>
    <w:p w14:paraId="207D951C" w14:textId="3F8D4D48" w:rsidR="006773B5" w:rsidRPr="006773B5" w:rsidRDefault="006773B5" w:rsidP="006773B5">
      <w:r w:rsidRPr="006773B5">
        <w:t xml:space="preserve">Sloman, J., Guest, J. and Garratt, D. (2016) </w:t>
      </w:r>
      <w:r w:rsidRPr="006773B5">
        <w:rPr>
          <w:i/>
          <w:iCs/>
        </w:rPr>
        <w:t>Economics for Business</w:t>
      </w:r>
      <w:r w:rsidRPr="006773B5">
        <w:t xml:space="preserve">. 7th </w:t>
      </w:r>
      <w:proofErr w:type="spellStart"/>
      <w:r w:rsidRPr="006773B5">
        <w:t>edn</w:t>
      </w:r>
      <w:proofErr w:type="spellEnd"/>
      <w:r w:rsidRPr="006773B5">
        <w:t>. Harlow: Pearson Education.</w:t>
      </w:r>
    </w:p>
    <w:p w14:paraId="5AA7B486" w14:textId="3BEE9B19" w:rsidR="006773B5" w:rsidRPr="006773B5" w:rsidRDefault="006773B5" w:rsidP="006773B5">
      <w:r w:rsidRPr="006773B5">
        <w:t xml:space="preserve">Teece, D.J. (2007) 'Explicating dynamic capabilities: The nature and </w:t>
      </w:r>
      <w:proofErr w:type="spellStart"/>
      <w:r w:rsidRPr="006773B5">
        <w:t>microfoundations</w:t>
      </w:r>
      <w:proofErr w:type="spellEnd"/>
      <w:r w:rsidRPr="006773B5">
        <w:t xml:space="preserve"> of (sustainable) enterprise performance', </w:t>
      </w:r>
      <w:r w:rsidRPr="006773B5">
        <w:rPr>
          <w:i/>
          <w:iCs/>
        </w:rPr>
        <w:t>Strategic Management Journal</w:t>
      </w:r>
      <w:r w:rsidRPr="006773B5">
        <w:t>, 28(13), pp. 1319-1350.</w:t>
      </w:r>
    </w:p>
    <w:p w14:paraId="226050F9" w14:textId="561930C3" w:rsidR="006773B5" w:rsidRPr="006773B5" w:rsidRDefault="006773B5" w:rsidP="006773B5">
      <w:r w:rsidRPr="006773B5">
        <w:t xml:space="preserve">Teece, D.J., Pisano, G. and Shuen, A. (1997) 'Dynamic capabilities and strategic management', </w:t>
      </w:r>
      <w:r w:rsidRPr="006773B5">
        <w:rPr>
          <w:i/>
          <w:iCs/>
        </w:rPr>
        <w:t>Strategic Management Journal</w:t>
      </w:r>
      <w:r w:rsidRPr="006773B5">
        <w:t>, 18(7), pp. 509-533.</w:t>
      </w:r>
    </w:p>
    <w:p w14:paraId="3605D540" w14:textId="4E8791F3" w:rsidR="006773B5" w:rsidRPr="006773B5" w:rsidRDefault="006773B5" w:rsidP="006773B5">
      <w:proofErr w:type="spellStart"/>
      <w:r w:rsidRPr="006773B5">
        <w:t>Unido</w:t>
      </w:r>
      <w:proofErr w:type="spellEnd"/>
      <w:r w:rsidRPr="006773B5">
        <w:t xml:space="preserve"> (2019) </w:t>
      </w:r>
      <w:r w:rsidRPr="006773B5">
        <w:rPr>
          <w:i/>
          <w:iCs/>
        </w:rPr>
        <w:t>Industrial Development Report 2020: Industrializing in the Digital Age</w:t>
      </w:r>
      <w:r w:rsidRPr="006773B5">
        <w:t>. Vienna: United Nations Industrial Development Organization.</w:t>
      </w:r>
    </w:p>
    <w:p w14:paraId="6876E92F" w14:textId="66BAB6AD" w:rsidR="006773B5" w:rsidRPr="006773B5" w:rsidRDefault="006773B5" w:rsidP="006773B5">
      <w:r w:rsidRPr="006773B5">
        <w:t xml:space="preserve">Whittington, R., Regner, P., Angwin, D., Johnson, G. and Scholes, K. (2020) </w:t>
      </w:r>
      <w:r w:rsidRPr="006773B5">
        <w:rPr>
          <w:i/>
          <w:iCs/>
        </w:rPr>
        <w:t>Exploring Strategy: Text and Cases</w:t>
      </w:r>
      <w:r w:rsidRPr="006773B5">
        <w:t xml:space="preserve">. 12th </w:t>
      </w:r>
      <w:proofErr w:type="spellStart"/>
      <w:r w:rsidRPr="006773B5">
        <w:t>edn</w:t>
      </w:r>
      <w:proofErr w:type="spellEnd"/>
      <w:r w:rsidRPr="006773B5">
        <w:t>. Harlow: Pearson Education.</w:t>
      </w:r>
    </w:p>
    <w:p w14:paraId="64B71BAF" w14:textId="69445131" w:rsidR="00F41090" w:rsidRDefault="006773B5">
      <w:r w:rsidRPr="006773B5">
        <w:t xml:space="preserve">Wright, P.M. and McMahan, G.C. (1992) 'Theoretical perspectives for strategic human resource management', </w:t>
      </w:r>
      <w:r w:rsidRPr="006773B5">
        <w:rPr>
          <w:i/>
          <w:iCs/>
        </w:rPr>
        <w:t>Journal of Management</w:t>
      </w:r>
      <w:r w:rsidRPr="006773B5">
        <w:t>, 18(2), pp. 295-320.</w:t>
      </w:r>
    </w:p>
    <w:sectPr w:rsidR="00F41090"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10A416" w14:textId="77777777" w:rsidR="00F07442" w:rsidRDefault="00F07442" w:rsidP="00D65F10">
      <w:pPr>
        <w:spacing w:after="0" w:line="240" w:lineRule="auto"/>
      </w:pPr>
      <w:r>
        <w:separator/>
      </w:r>
    </w:p>
  </w:endnote>
  <w:endnote w:type="continuationSeparator" w:id="0">
    <w:p w14:paraId="14D5DE48" w14:textId="77777777" w:rsidR="00F07442" w:rsidRDefault="00F07442" w:rsidP="00D6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01282"/>
      <w:docPartObj>
        <w:docPartGallery w:val="Page Numbers (Bottom of Page)"/>
        <w:docPartUnique/>
      </w:docPartObj>
    </w:sdtPr>
    <w:sdtContent>
      <w:p w14:paraId="64B71BB6" w14:textId="77777777" w:rsidR="004E71B8" w:rsidRDefault="004F078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4B71BB7" w14:textId="77777777" w:rsidR="004E71B8" w:rsidRDefault="004E7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A30BA1" w14:textId="77777777" w:rsidR="00F07442" w:rsidRDefault="00F07442" w:rsidP="00D65F10">
      <w:pPr>
        <w:spacing w:after="0" w:line="240" w:lineRule="auto"/>
      </w:pPr>
      <w:r>
        <w:separator/>
      </w:r>
    </w:p>
  </w:footnote>
  <w:footnote w:type="continuationSeparator" w:id="0">
    <w:p w14:paraId="21906B28" w14:textId="77777777" w:rsidR="00F07442" w:rsidRDefault="00F07442" w:rsidP="00D65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842EF"/>
    <w:multiLevelType w:val="multilevel"/>
    <w:tmpl w:val="15E42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D171740"/>
    <w:multiLevelType w:val="multilevel"/>
    <w:tmpl w:val="5CBAD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14700DB"/>
    <w:multiLevelType w:val="multilevel"/>
    <w:tmpl w:val="E40AFD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17805434">
    <w:abstractNumId w:val="0"/>
  </w:num>
  <w:num w:numId="2" w16cid:durableId="1702439545">
    <w:abstractNumId w:val="2"/>
  </w:num>
  <w:num w:numId="3" w16cid:durableId="17937426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117D6"/>
    <w:rsid w:val="0001391B"/>
    <w:rsid w:val="0003666C"/>
    <w:rsid w:val="000A7C18"/>
    <w:rsid w:val="000C0AEC"/>
    <w:rsid w:val="0011048F"/>
    <w:rsid w:val="001B52AA"/>
    <w:rsid w:val="0023200A"/>
    <w:rsid w:val="00236272"/>
    <w:rsid w:val="00242B81"/>
    <w:rsid w:val="00244DCC"/>
    <w:rsid w:val="00276A9F"/>
    <w:rsid w:val="0029149D"/>
    <w:rsid w:val="00297169"/>
    <w:rsid w:val="002E5160"/>
    <w:rsid w:val="003C10B0"/>
    <w:rsid w:val="00412CF5"/>
    <w:rsid w:val="004443B2"/>
    <w:rsid w:val="00461940"/>
    <w:rsid w:val="00493019"/>
    <w:rsid w:val="00495673"/>
    <w:rsid w:val="004A0D7B"/>
    <w:rsid w:val="004A0F17"/>
    <w:rsid w:val="004A1BAD"/>
    <w:rsid w:val="004E71B8"/>
    <w:rsid w:val="004E7CF9"/>
    <w:rsid w:val="004F0783"/>
    <w:rsid w:val="0053107B"/>
    <w:rsid w:val="005325DF"/>
    <w:rsid w:val="00595EA3"/>
    <w:rsid w:val="005A39BC"/>
    <w:rsid w:val="005A690A"/>
    <w:rsid w:val="005A6928"/>
    <w:rsid w:val="005E01BE"/>
    <w:rsid w:val="00637D4C"/>
    <w:rsid w:val="00641FC0"/>
    <w:rsid w:val="00644D15"/>
    <w:rsid w:val="00665CA7"/>
    <w:rsid w:val="006773B5"/>
    <w:rsid w:val="006E40ED"/>
    <w:rsid w:val="00702BBE"/>
    <w:rsid w:val="0070725F"/>
    <w:rsid w:val="00746FFA"/>
    <w:rsid w:val="007E27E6"/>
    <w:rsid w:val="007F54BF"/>
    <w:rsid w:val="007F6ED5"/>
    <w:rsid w:val="00861984"/>
    <w:rsid w:val="00965892"/>
    <w:rsid w:val="009B072E"/>
    <w:rsid w:val="009B1140"/>
    <w:rsid w:val="009C516E"/>
    <w:rsid w:val="009E6A7F"/>
    <w:rsid w:val="009F7DA4"/>
    <w:rsid w:val="00AC75D6"/>
    <w:rsid w:val="00AE4A0A"/>
    <w:rsid w:val="00B62786"/>
    <w:rsid w:val="00BC2217"/>
    <w:rsid w:val="00BD38D8"/>
    <w:rsid w:val="00BF71B8"/>
    <w:rsid w:val="00C159B0"/>
    <w:rsid w:val="00CB020C"/>
    <w:rsid w:val="00CD6DF1"/>
    <w:rsid w:val="00D025FB"/>
    <w:rsid w:val="00D51940"/>
    <w:rsid w:val="00D65F10"/>
    <w:rsid w:val="00D80094"/>
    <w:rsid w:val="00E25D2C"/>
    <w:rsid w:val="00E844E1"/>
    <w:rsid w:val="00F07442"/>
    <w:rsid w:val="00F41090"/>
    <w:rsid w:val="00F53663"/>
    <w:rsid w:val="00FF5FCB"/>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71B51"/>
  <w15:docId w15:val="{F0FC7BE6-68C6-483E-BA90-ACB2D3A2F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E25D2C"/>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unhideWhenUsed/>
    <w:qFormat/>
    <w:rsid w:val="00644D1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E25D2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D2C"/>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E25D2C"/>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E25D2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E25D2C"/>
    <w:rPr>
      <w:b/>
      <w:bCs/>
    </w:rPr>
  </w:style>
  <w:style w:type="character" w:styleId="Emphasis">
    <w:name w:val="Emphasis"/>
    <w:basedOn w:val="DefaultParagraphFont"/>
    <w:uiPriority w:val="20"/>
    <w:qFormat/>
    <w:rsid w:val="00E25D2C"/>
    <w:rPr>
      <w:i/>
      <w:iCs/>
    </w:rPr>
  </w:style>
  <w:style w:type="paragraph" w:styleId="BalloonText">
    <w:name w:val="Balloon Text"/>
    <w:basedOn w:val="Normal"/>
    <w:link w:val="BalloonTextChar"/>
    <w:uiPriority w:val="99"/>
    <w:semiHidden/>
    <w:unhideWhenUsed/>
    <w:rsid w:val="00E84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4E1"/>
    <w:rPr>
      <w:rFonts w:ascii="Tahoma" w:hAnsi="Tahoma" w:cs="Tahoma"/>
      <w:sz w:val="16"/>
      <w:szCs w:val="16"/>
    </w:rPr>
  </w:style>
  <w:style w:type="paragraph" w:styleId="Header">
    <w:name w:val="header"/>
    <w:basedOn w:val="Normal"/>
    <w:link w:val="HeaderChar"/>
    <w:uiPriority w:val="99"/>
    <w:semiHidden/>
    <w:unhideWhenUsed/>
    <w:rsid w:val="00D65F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5F10"/>
  </w:style>
  <w:style w:type="paragraph" w:styleId="Footer">
    <w:name w:val="footer"/>
    <w:basedOn w:val="Normal"/>
    <w:link w:val="FooterChar"/>
    <w:uiPriority w:val="99"/>
    <w:unhideWhenUsed/>
    <w:rsid w:val="00D65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F10"/>
  </w:style>
  <w:style w:type="paragraph" w:styleId="TOCHeading">
    <w:name w:val="TOC Heading"/>
    <w:basedOn w:val="Heading1"/>
    <w:next w:val="Normal"/>
    <w:uiPriority w:val="39"/>
    <w:unhideWhenUsed/>
    <w:qFormat/>
    <w:rsid w:val="00595EA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595EA3"/>
    <w:pPr>
      <w:spacing w:after="100"/>
    </w:pPr>
  </w:style>
  <w:style w:type="character" w:styleId="Hyperlink">
    <w:name w:val="Hyperlink"/>
    <w:basedOn w:val="DefaultParagraphFont"/>
    <w:uiPriority w:val="99"/>
    <w:unhideWhenUsed/>
    <w:rsid w:val="00595EA3"/>
    <w:rPr>
      <w:color w:val="0000FF" w:themeColor="hyperlink"/>
      <w:u w:val="single"/>
    </w:rPr>
  </w:style>
  <w:style w:type="character" w:customStyle="1" w:styleId="Heading2Char">
    <w:name w:val="Heading 2 Char"/>
    <w:basedOn w:val="DefaultParagraphFont"/>
    <w:link w:val="Heading2"/>
    <w:uiPriority w:val="9"/>
    <w:rsid w:val="00644D15"/>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29716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8619">
      <w:bodyDiv w:val="1"/>
      <w:marLeft w:val="0"/>
      <w:marRight w:val="0"/>
      <w:marTop w:val="0"/>
      <w:marBottom w:val="0"/>
      <w:divBdr>
        <w:top w:val="none" w:sz="0" w:space="0" w:color="auto"/>
        <w:left w:val="none" w:sz="0" w:space="0" w:color="auto"/>
        <w:bottom w:val="none" w:sz="0" w:space="0" w:color="auto"/>
        <w:right w:val="none" w:sz="0" w:space="0" w:color="auto"/>
      </w:divBdr>
    </w:div>
    <w:div w:id="1027953552">
      <w:bodyDiv w:val="1"/>
      <w:marLeft w:val="0"/>
      <w:marRight w:val="0"/>
      <w:marTop w:val="0"/>
      <w:marBottom w:val="0"/>
      <w:divBdr>
        <w:top w:val="none" w:sz="0" w:space="0" w:color="auto"/>
        <w:left w:val="none" w:sz="0" w:space="0" w:color="auto"/>
        <w:bottom w:val="none" w:sz="0" w:space="0" w:color="auto"/>
        <w:right w:val="none" w:sz="0" w:space="0" w:color="auto"/>
      </w:divBdr>
    </w:div>
    <w:div w:id="1152261210">
      <w:bodyDiv w:val="1"/>
      <w:marLeft w:val="0"/>
      <w:marRight w:val="0"/>
      <w:marTop w:val="0"/>
      <w:marBottom w:val="0"/>
      <w:divBdr>
        <w:top w:val="none" w:sz="0" w:space="0" w:color="auto"/>
        <w:left w:val="none" w:sz="0" w:space="0" w:color="auto"/>
        <w:bottom w:val="none" w:sz="0" w:space="0" w:color="auto"/>
        <w:right w:val="none" w:sz="0" w:space="0" w:color="auto"/>
      </w:divBdr>
    </w:div>
    <w:div w:id="1323509991">
      <w:bodyDiv w:val="1"/>
      <w:marLeft w:val="0"/>
      <w:marRight w:val="0"/>
      <w:marTop w:val="0"/>
      <w:marBottom w:val="0"/>
      <w:divBdr>
        <w:top w:val="none" w:sz="0" w:space="0" w:color="auto"/>
        <w:left w:val="none" w:sz="0" w:space="0" w:color="auto"/>
        <w:bottom w:val="none" w:sz="0" w:space="0" w:color="auto"/>
        <w:right w:val="none" w:sz="0" w:space="0" w:color="auto"/>
      </w:divBdr>
    </w:div>
    <w:div w:id="1364744202">
      <w:bodyDiv w:val="1"/>
      <w:marLeft w:val="0"/>
      <w:marRight w:val="0"/>
      <w:marTop w:val="0"/>
      <w:marBottom w:val="0"/>
      <w:divBdr>
        <w:top w:val="none" w:sz="0" w:space="0" w:color="auto"/>
        <w:left w:val="none" w:sz="0" w:space="0" w:color="auto"/>
        <w:bottom w:val="none" w:sz="0" w:space="0" w:color="auto"/>
        <w:right w:val="none" w:sz="0" w:space="0" w:color="auto"/>
      </w:divBdr>
    </w:div>
    <w:div w:id="1535970104">
      <w:bodyDiv w:val="1"/>
      <w:marLeft w:val="0"/>
      <w:marRight w:val="0"/>
      <w:marTop w:val="0"/>
      <w:marBottom w:val="0"/>
      <w:divBdr>
        <w:top w:val="none" w:sz="0" w:space="0" w:color="auto"/>
        <w:left w:val="none" w:sz="0" w:space="0" w:color="auto"/>
        <w:bottom w:val="none" w:sz="0" w:space="0" w:color="auto"/>
        <w:right w:val="none" w:sz="0" w:space="0" w:color="auto"/>
      </w:divBdr>
    </w:div>
    <w:div w:id="210699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D702A-85D1-47CB-B602-51EB1A249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12</Pages>
  <Words>4893</Words>
  <Characters>27893</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 Saxena</cp:lastModifiedBy>
  <cp:revision>46</cp:revision>
  <dcterms:created xsi:type="dcterms:W3CDTF">2025-11-18T15:41:00Z</dcterms:created>
  <dcterms:modified xsi:type="dcterms:W3CDTF">2026-09-04T09:48:00Z</dcterms:modified>
</cp:coreProperties>
</file>