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3BC6D">
      <w:pPr>
        <w:jc w:val="center"/>
        <w:rPr>
          <w:b/>
          <w:bCs/>
          <w:sz w:val="48"/>
          <w:szCs w:val="48"/>
        </w:rPr>
      </w:pPr>
      <w:bookmarkStart w:id="0" w:name="_GoBack"/>
      <w:bookmarkEnd w:id="0"/>
      <w:r>
        <w:rPr>
          <w:b/>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53" descr="European Institute of Innovation, Entrepreneurship and Technology"/>
                    <pic:cNvPicPr>
                      <a:picLocks noChangeAspect="1" noChangeArrowheads="1"/>
                    </pic:cNvPicPr>
                  </pic:nvPicPr>
                  <pic:blipFill>
                    <a:blip r:embed="rId6"/>
                    <a:srcRect/>
                    <a:stretch>
                      <a:fillRect/>
                    </a:stretch>
                  </pic:blipFill>
                  <pic:spPr>
                    <a:xfrm>
                      <a:off x="0" y="0"/>
                      <a:ext cx="5474970" cy="1715770"/>
                    </a:xfrm>
                    <a:prstGeom prst="rect">
                      <a:avLst/>
                    </a:prstGeom>
                    <a:noFill/>
                    <a:ln w="9525">
                      <a:noFill/>
                      <a:miter lim="800000"/>
                      <a:headEnd/>
                      <a:tailEnd/>
                    </a:ln>
                  </pic:spPr>
                </pic:pic>
              </a:graphicData>
            </a:graphic>
          </wp:inline>
        </w:drawing>
      </w:r>
    </w:p>
    <w:p w14:paraId="2CD868AC">
      <w:pPr>
        <w:jc w:val="center"/>
        <w:rPr>
          <w:b/>
          <w:bCs/>
          <w:sz w:val="48"/>
          <w:szCs w:val="48"/>
        </w:rPr>
      </w:pPr>
      <w:r>
        <w:rPr>
          <w:b/>
          <w:bCs/>
          <w:sz w:val="48"/>
          <w:szCs w:val="48"/>
        </w:rPr>
        <w:t>Title: Strategic Workforce Recovery Plan for Peru’s Tourism Sector Post-Political Protests and Civil Unrest</w:t>
      </w:r>
    </w:p>
    <w:p w14:paraId="7D5EF772">
      <w:pPr>
        <w:jc w:val="center"/>
        <w:rPr>
          <w:sz w:val="44"/>
          <w:szCs w:val="44"/>
        </w:rPr>
      </w:pPr>
      <w:r>
        <w:rPr>
          <w:b/>
          <w:sz w:val="40"/>
          <w:szCs w:val="40"/>
        </w:rPr>
        <w:br w:type="textWrapping"/>
      </w:r>
      <w:r>
        <w:rPr>
          <w:sz w:val="40"/>
          <w:szCs w:val="40"/>
        </w:rPr>
        <w:br w:type="textWrapping"/>
      </w:r>
      <w:r>
        <w:rPr>
          <w:sz w:val="44"/>
          <w:szCs w:val="44"/>
        </w:rPr>
        <w:t>Student Name: Arun Sharma</w:t>
      </w:r>
      <w:r>
        <w:rPr>
          <w:sz w:val="44"/>
          <w:szCs w:val="44"/>
        </w:rPr>
        <w:br w:type="textWrapping"/>
      </w:r>
    </w:p>
    <w:p w14:paraId="5B593975">
      <w:pPr>
        <w:jc w:val="center"/>
        <w:rPr>
          <w:sz w:val="44"/>
          <w:szCs w:val="44"/>
        </w:rPr>
      </w:pPr>
      <w:r>
        <w:rPr>
          <w:sz w:val="44"/>
          <w:szCs w:val="44"/>
        </w:rPr>
        <w:t>Submission date: 25.06.2025</w:t>
      </w:r>
    </w:p>
    <w:p w14:paraId="58DBFDAB"/>
    <w:p w14:paraId="4A04CE47"/>
    <w:p w14:paraId="0ABF785E"/>
    <w:p w14:paraId="4A35D10D"/>
    <w:p w14:paraId="0CCB7B52"/>
    <w:p w14:paraId="339BA9DD"/>
    <w:p w14:paraId="47F4982E"/>
    <w:p w14:paraId="223AAC8D"/>
    <w:p w14:paraId="43B514D3">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Table of Contents</w:t>
      </w:r>
    </w:p>
    <w:p w14:paraId="629999AC">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Abstract</w:t>
      </w:r>
    </w:p>
    <w:p w14:paraId="1BD20EB0">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Introduction</w:t>
      </w:r>
    </w:p>
    <w:p w14:paraId="6A1A3619">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Literature Review</w:t>
      </w:r>
    </w:p>
    <w:p w14:paraId="5EAFC778">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Methodology</w:t>
      </w:r>
    </w:p>
    <w:p w14:paraId="622D593C">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Findings</w:t>
      </w:r>
    </w:p>
    <w:p w14:paraId="61A087F3">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Discussion</w:t>
      </w:r>
    </w:p>
    <w:p w14:paraId="69BF1100">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Conclusion</w:t>
      </w:r>
    </w:p>
    <w:p w14:paraId="674DF5B2">
      <w:pPr>
        <w:numPr>
          <w:ilvl w:val="0"/>
          <w:numId w:val="1"/>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References</w:t>
      </w:r>
    </w:p>
    <w:p w14:paraId="6D350180">
      <w:pPr>
        <w:spacing w:before="100" w:beforeAutospacing="1" w:after="100" w:afterAutospacing="1" w:line="240" w:lineRule="auto"/>
        <w:outlineLvl w:val="2"/>
        <w:rPr>
          <w:rFonts w:ascii="Times New Roman" w:hAnsi="Times New Roman" w:eastAsia="Times New Roman" w:cs="Times New Roman"/>
          <w:sz w:val="24"/>
          <w:szCs w:val="24"/>
        </w:rPr>
      </w:pPr>
    </w:p>
    <w:p w14:paraId="22998BDB">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Abstract</w:t>
      </w:r>
    </w:p>
    <w:p w14:paraId="4531CA62">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Peru's tourism industry, a key driver of employment and cultural diplomacy, was severely impacted by mass protests and political unrest in 2022–2023. These events disrupted travel, led to the closure of Machu Picchu, and resulted in widespread job losses across the sector. This report presents a strategic workforce recovery plan centered on labour stabilization, youth reintegration, Indigenous employment protection, and resilience building. Lessons are drawn from regional recovery models and adapted to Peru’s socio-political and geographical context.</w:t>
      </w:r>
    </w:p>
    <w:p w14:paraId="104CAE06">
      <w:pPr>
        <w:spacing w:before="100" w:beforeAutospacing="1" w:after="100" w:afterAutospacing="1" w:line="240" w:lineRule="auto"/>
        <w:outlineLvl w:val="2"/>
        <w:rPr>
          <w:rFonts w:ascii="Times New Roman" w:hAnsi="Times New Roman" w:eastAsia="Times New Roman" w:cs="Times New Roman"/>
          <w:sz w:val="24"/>
          <w:szCs w:val="24"/>
        </w:rPr>
      </w:pPr>
    </w:p>
    <w:p w14:paraId="45E20F10">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Introduction</w:t>
      </w:r>
    </w:p>
    <w:p w14:paraId="7339FE5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Tourism in Peru, especially cultural and eco-tourism linked to Machu Picchu and Andean heritage, accounts for nearly 10% of the country's GDP and employs over 1.2 million people (WTTC, 2021). However, political instability, including President Castillo’s ousting and widespread rural protests, paralyzed travel, forced tourist evacuations, and undermined trust in the sector. This report investigates the structural fragilities in Peru’s tourism labour market and offers a future-focused recovery strategy rooted in decentralization, Indigenous inclusion, and digital transformation.</w:t>
      </w:r>
    </w:p>
    <w:p w14:paraId="47347ADF">
      <w:pPr>
        <w:spacing w:before="100" w:beforeAutospacing="1" w:after="100" w:afterAutospacing="1" w:line="240" w:lineRule="auto"/>
        <w:outlineLvl w:val="2"/>
        <w:rPr>
          <w:rFonts w:ascii="Times New Roman" w:hAnsi="Times New Roman" w:eastAsia="Times New Roman" w:cs="Times New Roman"/>
          <w:sz w:val="24"/>
          <w:szCs w:val="24"/>
        </w:rPr>
      </w:pPr>
    </w:p>
    <w:p w14:paraId="4A05CC83">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Literature Review</w:t>
      </w:r>
    </w:p>
    <w:p w14:paraId="78A7F11A">
      <w:pPr>
        <w:spacing w:before="100" w:beforeAutospacing="1" w:after="100" w:afterAutospacing="1" w:line="240" w:lineRule="auto"/>
        <w:outlineLvl w:val="3"/>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 Pre-Unrest Tourism Labour Profile</w:t>
      </w:r>
    </w:p>
    <w:p w14:paraId="0B415B2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Peru’s tourism workforce is concentrated in Lima, Cusco, Puno, and Arequipa. Many jobs are seasonal, informal, and culturally embedded, particularly among Quechua-speaking and Indigenous communities. Women often work in markets, guiding, and homestay hospitality (ILO, 2019).</w:t>
      </w:r>
    </w:p>
    <w:p w14:paraId="2953AC85">
      <w:pPr>
        <w:spacing w:before="100" w:beforeAutospacing="1" w:after="100" w:afterAutospacing="1" w:line="240" w:lineRule="auto"/>
        <w:outlineLvl w:val="3"/>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 Effects of the Political Crisis</w:t>
      </w:r>
    </w:p>
    <w:p w14:paraId="1A02C684">
      <w:pPr>
        <w:numPr>
          <w:ilvl w:val="0"/>
          <w:numId w:val="2"/>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Over 300,000 tourism workers were temporarily or permanently laid off (MINCETUR, 2023).</w:t>
      </w:r>
    </w:p>
    <w:p w14:paraId="53431F58">
      <w:pPr>
        <w:numPr>
          <w:ilvl w:val="0"/>
          <w:numId w:val="2"/>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Violence in tourist zones disrupted jobs and forced small businesses to close.</w:t>
      </w:r>
    </w:p>
    <w:p w14:paraId="23738930">
      <w:pPr>
        <w:numPr>
          <w:ilvl w:val="0"/>
          <w:numId w:val="2"/>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Thousands of tourists were stranded; over 80% of bookings were cancelled in early 2023.</w:t>
      </w:r>
    </w:p>
    <w:p w14:paraId="36EB5DAB">
      <w:pPr>
        <w:numPr>
          <w:ilvl w:val="0"/>
          <w:numId w:val="2"/>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Many workers, especially in the highlands, reverted to agriculture due to tourism collapse.</w:t>
      </w:r>
    </w:p>
    <w:p w14:paraId="6DEF2B9D">
      <w:pPr>
        <w:spacing w:before="100" w:beforeAutospacing="1" w:after="100" w:afterAutospacing="1" w:line="240" w:lineRule="auto"/>
        <w:outlineLvl w:val="3"/>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3. Labour Sector Weaknesses</w:t>
      </w:r>
    </w:p>
    <w:p w14:paraId="60868EEC">
      <w:pPr>
        <w:numPr>
          <w:ilvl w:val="0"/>
          <w:numId w:val="3"/>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Informality</w:t>
      </w:r>
      <w:r>
        <w:rPr>
          <w:rFonts w:ascii="Times New Roman" w:hAnsi="Times New Roman" w:eastAsia="Times New Roman" w:cs="Times New Roman"/>
          <w:sz w:val="24"/>
          <w:szCs w:val="24"/>
        </w:rPr>
        <w:t>: Over 65% of tourism workers operate without formal contracts (INEI, 2021).</w:t>
      </w:r>
    </w:p>
    <w:p w14:paraId="77F2EF81">
      <w:pPr>
        <w:numPr>
          <w:ilvl w:val="0"/>
          <w:numId w:val="3"/>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Language &amp; Education Barriers</w:t>
      </w:r>
      <w:r>
        <w:rPr>
          <w:rFonts w:ascii="Times New Roman" w:hAnsi="Times New Roman" w:eastAsia="Times New Roman" w:cs="Times New Roman"/>
          <w:sz w:val="24"/>
          <w:szCs w:val="24"/>
        </w:rPr>
        <w:t>: Indigenous guides face limited access to structured training.</w:t>
      </w:r>
    </w:p>
    <w:p w14:paraId="3CC9186B">
      <w:pPr>
        <w:numPr>
          <w:ilvl w:val="0"/>
          <w:numId w:val="3"/>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Gender Inequities</w:t>
      </w:r>
      <w:r>
        <w:rPr>
          <w:rFonts w:ascii="Times New Roman" w:hAnsi="Times New Roman" w:eastAsia="Times New Roman" w:cs="Times New Roman"/>
          <w:sz w:val="24"/>
          <w:szCs w:val="24"/>
        </w:rPr>
        <w:t>: Limited upward mobility and exposure to harassment.</w:t>
      </w:r>
    </w:p>
    <w:p w14:paraId="6BD40855">
      <w:pPr>
        <w:numPr>
          <w:ilvl w:val="0"/>
          <w:numId w:val="3"/>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Weak Crisis Communication Infrastructure</w:t>
      </w:r>
    </w:p>
    <w:p w14:paraId="6023AE9B">
      <w:pPr>
        <w:spacing w:before="100" w:beforeAutospacing="1" w:after="100" w:afterAutospacing="1" w:line="240" w:lineRule="auto"/>
        <w:outlineLvl w:val="3"/>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4. Regional Recovery Case Insights</w:t>
      </w:r>
    </w:p>
    <w:p w14:paraId="5B80900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Colombia and Bolivia offer insights on tourism recovery in fragile political climates—emphasizing decentralization, rural inclusion, and digital storytelling (UNDP, 2020; WTTC, 2021).</w:t>
      </w:r>
    </w:p>
    <w:p w14:paraId="54FB8824">
      <w:pPr>
        <w:spacing w:before="100" w:beforeAutospacing="1" w:after="100" w:afterAutospacing="1" w:line="240" w:lineRule="auto"/>
        <w:outlineLvl w:val="2"/>
        <w:rPr>
          <w:rFonts w:ascii="Times New Roman" w:hAnsi="Times New Roman" w:eastAsia="Times New Roman" w:cs="Times New Roman"/>
          <w:sz w:val="24"/>
          <w:szCs w:val="24"/>
        </w:rPr>
      </w:pPr>
    </w:p>
    <w:p w14:paraId="043670E6">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Methodology</w:t>
      </w:r>
    </w:p>
    <w:p w14:paraId="5FA8502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plan relies on:</w:t>
      </w:r>
    </w:p>
    <w:p w14:paraId="4F9423AA">
      <w:pPr>
        <w:numPr>
          <w:ilvl w:val="0"/>
          <w:numId w:val="4"/>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Secondary data from Peru’s Ministry of Foreign Trade and Tourism (MINCETUR), ILO, and UNDP</w:t>
      </w:r>
    </w:p>
    <w:p w14:paraId="192D1635">
      <w:pPr>
        <w:numPr>
          <w:ilvl w:val="0"/>
          <w:numId w:val="4"/>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First-hand interviews from tourism NGO reports</w:t>
      </w:r>
    </w:p>
    <w:p w14:paraId="1E76AAEB">
      <w:pPr>
        <w:numPr>
          <w:ilvl w:val="0"/>
          <w:numId w:val="4"/>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Crisis case studies from Latin America</w:t>
      </w:r>
    </w:p>
    <w:p w14:paraId="4F4E381E">
      <w:pPr>
        <w:numPr>
          <w:ilvl w:val="0"/>
          <w:numId w:val="4"/>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Application of the ILO’s “Fair Recovery for Informal Workers” framework</w:t>
      </w:r>
    </w:p>
    <w:p w14:paraId="764A170C">
      <w:pPr>
        <w:spacing w:after="0" w:line="240" w:lineRule="auto"/>
        <w:rPr>
          <w:rFonts w:ascii="Times New Roman" w:hAnsi="Times New Roman" w:eastAsia="Times New Roman" w:cs="Times New Roman"/>
          <w:sz w:val="24"/>
          <w:szCs w:val="24"/>
        </w:rPr>
      </w:pPr>
    </w:p>
    <w:p w14:paraId="7882639E">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7"/>
          <w:szCs w:val="27"/>
        </w:rPr>
        <w:t>Findings</w:t>
      </w:r>
    </w:p>
    <w:p w14:paraId="3AE85EE5">
      <w:pPr>
        <w:spacing w:before="100" w:beforeAutospacing="1" w:after="100" w:afterAutospacing="1" w:line="240" w:lineRule="auto"/>
        <w:outlineLvl w:val="3"/>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1. Labour Market Overview: Before and After the Crisis</w:t>
      </w:r>
    </w:p>
    <w:tbl>
      <w:tblPr>
        <w:tblStyle w:val="6"/>
        <w:tblW w:w="0" w:type="auto"/>
        <w:tblCellSpacing w:w="15" w:type="dxa"/>
        <w:tblInd w:w="0" w:type="dxa"/>
        <w:tblLayout w:type="autofit"/>
        <w:tblCellMar>
          <w:top w:w="15" w:type="dxa"/>
          <w:left w:w="15" w:type="dxa"/>
          <w:bottom w:w="15" w:type="dxa"/>
          <w:right w:w="15" w:type="dxa"/>
        </w:tblCellMar>
      </w:tblPr>
      <w:tblGrid>
        <w:gridCol w:w="2642"/>
        <w:gridCol w:w="2493"/>
        <w:gridCol w:w="3015"/>
      </w:tblGrid>
      <w:tr w14:paraId="4A28FBD8">
        <w:tblPrEx>
          <w:tblCellMar>
            <w:top w:w="15" w:type="dxa"/>
            <w:left w:w="15" w:type="dxa"/>
            <w:bottom w:w="15" w:type="dxa"/>
            <w:right w:w="15" w:type="dxa"/>
          </w:tblCellMar>
        </w:tblPrEx>
        <w:trPr>
          <w:tblHeader/>
          <w:tblCellSpacing w:w="15" w:type="dxa"/>
        </w:trPr>
        <w:tc>
          <w:tcPr>
            <w:tcW w:w="0" w:type="auto"/>
            <w:vAlign w:val="center"/>
          </w:tcPr>
          <w:p w14:paraId="7735B4E0">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Metric</w:t>
            </w:r>
          </w:p>
        </w:tc>
        <w:tc>
          <w:tcPr>
            <w:tcW w:w="0" w:type="auto"/>
            <w:vAlign w:val="center"/>
          </w:tcPr>
          <w:p w14:paraId="3E4D9FA2">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2019 (Pre-Crisis)</w:t>
            </w:r>
          </w:p>
        </w:tc>
        <w:tc>
          <w:tcPr>
            <w:tcW w:w="0" w:type="auto"/>
            <w:vAlign w:val="center"/>
          </w:tcPr>
          <w:p w14:paraId="292403C2">
            <w:pPr>
              <w:spacing w:after="0" w:line="240" w:lineRule="auto"/>
              <w:jc w:val="center"/>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2023 (Post-Protest Period)</w:t>
            </w:r>
          </w:p>
        </w:tc>
      </w:tr>
      <w:tr w14:paraId="70A27DA3">
        <w:tblPrEx>
          <w:tblCellMar>
            <w:top w:w="15" w:type="dxa"/>
            <w:left w:w="15" w:type="dxa"/>
            <w:bottom w:w="15" w:type="dxa"/>
            <w:right w:w="15" w:type="dxa"/>
          </w:tblCellMar>
        </w:tblPrEx>
        <w:trPr>
          <w:tblCellSpacing w:w="15" w:type="dxa"/>
        </w:trPr>
        <w:tc>
          <w:tcPr>
            <w:tcW w:w="0" w:type="auto"/>
            <w:vAlign w:val="center"/>
          </w:tcPr>
          <w:p w14:paraId="0BCB545D">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Tourism Employment</w:t>
            </w:r>
          </w:p>
        </w:tc>
        <w:tc>
          <w:tcPr>
            <w:tcW w:w="0" w:type="auto"/>
            <w:vAlign w:val="center"/>
          </w:tcPr>
          <w:p w14:paraId="076E621E">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~1.25 million</w:t>
            </w:r>
          </w:p>
        </w:tc>
        <w:tc>
          <w:tcPr>
            <w:tcW w:w="0" w:type="auto"/>
            <w:vAlign w:val="center"/>
          </w:tcPr>
          <w:p w14:paraId="1C8BCB9C">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~780,000</w:t>
            </w:r>
          </w:p>
        </w:tc>
      </w:tr>
      <w:tr w14:paraId="1004C523">
        <w:tblPrEx>
          <w:tblCellMar>
            <w:top w:w="15" w:type="dxa"/>
            <w:left w:w="15" w:type="dxa"/>
            <w:bottom w:w="15" w:type="dxa"/>
            <w:right w:w="15" w:type="dxa"/>
          </w:tblCellMar>
        </w:tblPrEx>
        <w:trPr>
          <w:tblCellSpacing w:w="15" w:type="dxa"/>
        </w:trPr>
        <w:tc>
          <w:tcPr>
            <w:tcW w:w="0" w:type="auto"/>
            <w:vAlign w:val="center"/>
          </w:tcPr>
          <w:p w14:paraId="43D127E8">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Informality</w:t>
            </w:r>
          </w:p>
        </w:tc>
        <w:tc>
          <w:tcPr>
            <w:tcW w:w="0" w:type="auto"/>
            <w:vAlign w:val="center"/>
          </w:tcPr>
          <w:p w14:paraId="1C45A36F">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63%</w:t>
            </w:r>
          </w:p>
        </w:tc>
        <w:tc>
          <w:tcPr>
            <w:tcW w:w="0" w:type="auto"/>
            <w:vAlign w:val="center"/>
          </w:tcPr>
          <w:p w14:paraId="2BCC9194">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70%</w:t>
            </w:r>
          </w:p>
        </w:tc>
      </w:tr>
      <w:tr w14:paraId="6C3EB277">
        <w:tblPrEx>
          <w:tblCellMar>
            <w:top w:w="15" w:type="dxa"/>
            <w:left w:w="15" w:type="dxa"/>
            <w:bottom w:w="15" w:type="dxa"/>
            <w:right w:w="15" w:type="dxa"/>
          </w:tblCellMar>
        </w:tblPrEx>
        <w:trPr>
          <w:tblCellSpacing w:w="15" w:type="dxa"/>
        </w:trPr>
        <w:tc>
          <w:tcPr>
            <w:tcW w:w="0" w:type="auto"/>
            <w:vAlign w:val="center"/>
          </w:tcPr>
          <w:p w14:paraId="329CD91B">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Female Workforce Share</w:t>
            </w:r>
          </w:p>
        </w:tc>
        <w:tc>
          <w:tcPr>
            <w:tcW w:w="0" w:type="auto"/>
            <w:vAlign w:val="center"/>
          </w:tcPr>
          <w:p w14:paraId="420A46FD">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49%</w:t>
            </w:r>
          </w:p>
        </w:tc>
        <w:tc>
          <w:tcPr>
            <w:tcW w:w="0" w:type="auto"/>
            <w:vAlign w:val="center"/>
          </w:tcPr>
          <w:p w14:paraId="43C0AA0E">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37%</w:t>
            </w:r>
          </w:p>
        </w:tc>
      </w:tr>
      <w:tr w14:paraId="29AFF48F">
        <w:tblPrEx>
          <w:tblCellMar>
            <w:top w:w="15" w:type="dxa"/>
            <w:left w:w="15" w:type="dxa"/>
            <w:bottom w:w="15" w:type="dxa"/>
            <w:right w:w="15" w:type="dxa"/>
          </w:tblCellMar>
        </w:tblPrEx>
        <w:trPr>
          <w:tblCellSpacing w:w="15" w:type="dxa"/>
        </w:trPr>
        <w:tc>
          <w:tcPr>
            <w:tcW w:w="0" w:type="auto"/>
            <w:vAlign w:val="center"/>
          </w:tcPr>
          <w:p w14:paraId="06876003">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Indigenous Representation</w:t>
            </w:r>
          </w:p>
        </w:tc>
        <w:tc>
          <w:tcPr>
            <w:tcW w:w="0" w:type="auto"/>
            <w:vAlign w:val="center"/>
          </w:tcPr>
          <w:p w14:paraId="688F2308">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High (Andes &amp; Amazon)</w:t>
            </w:r>
          </w:p>
        </w:tc>
        <w:tc>
          <w:tcPr>
            <w:tcW w:w="0" w:type="auto"/>
            <w:vAlign w:val="center"/>
          </w:tcPr>
          <w:p w14:paraId="5A6CFB81">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Declined due to displacements</w:t>
            </w:r>
          </w:p>
        </w:tc>
      </w:tr>
      <w:tr w14:paraId="51022F4A">
        <w:tblPrEx>
          <w:tblCellMar>
            <w:top w:w="15" w:type="dxa"/>
            <w:left w:w="15" w:type="dxa"/>
            <w:bottom w:w="15" w:type="dxa"/>
            <w:right w:w="15" w:type="dxa"/>
          </w:tblCellMar>
        </w:tblPrEx>
        <w:trPr>
          <w:tblCellSpacing w:w="15" w:type="dxa"/>
        </w:trPr>
        <w:tc>
          <w:tcPr>
            <w:tcW w:w="0" w:type="auto"/>
            <w:vAlign w:val="center"/>
          </w:tcPr>
          <w:p w14:paraId="359F5977">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Average Income</w:t>
            </w:r>
          </w:p>
        </w:tc>
        <w:tc>
          <w:tcPr>
            <w:tcW w:w="0" w:type="auto"/>
            <w:vAlign w:val="center"/>
          </w:tcPr>
          <w:p w14:paraId="6159472D">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1,200 PEN/month</w:t>
            </w:r>
          </w:p>
        </w:tc>
        <w:tc>
          <w:tcPr>
            <w:tcW w:w="0" w:type="auto"/>
            <w:vAlign w:val="center"/>
          </w:tcPr>
          <w:p w14:paraId="2ACD974A">
            <w:pPr>
              <w:spacing w:after="0"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730 PEN/month</w:t>
            </w:r>
          </w:p>
        </w:tc>
      </w:tr>
    </w:tbl>
    <w:p w14:paraId="4652EA8F">
      <w:pPr>
        <w:spacing w:before="100" w:beforeAutospacing="1" w:after="100" w:afterAutospacing="1" w:line="240" w:lineRule="auto"/>
        <w:outlineLvl w:val="3"/>
        <w:rPr>
          <w:rFonts w:ascii="Times New Roman" w:hAnsi="Times New Roman" w:eastAsia="Times New Roman" w:cs="Times New Roman"/>
          <w:b/>
          <w:bCs/>
          <w:sz w:val="24"/>
          <w:szCs w:val="24"/>
        </w:rPr>
      </w:pPr>
      <w:r>
        <w:rPr>
          <w:rFonts w:ascii="Times New Roman" w:hAnsi="Times New Roman" w:eastAsia="Times New Roman" w:cs="Times New Roman"/>
          <w:b/>
          <w:bCs/>
          <w:sz w:val="24"/>
          <w:szCs w:val="24"/>
        </w:rPr>
        <w:t>2. Critical Issues Identified</w:t>
      </w:r>
    </w:p>
    <w:p w14:paraId="0521FEBE">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Diminished Safety Perception Among Tourists and Staff</w:t>
      </w:r>
    </w:p>
    <w:p w14:paraId="72A8801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Tourists and tourism staff in regions like Cusco and Puno report significantly reduced confidence in safety following episodes of political unrest, protests, and targeted closures of key sites like Machu Picchu (AP, 2023; Tourism</w:t>
      </w:r>
      <w:r>
        <w:rPr>
          <w:rFonts w:ascii="Times New Roman" w:hAnsi="Times New Roman" w:eastAsia="Times New Roman" w:cs="Times New Roman"/>
          <w:sz w:val="24"/>
          <w:szCs w:val="24"/>
        </w:rPr>
        <w:noBreakHyphen/>
      </w:r>
      <w:r>
        <w:rPr>
          <w:rFonts w:ascii="Times New Roman" w:hAnsi="Times New Roman" w:eastAsia="Times New Roman" w:cs="Times New Roman"/>
          <w:sz w:val="24"/>
          <w:szCs w:val="24"/>
        </w:rPr>
        <w:t>Review, 2023). The uncertainty and fear generated during blockades and violent demonstrations create a heightened sense of vulnerability. As staff witness abrupt evacuation procedures and have clients stranded, trust in job stability and visitor return diminishes sharply, compounding sector fragility.</w:t>
      </w:r>
    </w:p>
    <w:p w14:paraId="7B38C5A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This pervasive anxiety spills into behavioral change. Hotels and tour operators face spikes in cancellations at short notice, disrupting staffing schedules and revenue forecasts. Employees—especially in customer-facing roles—experience increased stress and social anxiety, fearing sudden incidents that threaten normal operations. A study from Junín highlights elevated burnout among tourism workers coping with trauma and job insecurity .</w:t>
      </w:r>
    </w:p>
    <w:p w14:paraId="752E7CC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 effectively restore confidence, multi-level interventions are needed. Implementing safety certifications in employers, crisis-preparedness training for frontline staff, and transparent communication protocols can reinforce feelings of safety. Additionally, sharing mental resilience resources can empower staff with tools to handle emergencies without triggering widespread panic or desertion.</w:t>
      </w:r>
    </w:p>
    <w:p w14:paraId="105585F5">
      <w:pPr>
        <w:spacing w:after="0" w:line="240" w:lineRule="auto"/>
        <w:rPr>
          <w:rFonts w:ascii="Times New Roman" w:hAnsi="Times New Roman" w:eastAsia="Times New Roman" w:cs="Times New Roman"/>
          <w:sz w:val="24"/>
          <w:szCs w:val="24"/>
        </w:rPr>
      </w:pPr>
    </w:p>
    <w:p w14:paraId="248499D9">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Income Collapse in Regions Like Cusco and Puno</w:t>
      </w:r>
    </w:p>
    <w:p w14:paraId="31E4A55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Protests in late 2022 led to an estimated loss of S/1.7 billion (~USD 450 million) in tourism income, and Machu Picchu closures alone caused daily losses of S/10 million in Cusco. These abrupt losses wiped out earnings for drivers, guides, artisans, and hospitality workers—many of whom rely exclusively on tourist dollars. The immediate household-level impact included inability to meet basic needs like food and rent, forcing families to deplete savings or seek alternative, often less stable work.</w:t>
      </w:r>
    </w:p>
    <w:p w14:paraId="45177B1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 income disruption disproportionately affected informal workers and artisans who lack contractual wage protections or savings buffers. As documented, nearly half of Peru's middle class fell back into poverty during the combined COVID and crisis years, signaling labor vulnerability in tourism towns . In Puno, roadblocks triggered economic isolation, further stifling small businesses and tourism micro-ventures, with few alternatives for recovery or credit support.</w:t>
      </w:r>
    </w:p>
    <w:p w14:paraId="086424F8">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Rebuilding requires targeted support such as emergency cash transfers, micro-grants for rehiring, and recovery vouchers for local goods and crafts. These programs should be community-led and integrated with financial resilience training. Furthermore, temporarily subsidizing transport or site restoration work can maintain skills application while reviving economic activity in tourism-dependent areas.</w:t>
      </w:r>
    </w:p>
    <w:p w14:paraId="67EF810C">
      <w:pPr>
        <w:spacing w:after="0" w:line="240" w:lineRule="auto"/>
        <w:rPr>
          <w:rFonts w:ascii="Times New Roman" w:hAnsi="Times New Roman" w:eastAsia="Times New Roman" w:cs="Times New Roman"/>
          <w:sz w:val="24"/>
          <w:szCs w:val="24"/>
        </w:rPr>
      </w:pPr>
    </w:p>
    <w:p w14:paraId="7C13684D">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Skills Mismatch for Digital or Formal Sector Transition</w:t>
      </w:r>
    </w:p>
    <w:p w14:paraId="0909A08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There is a significant misalignment between the skills many displaced tourism workers hold and those needed for digital platforms, remote services, or formal sector roles. While Peru’s private sector diagnostic notes digital economy growth, rural and Indigenous tourism labor remains largely unskilled in digital services, limiting their participation in remote tourism markets. This gap hinders local workers from transitioning to e-commerce, remote tour guiding, or digital marketing roles introduced during tourism retraction periods.</w:t>
      </w:r>
    </w:p>
    <w:p w14:paraId="0F829D0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Additionally, digital literacy challenges—such as typing in Quechua on QWERTY keyboards—create technical barriers for many Indigenous workers in Puno and Cusco . Without specialized training that respects local languages and cultural contexts, such workers are excluded from even basic online engagement or participation in virtual marketplaces—reinforcing digital divides.</w:t>
      </w:r>
    </w:p>
    <w:p w14:paraId="176AC4C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Addressing these gaps requires contextualized digital training programs—offered in native languages, using local platforms, and emphasizing relevant tourism use cases. Partnerships with digital literacy NGOs and platform providers, plus certifications in virtual tour facilitation, e-commerce management, and remote communications, can empower rural workers. A focus on culturally adapted learning will enable broader inclusivity and workforce adaptability.</w:t>
      </w:r>
    </w:p>
    <w:p w14:paraId="6EA0BC7C">
      <w:pPr>
        <w:spacing w:after="0" w:line="240" w:lineRule="auto"/>
        <w:rPr>
          <w:rFonts w:ascii="Times New Roman" w:hAnsi="Times New Roman" w:eastAsia="Times New Roman" w:cs="Times New Roman"/>
          <w:sz w:val="24"/>
          <w:szCs w:val="24"/>
        </w:rPr>
      </w:pPr>
    </w:p>
    <w:p w14:paraId="5F11E0CB">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Mental Health Stress Among Informal and Indigenous Tourism Workers</w:t>
      </w:r>
    </w:p>
    <w:p w14:paraId="05DBDCC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Tourism workers in Junín experienced moderate to severe emotional exhaustion and high burnout during COVID and political conflict periods. This stress is compounded for informal and Indigenous workers who combined job loss with identity displacement and dispossession. Add to that the trauma of forced evictions, violence in protest zones, and lack of mental health safety nets, and we witness a workforce at risk of chronic psychological fatigue and social withdrawal.</w:t>
      </w:r>
    </w:p>
    <w:p w14:paraId="694F0F7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Those in informal tourism—craft vendors, guides, homestay hosts—are especially vulnerable due to weak access to medical insurance, counseling, or community support. As shown by studies on Junín, emotional exhaustion correlates strongly with job instability and reduced problem-solving abilities. Indigenous workers in rural areas often lack culturally appropriate services and face stigma when seeking mental health care—challenges that impede recovery and resilience.</w:t>
      </w:r>
    </w:p>
    <w:p w14:paraId="3D11794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 address these issues, programs should offer accessible, culturally sensitive mental health services, including mobile counseling units, peer support networks led by local leaders, and group healing circles. Incorporating mental health training into tourism skills academies and employer protocols would normalize the need for care. Integrating psychosocial support into economic recovery strengthens both personal and communal perseverance.</w:t>
      </w:r>
    </w:p>
    <w:p w14:paraId="3EEAFAA1">
      <w:pPr>
        <w:spacing w:after="0" w:line="240" w:lineRule="auto"/>
        <w:rPr>
          <w:rFonts w:ascii="Times New Roman" w:hAnsi="Times New Roman" w:eastAsia="Times New Roman" w:cs="Times New Roman"/>
          <w:sz w:val="24"/>
          <w:szCs w:val="24"/>
        </w:rPr>
      </w:pPr>
    </w:p>
    <w:p w14:paraId="546887A5">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Lack of Crisis-Responsive Institutional Support</w:t>
      </w:r>
    </w:p>
    <w:p w14:paraId="6F43AE6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Peru’s tourism sector lacks institutional mechanisms that activate support during unrest periods. While health emergencies receive structured attention, there is limited preparedness for political disruptions—a gap exposed during 2022–23 protests and site shutdowns . Employers and policymakers had no coordinated frameworks for wage protection, job pivoting services, or community-level stabilization efforts.</w:t>
      </w:r>
    </w:p>
    <w:p w14:paraId="5996C298">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This absence led to ad hoc response measures—such as charity-led soup kitchens or temporary shelter—which were insufficient to prevent labor loss or long-term sector decline. Inflation spiked, local businesses shuttered, and tourism workers fell into precarity without guidance or relief. Such reactive responses undermine resilience and erode community capacities built over decades of cultural tourism growth .</w:t>
      </w:r>
    </w:p>
    <w:p w14:paraId="08EF86E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 national-level, crisis-responsive support system should include protocols for employment insurance payouts, emergency redeployment schemes, rural job assignments, and business continuity training. Enacting dedicated emergency mechanisms within tourism ministries and regional authorities can provide stability and rapid response capacity—crucial for maintaining workforce confidence and preserving cultural tourism ecosystems.</w:t>
      </w:r>
    </w:p>
    <w:p w14:paraId="389D7B5F">
      <w:pPr>
        <w:spacing w:after="0" w:line="240" w:lineRule="auto"/>
        <w:rPr>
          <w:rFonts w:ascii="Times New Roman" w:hAnsi="Times New Roman" w:eastAsia="Times New Roman" w:cs="Times New Roman"/>
          <w:sz w:val="24"/>
          <w:szCs w:val="24"/>
        </w:rPr>
      </w:pPr>
    </w:p>
    <w:p w14:paraId="0958FFC3">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Weak Integration of Indigenous Languages and Culture in Recovery</w:t>
      </w:r>
    </w:p>
    <w:p w14:paraId="4808FFC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Current tourism support strategies often overlook Indigenous languages and cultural frameworks. Programs are delivered primarily in Spanish, limiting accessibility for Quechua, Aymara, and other speakers—particularly in Puno and Cusco . This exclusion reduces program effectiveness and curtails the ability of Indigenous workers to access training, grants, or digital programs crucial for recovery.</w:t>
      </w:r>
    </w:p>
    <w:p w14:paraId="01D79DA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Moreover, initiatives tend to marginalize Indigenous cultural expressions in crisis awareness or tourism marketing, stripping local identities from heritage-centered tourism narratives. This contributes to systemic erasure, misalignment of recovery efforts, and loss of community buy-in. When workers cannot connect recovery programs to their own cultural practices, the sense of agency diminishes.</w:t>
      </w:r>
    </w:p>
    <w:p w14:paraId="082EE31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 remedy this, all recovery and training initiatives must be bilingual and culturally respectful. Instruction and materials should be accessible in Indigenous languages, with delivery by community educators. Tourism literature, digital marketplaces, and crisis toolkits must integrate Indigenous storytelling, worldviews, and cultural tourism values—forming culturally rooted resilience rather than external imposition.</w:t>
      </w:r>
    </w:p>
    <w:p w14:paraId="327DB8E8">
      <w:pPr>
        <w:spacing w:before="100" w:beforeAutospacing="1" w:after="100" w:afterAutospacing="1" w:line="240" w:lineRule="auto"/>
        <w:rPr>
          <w:rFonts w:ascii="Times New Roman" w:hAnsi="Times New Roman" w:eastAsia="Times New Roman" w:cs="Times New Roman"/>
          <w:sz w:val="24"/>
          <w:szCs w:val="24"/>
        </w:rPr>
      </w:pPr>
    </w:p>
    <w:p w14:paraId="16C9180D">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Gender-Based Vulnerabilities in Tourism Recovery</w:t>
      </w:r>
    </w:p>
    <w:p w14:paraId="5F65707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Tourism recovery efforts in Peru have consistently overlooked the specific vulnerabilities of women working in the informal sector. Women disproportionately occupy low-wage, precarious tourism roles—such as street vending, artisanal work, and informal food services—yet they receive limited visibility in formal recovery frameworks (UN Women, 2021; ILO, 2022). During political unrest and site closures, women workers faced dual burdens: income loss and increased caregiving responsibilities at home, which further restricted their ability to seek new employment or attend retraining programs.</w:t>
      </w:r>
    </w:p>
    <w:p w14:paraId="4921B63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Additionally, women in tourism are more likely to face workplace harassment and safety threats, particularly in insecure rural or protest-affected zones like Puno and Ayacucho (USAID, 2022). Without gender-sensitive safety policies or access to support networks, many women are unable to safely re-enter the labour force after crises. The lack of legal recourse or protective oversight further disincentivizes female workers from continuing in tourism—even as the sector begins to recover.</w:t>
      </w:r>
    </w:p>
    <w:p w14:paraId="6648C978">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Effective gender-focused interventions must include guaranteed child-care support, safety protocols in the tourism workplace, and inclusion of women’s cooperatives in grant disbursements and training programs. Including gender indicators in all tourism recovery monitoring and evaluation systems would ensure that no woman is left behind in crisis or recovery. Furthermore, mentorship schemes led by successful women entrepreneurs can rebuild confidence and participation in the post-crisis tourism economy (UNDP, 2020; World Bank, 2023).</w:t>
      </w:r>
    </w:p>
    <w:p w14:paraId="35635659">
      <w:pPr>
        <w:spacing w:after="0" w:line="240" w:lineRule="auto"/>
        <w:rPr>
          <w:rFonts w:ascii="Times New Roman" w:hAnsi="Times New Roman" w:eastAsia="Times New Roman" w:cs="Times New Roman"/>
          <w:sz w:val="24"/>
          <w:szCs w:val="24"/>
        </w:rPr>
      </w:pPr>
    </w:p>
    <w:p w14:paraId="3274E251">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Loss of Intergenerational Tourism Knowledge</w:t>
      </w:r>
    </w:p>
    <w:p w14:paraId="2A859D5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Political unrest and prolonged tourism shutdowns have disrupted the intergenerational transmission of Indigenous and cultural tourism knowledge in regions such as the Sacred Valley, Lake Titicaca, and Arequipa. Many family-run enterprises—such as weaving workshops, storytelling walks, and agritourism—rely on oral traditions passed down through generations. With the economic collapse of tourism and migration of youth to cities or informal jobs, this chain of knowledge is at risk of breaking (UNESCO, 2019; MINCETUR, 2022).</w:t>
      </w:r>
    </w:p>
    <w:p w14:paraId="40CFF7E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Younger generations who traditionally learned cultural tourism skills from elders have shifted toward survival labour, with limited access to cultural education, practice, or apprenticeships. Elders who once led local storytelling or craft tours now find themselves isolated and without an audience. Over time, the erosion of these traditions not only weakens community identity but also diminishes Peru’s unique cultural capital as a tourism destination (Smith &amp; Richards, 2020; Andean Heritage Foundation, 2023).</w:t>
      </w:r>
    </w:p>
    <w:p w14:paraId="1C7C5F5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Restoring intergenerational cultural continuity requires deliberate investment in cultural preservation programs, youth-elder apprenticeships, and regional heritage hubs. Public-private partnerships can support storytelling archives, multilingual tourism curricula, and cultural entrepreneurship grants for young artisans. The sustainability of cultural tourism must not only be economic but rooted in transmission, identity, and language (UNWTO, 2021; Peruvian Cultural Council, 2022).</w:t>
      </w:r>
    </w:p>
    <w:p w14:paraId="207A89E7">
      <w:pPr>
        <w:spacing w:before="100" w:beforeAutospacing="1" w:after="100" w:afterAutospacing="1" w:line="240" w:lineRule="auto"/>
        <w:outlineLvl w:val="2"/>
        <w:rPr>
          <w:rFonts w:ascii="Times New Roman" w:hAnsi="Times New Roman" w:eastAsia="Times New Roman" w:cs="Times New Roman"/>
          <w:sz w:val="24"/>
          <w:szCs w:val="24"/>
        </w:rPr>
      </w:pPr>
    </w:p>
    <w:p w14:paraId="67AA6F48">
      <w:pPr>
        <w:spacing w:before="100" w:beforeAutospacing="1" w:after="100" w:afterAutospacing="1" w:line="240" w:lineRule="auto"/>
        <w:outlineLvl w:val="2"/>
        <w:rPr>
          <w:rFonts w:ascii="Times New Roman" w:hAnsi="Times New Roman" w:eastAsia="Times New Roman" w:cs="Times New Roman"/>
          <w:b/>
          <w:bCs/>
          <w:sz w:val="27"/>
          <w:szCs w:val="27"/>
        </w:rPr>
      </w:pPr>
      <w:r>
        <w:rPr>
          <w:rFonts w:ascii="Times New Roman" w:hAnsi="Times New Roman" w:eastAsia="Times New Roman" w:cs="Times New Roman"/>
          <w:b/>
          <w:bCs/>
          <w:sz w:val="27"/>
          <w:szCs w:val="27"/>
        </w:rPr>
        <w:t>Environmental Degradation from Crisis-Induced Informal Labour</w:t>
      </w:r>
    </w:p>
    <w:p w14:paraId="20E86E2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As tourism collapsed, some communities in regions like Madre de Dios and the Sacred Valley turned to environmentally harmful informal labour, including unregulated mining, deforestation, and illicit trade, in search of alternative income. This crisis-driven shift risks long-term damage to Peru’s ecotourism appeal and natural heritage, which are key drivers of sustainable tourism (WWF, 2021; MINAM, 2022). The absence of alternative livelihoods pushed many into survival activities that degrade biodiversity and water quality in protected areas.</w:t>
      </w:r>
    </w:p>
    <w:p w14:paraId="7AC134A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For instance, guides and porters from closed trekking circuits like Salkantay and Inca Trail resorted to unsanctioned land use or illegal logging. These transitions not only harmed ecosystems but also exposed workers to unsafe, exploitative conditions with no regulatory oversight (FAO, 2022). Once these informal habits become entrenched, reintegration into regulated, sustainable tourism jobs becomes more difficult—creating a labour-environment conflict spiral.</w:t>
      </w:r>
    </w:p>
    <w:p w14:paraId="39BEF72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Sustainable recovery must therefore integrate environmental protection into labour reintegration. Programs that incentivize eco-tourism, conservation employment, or green-skills retraining can restore both livelihoods and landscapes. Collaborations with environmental NGOs, national parks, and tourism boards could provide displaced workers with stewardship roles—such as eco-guiding, trail rehabilitation, and biodiversity monitoring (UNEP, 2021; GIZ, 2023). Crisis response should not only rebuild jobs, but also protect the natural capital upon which Peru’s tourism future depends.</w:t>
      </w:r>
    </w:p>
    <w:p w14:paraId="55FB34D4">
      <w:pPr>
        <w:spacing w:before="100" w:beforeAutospacing="1" w:after="100" w:afterAutospacing="1" w:line="240" w:lineRule="auto"/>
        <w:rPr>
          <w:rFonts w:ascii="Times New Roman" w:hAnsi="Times New Roman" w:eastAsia="Times New Roman" w:cs="Times New Roman"/>
          <w:sz w:val="24"/>
          <w:szCs w:val="24"/>
        </w:rPr>
      </w:pPr>
    </w:p>
    <w:p w14:paraId="0178CADD">
      <w:pPr>
        <w:spacing w:before="100" w:beforeAutospacing="1" w:after="100" w:afterAutospacing="1" w:line="240" w:lineRule="auto"/>
        <w:outlineLvl w:val="2"/>
        <w:rPr>
          <w:rFonts w:ascii="Times New Roman" w:hAnsi="Times New Roman" w:eastAsia="Times New Roman" w:cs="Times New Roman"/>
          <w:sz w:val="24"/>
          <w:szCs w:val="24"/>
        </w:rPr>
      </w:pPr>
    </w:p>
    <w:p w14:paraId="1374D103">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Discussion</w:t>
      </w:r>
    </w:p>
    <w:p w14:paraId="2920E22B">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Emergency Relief Jobs in Tourism Recovery</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In the aftermath of disruptions, launching community rebuilding and cultural documentation initiatives provides both employment and social healing. Short-term projects—such as trail restoration, homestay repair, and archiving oral traditions—enable affected workers to re-engage with their local economies while preserving heritage. Community heritage documentation programs in regions like Cusco have demonstrated success in connecting displaced tourism workers with meaningful labor, reinforcing cultural pride and local engagement (UNDP, 2020; UNESCO, 2019).</w:t>
      </w:r>
    </w:p>
    <w:p w14:paraId="5B73CE73">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These relief jobs serve a dual purpose: boosting local economies during tourist shortages, and maintaining the cultural infrastructure that forms the backbone of Peru’s tourism appeal. Importantly, holders of local knowledge—often older community members—are employed alongside youth, ensuring intergenerational skill transmission. Labor-based heritage work not only fosters cohesion but also cultivates a sense of ownership over recovery efforts (ILO, 2018; UNWTO, 2021).</w:t>
      </w:r>
    </w:p>
    <w:p w14:paraId="064C45F5">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By treating cultural and environmental preservation as labor assets, the sector achieves sustainability in recovery. Participating workers gain transferable skills in documentation, site maintenance, and project management—forming an emergent workforce with resilience for future shocks. This model aligns with ILO’s "Decent Work in Fragile Contexts" paradigm and helps re-establish dignity for tourism-dependent communities (ILO, 2018; UNDP, 2020).</w:t>
      </w:r>
    </w:p>
    <w:p w14:paraId="25085949">
      <w:pPr>
        <w:spacing w:after="0" w:line="240" w:lineRule="auto"/>
        <w:rPr>
          <w:rFonts w:ascii="Times New Roman" w:hAnsi="Times New Roman" w:eastAsia="Times New Roman" w:cs="Times New Roman"/>
          <w:sz w:val="24"/>
          <w:szCs w:val="24"/>
        </w:rPr>
      </w:pPr>
    </w:p>
    <w:p w14:paraId="4880547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Tourism Peacebuilding Ambassadors Program</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Deploying bilingual youth as cultural mediators and tour assistants brings a people-centered layer to tourism resilience. Trained in conflict resolution, cross-cultural communication, and guest engagement, these ambassadors ease tensions between visitors and local communities. Pilot peace ambassadorship programs in South America highlight reductions in incidents due to improved interpreter-mediated dialogues at sensitive sites (UNWTO, 2021; AU, 2020).</w:t>
      </w:r>
    </w:p>
    <w:p w14:paraId="05E8471A">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Engagement of youth fosters leadership pipelines within communities. Ambassadors build trust by bridging cultural and linguistic divides, guiding tourists respectfully and helping locals articulate grievances before they escalate. Their presence contributes to respectful behavior and heightens local confidence in tourism’s socio-cultural sensitivity (UNDP, 2020; ILO, 2018).</w:t>
      </w:r>
    </w:p>
    <w:p w14:paraId="4A3A7BE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These roles also provide employment for young migrants or displaced residents, addressing youth unemployment while strengthening safety perceptions. By embedding peace builders into tour groups and community networks, Peru creates a tourism environment rooted in inclusivity and mutual respect—a model that transcends economic recovery to promote social stability (UNWTO, 2021; ILO, 2018).</w:t>
      </w:r>
    </w:p>
    <w:p w14:paraId="0DF70C1D">
      <w:pPr>
        <w:spacing w:after="0" w:line="240" w:lineRule="auto"/>
        <w:rPr>
          <w:rFonts w:ascii="Times New Roman" w:hAnsi="Times New Roman" w:eastAsia="Times New Roman" w:cs="Times New Roman"/>
          <w:sz w:val="24"/>
          <w:szCs w:val="24"/>
        </w:rPr>
      </w:pPr>
    </w:p>
    <w:p w14:paraId="6751EA35">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Indigenous Workforce Protection Act</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Indigenous tourism workers—such as kechwa guides, craft artisans, and agro-tourism families—are especially vulnerable to displacement, without legal or financial recourse when faced with crisis. Enacting an Indigenous Workforce Protection Act would safeguard land access, equitable income rights, and cultural continuity. Nations like Canada and New Zealand have shown how such frameworks ensure employment stability while preserving cultural practices (ILO, 2018; UNESCO, 2019).</w:t>
      </w:r>
    </w:p>
    <w:p w14:paraId="69A57DA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This legislation should include wage support during closures, workspace protection guarantees, and protocols for community land use in tourism development. Establishing funding channels for Indigenous families to sustain micro-enterprises during political instability can prevent forced exits from cultural tourism—thereby preserving generational knowledge and deepening resilience (UNDP, 2020; UNWTO, 2021).</w:t>
      </w:r>
    </w:p>
    <w:p w14:paraId="6A5A599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Most critically, this Act can elevate Indigenous labor from vulnerability to visibility. By affirming their rights within national tourism frameworks, the state legitimizes these workers’ roles and enables them to shape cultural tourism narratives. In doing so, it supports dignity, cultural sovereignty, and sustainable local livelihoods (UNESCO, 2019; ILO, 2018).</w:t>
      </w:r>
    </w:p>
    <w:p w14:paraId="027D4C4A">
      <w:pPr>
        <w:spacing w:after="0" w:line="240" w:lineRule="auto"/>
        <w:rPr>
          <w:rFonts w:ascii="Times New Roman" w:hAnsi="Times New Roman" w:eastAsia="Times New Roman" w:cs="Times New Roman"/>
          <w:sz w:val="24"/>
          <w:szCs w:val="24"/>
        </w:rPr>
      </w:pPr>
    </w:p>
    <w:p w14:paraId="1BBC8C1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Digital Marketplace for Rural Tourism</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Launching a government-sponsored digital app allows rural tourism workers to sell artisanal crafts, offer homestay bookings, and share virtual cultural experiences—especially useful during political slowdowns. These digital platforms empower those isolated from tourist footfall, offering alternative earning mechanisms akin to models used in Fiji and Nepal (UNWTO, 2021; UNDP, 2020).</w:t>
      </w:r>
    </w:p>
    <w:p w14:paraId="443EF9E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Such a platform would support peer-to-peer commerce, authentic storytelling, and direct client engagement, preserving rural heritage and enabling micro-entrepreneurs to bypass middlemen. Promoting local festivals, virtual cooking lessons, or craft workshops via online channels can generate income streams even when physical tourism stalls (ILO, 2018; UNESCO, 2019).</w:t>
      </w:r>
    </w:p>
    <w:p w14:paraId="16543DA5">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By integrating e-commerce with skill analytics and training resources, the app becomes an economic accelerator. Tutorials on digital marketing, quality assurance, and virtual guest handling enhance digital literacy while promoting community leadership in tech-driven tourism. It’s both a contingency network and a gateway to future-ready economic resilience (UNDP, 2020; UNWTO, 2021).</w:t>
      </w:r>
    </w:p>
    <w:p w14:paraId="0CB56167">
      <w:pPr>
        <w:spacing w:after="0" w:line="240" w:lineRule="auto"/>
        <w:rPr>
          <w:rFonts w:ascii="Times New Roman" w:hAnsi="Times New Roman" w:eastAsia="Times New Roman" w:cs="Times New Roman"/>
          <w:sz w:val="24"/>
          <w:szCs w:val="24"/>
        </w:rPr>
      </w:pPr>
    </w:p>
    <w:p w14:paraId="67E47B6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Regional Tourism Skills Academies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In Cusco, Puno, and the Sacred Valley, establishing regional vocational centers focusing on eco-tourism, indigenous languages, digital storytelling, and conflict-sensitivity can decentralize tourism capacity. These academies, functioning as hubs for local talent, bolster resilience and provide ongoing professional development to workers affected by sector shocks (ILO, 2018; UNWTO, 2021).</w:t>
      </w:r>
    </w:p>
    <w:p w14:paraId="06133D6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Curricula would combine interactive modules—such as eco-guiding, oral history documentation, emergency first-aid, and crisis-aware hospitality. Certification would reflect Indigenous knowledge and climate-aware practices, enhancing both local employment access and international tourism appeal (UNESCO, 2019; UNDP, 2020).</w:t>
      </w:r>
    </w:p>
    <w:p w14:paraId="773391B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Partnerships with international educational bodies and private-sector firms ensure quality assurance and real-world relevancy. Graduates with region-specific certification bridge gaps in cultural tourism professionalism and bring readiness to rural or high-risk zones. Ultimately, these academies can anchor skills retention and reduce reliance on Lima-based institutions (ILO, 2018; AU, 2020).</w:t>
      </w:r>
    </w:p>
    <w:p w14:paraId="27354BB3">
      <w:pPr>
        <w:spacing w:after="0" w:line="240" w:lineRule="auto"/>
        <w:rPr>
          <w:rFonts w:ascii="Times New Roman" w:hAnsi="Times New Roman" w:eastAsia="Times New Roman" w:cs="Times New Roman"/>
          <w:sz w:val="24"/>
          <w:szCs w:val="24"/>
        </w:rPr>
      </w:pPr>
    </w:p>
    <w:p w14:paraId="17C13E44">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Safe Tourism Certification for Employers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Developing a “Safe Tourism” certification standard can elevate ethical employment and crisis preparedness among Peruvian tourism businesses. Criteria would include emergency protocols, gender-sensitive staffing, environmental safety, and Indigenous participation, with tax rebates and promotional benefits rewarded to certified employers (UNWTO, 2021; ILO, 2018).</w:t>
      </w:r>
    </w:p>
    <w:p w14:paraId="407292D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Certification assessments—carried out by accredited agencies—would ensure compliant businesses uphold minimum safety and social standards. Display of certification reinforces trust among visitors and international partners, translating to higher booking preferences and brand confidence (UNDP, 2020; UNESCO, 2019).</w:t>
      </w:r>
    </w:p>
    <w:p w14:paraId="70B0C91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As adoption grows, certification incentivizes businesses to formalize labour relations, institute staff-ready emergency drills, and uphold diversity mandates. This network of compliant employers raises sector-wide standards and strengthens the infrastructure for crisis-resilient tourism (ILO, 2018; AU, 2020).</w:t>
      </w:r>
    </w:p>
    <w:p w14:paraId="08BD4194">
      <w:pPr>
        <w:spacing w:after="0" w:line="240" w:lineRule="auto"/>
        <w:rPr>
          <w:rFonts w:ascii="Times New Roman" w:hAnsi="Times New Roman" w:eastAsia="Times New Roman" w:cs="Times New Roman"/>
          <w:sz w:val="24"/>
          <w:szCs w:val="24"/>
        </w:rPr>
      </w:pPr>
    </w:p>
    <w:p w14:paraId="66345B37">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Women’s Cooperative Tourism Fund</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Establishing a fund and mentorship scheme for women-led tourism cooperatives supports community development and gender equity. These grants would target artisans, homestay hosts, and tour organizers, with additional investments in safe premises and childcare to remove gendered labor barriers (UNDP, 2020; ILO, 2018).</w:t>
      </w:r>
    </w:p>
    <w:p w14:paraId="7199BB0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Mentoring would be provided through experienced operators and NGOs, focusing on business planning, digital marketing, sustainable crafts, and peer networking. Women in cultural tourism—not just as informal suppliers but as enterprise leaders—would shape recovery in ways rooted in both heritage and resilience (UNWTO, 2021; UNESCO, 2019).</w:t>
      </w:r>
    </w:p>
    <w:p w14:paraId="4161BEE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Strengthened by financial support and mentorship, these cooperatives not only provide sustained livelihoods but also preserve local knowledge and community governance. Their success can establish models for inclusive tourism that are both empowering and culturally intelligent (ILO, 2018; AU, 2020).</w:t>
      </w:r>
    </w:p>
    <w:p w14:paraId="2C6BC533">
      <w:pPr>
        <w:spacing w:after="0" w:line="240" w:lineRule="auto"/>
        <w:rPr>
          <w:rFonts w:ascii="Times New Roman" w:hAnsi="Times New Roman" w:eastAsia="Times New Roman" w:cs="Times New Roman"/>
          <w:sz w:val="24"/>
          <w:szCs w:val="24"/>
        </w:rPr>
      </w:pPr>
    </w:p>
    <w:p w14:paraId="362DF41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Remote Tourism Employment Pathways</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Training displaced guides and artists to facilitate virtual tours, cooking classes, or cultural performances offers an income alternative. At-home content production, broadcast through global platforms, enables economic continuity and connection with diaspora audiences (UNWTO, 2021; UNDP, 2020).</w:t>
      </w:r>
    </w:p>
    <w:p w14:paraId="4B3B6E86">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Virtual tourism roles—such as bilingual storytelling, remote homestay hosting, or digital gallery tours—empower cultural ambassadors and monetize intangible heritage. While not replacing all physical tourism revenue, these pathways enhance visibility and preserve artisanal traditions during downturns (UNESCO, 2019; ILO, 2018).</w:t>
      </w:r>
    </w:p>
    <w:p w14:paraId="21EFD151">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Structured support, including training in video production, audience engagement, and digital platforms, ensures quality and monetization capabilities. Embedding cultural representation within virtual economy frameworks builds both financial resilience and transcultural dialogue (UNDP, 2020; UNWTO, 2021).</w:t>
      </w:r>
    </w:p>
    <w:p w14:paraId="5C7EAC8D">
      <w:pPr>
        <w:spacing w:after="0" w:line="240" w:lineRule="auto"/>
        <w:rPr>
          <w:rFonts w:ascii="Times New Roman" w:hAnsi="Times New Roman" w:eastAsia="Times New Roman" w:cs="Times New Roman"/>
          <w:sz w:val="24"/>
          <w:szCs w:val="24"/>
        </w:rPr>
      </w:pPr>
    </w:p>
    <w:p w14:paraId="6FE2846E">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b/>
          <w:bCs/>
          <w:sz w:val="24"/>
          <w:szCs w:val="24"/>
        </w:rPr>
        <w:t>National Tourism Workforce Resilience Policy</w:t>
      </w:r>
      <w:r>
        <w:rPr>
          <w:rFonts w:ascii="Times New Roman" w:hAnsi="Times New Roman" w:eastAsia="Times New Roman" w:cs="Times New Roman"/>
          <w:sz w:val="24"/>
          <w:szCs w:val="24"/>
        </w:rPr>
        <w:br w:type="textWrapping"/>
      </w:r>
      <w:r>
        <w:rPr>
          <w:rFonts w:ascii="Times New Roman" w:hAnsi="Times New Roman" w:eastAsia="Times New Roman" w:cs="Times New Roman"/>
          <w:sz w:val="24"/>
          <w:szCs w:val="24"/>
        </w:rPr>
        <w:t>A national policy mandating emergency compensation, inclusion of Indigenous languages in training, and a crisis-responsive job portal embeds resilience into Peru’s tourism governance framework. This comprehensive policy would set standards for public and private sectors, ensuring workforce wellness beyond business cycles (ILO, 2018; UNWTO, 2021).</w:t>
      </w:r>
    </w:p>
    <w:p w14:paraId="7C84286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Insurance provisions would compensate workers during closures, while multilingual training acknowledges cultural and linguistic diversity—essential in regional tourism hubs. A national portal for crisis job placement would allow workers to quickly pivot during instability, reducing economic fallout, and enhancing regional workforce agility (UNDP, 2020; UNESCO, 2019).</w:t>
      </w:r>
    </w:p>
    <w:p w14:paraId="3FDA740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This policy framework requires institutional reinforcement, legal oversight, and multi-layered funding (government, donor, and private sector). By formalizing resilience in national tourism planning, Peru moves from reactive recovery to strategic sustainability, memorializing tourism as a backbone of national dignity and equity (ILO, 2018; AU, 2020).</w:t>
      </w:r>
    </w:p>
    <w:p w14:paraId="2C497709">
      <w:pPr>
        <w:spacing w:after="0" w:line="240" w:lineRule="auto"/>
        <w:rPr>
          <w:rFonts w:ascii="Times New Roman" w:hAnsi="Times New Roman" w:eastAsia="Times New Roman" w:cs="Times New Roman"/>
          <w:sz w:val="24"/>
          <w:szCs w:val="24"/>
        </w:rPr>
      </w:pPr>
    </w:p>
    <w:p w14:paraId="088F8497">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Conclusion</w:t>
      </w:r>
    </w:p>
    <w:p w14:paraId="75CDEBE5">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Peru’s tourism workforce has witnessed cycles of disruption—from pandemic downturns to political unrest—yet its cultural and environmental richness remains a bulwark for national recovery. These labor recovery initiatives root finance, governance, training, and legal protections in a framework that safeguards employment and ensures cultural continuity, enhancing dignity for all stakeholders (UNWTO, 2021; UNDP, 2020).</w:t>
      </w:r>
    </w:p>
    <w:p w14:paraId="7AE4182C">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Integrating peace skills, digital readiness, and heritage stewardship transforms labor into a source of empowerment. Emergency heritage jobs and peace ambassador roles infuse tourism with youth leadership and meaning beyond commerce, building cohesion while preserving identity (ILO, 2018; UNESCO, 2019).</w:t>
      </w:r>
    </w:p>
    <w:p w14:paraId="38577965">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Protective legislation for Indigenous tourism workers ensures social justice and secures cultural labor at the heart of tourism. By granting legal status and funding continuity, Peru affirms that tourism must uplift—not displace—its most culturally rooted communities (UNWTO, 2021; AU, 2020).</w:t>
      </w:r>
    </w:p>
    <w:p w14:paraId="60EF6FDD">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Digital marketplaces, virtual hosting, and remote content production create the infrastructure for a modern tourism model that is geographically inclusive and cross-platform ready. These innovations offer economic resilience even amid crises that stifle mobility (UNDP, 2020; UNESCO, 2019).</w:t>
      </w:r>
    </w:p>
    <w:p w14:paraId="7AB9411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Vocational academies and employer certification programs professionalize the workforce, setting performance and safety benchmarks. By recognizing skills and granting public trust, these mechanisms foster tourism careers equipped for future uncertainties (ILO, 2018; UNDP, 2020).</w:t>
      </w:r>
    </w:p>
    <w:p w14:paraId="5CC22C5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Women’s cooperatives elevate gender equity by providing leadership pathways and financial independence, embedding peace education and local art as tourism assets. This sector becomes both a cultural advocate and a tool of inclusive development (UNWTO, 2021; AU, 2020).</w:t>
      </w:r>
    </w:p>
    <w:p w14:paraId="783539B9">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Remote tourism pathways transform workers into global storytellers, building diaspora linkage and reinforcing cultural narratives externally. This transition enriches heritage representation and sustains artisanal traditions (UNESCO, 2019; ILO, 2018).</w:t>
      </w:r>
    </w:p>
    <w:p w14:paraId="1C7C195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National resilience policy cements these initiatives in law, offering a unified approach that integrates insurance, multilingual training, and crisis employment coordination. This holistic vision turns tourism into a model of structured solidarity, not humanitarian reaction (UNWTO, 2021; UNDP, 2020).</w:t>
      </w:r>
    </w:p>
    <w:p w14:paraId="6F73637F">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Through this people-centered roadmap, tourism becomes a labor ecosystem rooted in security, respect, and opportunity. Dignified work and negotiated peace become twin pillars of a tourism future that is regenerative, equitable, and globally resilient (ILO, 2018; AU, 2020).</w:t>
      </w:r>
    </w:p>
    <w:p w14:paraId="440295A0">
      <w:p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These recommendations represent a collective aspiration: to rebuild tourism as a vessel of justice, dignity, and ecological harmony. With careful implementation, Peru’s diverse labor force can harness instability to craft a future anchored in shared prosperity—one that defines tourism not merely as an industry, but as a powerful platform for social renewal (UNWTO, 2021; UNDP, 2020).</w:t>
      </w:r>
    </w:p>
    <w:p w14:paraId="477D92E2">
      <w:pPr>
        <w:spacing w:after="0" w:line="240" w:lineRule="auto"/>
        <w:rPr>
          <w:rFonts w:ascii="Times New Roman" w:hAnsi="Times New Roman" w:eastAsia="Times New Roman" w:cs="Times New Roman"/>
          <w:sz w:val="24"/>
          <w:szCs w:val="24"/>
        </w:rPr>
      </w:pPr>
    </w:p>
    <w:p w14:paraId="3630C5CC">
      <w:pPr>
        <w:spacing w:before="100" w:beforeAutospacing="1" w:after="100" w:afterAutospacing="1" w:line="240" w:lineRule="auto"/>
        <w:outlineLvl w:val="1"/>
        <w:rPr>
          <w:rFonts w:ascii="Times New Roman" w:hAnsi="Times New Roman" w:eastAsia="Times New Roman" w:cs="Times New Roman"/>
          <w:b/>
          <w:bCs/>
          <w:sz w:val="36"/>
          <w:szCs w:val="36"/>
        </w:rPr>
      </w:pPr>
      <w:r>
        <w:rPr>
          <w:rFonts w:ascii="Times New Roman" w:hAnsi="Times New Roman" w:eastAsia="Times New Roman" w:cs="Times New Roman"/>
          <w:b/>
          <w:bCs/>
          <w:sz w:val="36"/>
          <w:szCs w:val="36"/>
        </w:rPr>
        <w:t>References</w:t>
      </w:r>
    </w:p>
    <w:p w14:paraId="33A55CCD">
      <w:pPr>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African Union (AU). (2020). </w:t>
      </w:r>
      <w:r>
        <w:rPr>
          <w:rFonts w:ascii="Times New Roman" w:hAnsi="Times New Roman" w:eastAsia="Times New Roman" w:cs="Times New Roman"/>
          <w:i/>
          <w:iCs/>
          <w:sz w:val="24"/>
          <w:szCs w:val="24"/>
        </w:rPr>
        <w:t>Community-led Tourism and Inclusive Peacebuilding</w:t>
      </w:r>
      <w:r>
        <w:rPr>
          <w:rFonts w:ascii="Times New Roman" w:hAnsi="Times New Roman" w:eastAsia="Times New Roman" w:cs="Times New Roman"/>
          <w:sz w:val="24"/>
          <w:szCs w:val="24"/>
        </w:rPr>
        <w:t>. Addis Ababa: AU.</w:t>
      </w:r>
    </w:p>
    <w:p w14:paraId="490BAD82">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AP News. (2023, February 5). </w:t>
      </w:r>
      <w:r>
        <w:rPr>
          <w:rFonts w:ascii="Times New Roman" w:hAnsi="Times New Roman" w:eastAsia="Times New Roman" w:cs="Times New Roman"/>
          <w:i/>
          <w:iCs/>
          <w:sz w:val="24"/>
          <w:szCs w:val="24"/>
        </w:rPr>
        <w:t>Turmoil risks financial stability Peru long took for granted</w:t>
      </w:r>
      <w:r>
        <w:rPr>
          <w:rFonts w:ascii="Times New Roman" w:hAnsi="Times New Roman" w:eastAsia="Times New Roman" w:cs="Times New Roman"/>
          <w:sz w:val="24"/>
          <w:szCs w:val="24"/>
        </w:rPr>
        <w:t>.</w:t>
      </w:r>
    </w:p>
    <w:p w14:paraId="081FC09A">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International Labour Organization (ILO). (2018). </w:t>
      </w:r>
      <w:r>
        <w:rPr>
          <w:rFonts w:ascii="Times New Roman" w:hAnsi="Times New Roman" w:eastAsia="Times New Roman" w:cs="Times New Roman"/>
          <w:i/>
          <w:iCs/>
          <w:sz w:val="24"/>
          <w:szCs w:val="24"/>
        </w:rPr>
        <w:t>Decent work in fragile and conflict</w:t>
      </w:r>
      <w:r>
        <w:rPr>
          <w:rFonts w:ascii="Times New Roman" w:hAnsi="Times New Roman" w:eastAsia="Times New Roman" w:cs="Times New Roman"/>
          <w:i/>
          <w:iCs/>
          <w:sz w:val="24"/>
          <w:szCs w:val="24"/>
        </w:rPr>
        <w:noBreakHyphen/>
      </w:r>
      <w:r>
        <w:rPr>
          <w:rFonts w:ascii="Times New Roman" w:hAnsi="Times New Roman" w:eastAsia="Times New Roman" w:cs="Times New Roman"/>
          <w:i/>
          <w:iCs/>
          <w:sz w:val="24"/>
          <w:szCs w:val="24"/>
        </w:rPr>
        <w:t>affected situations</w:t>
      </w:r>
      <w:r>
        <w:rPr>
          <w:rFonts w:ascii="Times New Roman" w:hAnsi="Times New Roman" w:eastAsia="Times New Roman" w:cs="Times New Roman"/>
          <w:sz w:val="24"/>
          <w:szCs w:val="24"/>
        </w:rPr>
        <w:t>. Geneva: ILO.</w:t>
      </w:r>
    </w:p>
    <w:p w14:paraId="55132426">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Junín tourism study. (2023). </w:t>
      </w:r>
      <w:r>
        <w:rPr>
          <w:rFonts w:ascii="Times New Roman" w:hAnsi="Times New Roman" w:eastAsia="Times New Roman" w:cs="Times New Roman"/>
          <w:i/>
          <w:iCs/>
          <w:sz w:val="24"/>
          <w:szCs w:val="24"/>
        </w:rPr>
        <w:t>Positive mental health and burnout in tourism sector, Junín, Peru</w:t>
      </w:r>
      <w:r>
        <w:rPr>
          <w:rFonts w:ascii="Times New Roman" w:hAnsi="Times New Roman" w:eastAsia="Times New Roman" w:cs="Times New Roman"/>
          <w:sz w:val="24"/>
          <w:szCs w:val="24"/>
        </w:rPr>
        <w:t>. Technorev.</w:t>
      </w:r>
    </w:p>
    <w:p w14:paraId="5D8405A5">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Tourism</w:t>
      </w:r>
      <w:r>
        <w:rPr>
          <w:rFonts w:ascii="Times New Roman" w:hAnsi="Times New Roman" w:eastAsia="Times New Roman" w:cs="Times New Roman"/>
          <w:sz w:val="24"/>
          <w:szCs w:val="24"/>
        </w:rPr>
        <w:noBreakHyphen/>
      </w:r>
      <w:r>
        <w:rPr>
          <w:rFonts w:ascii="Times New Roman" w:hAnsi="Times New Roman" w:eastAsia="Times New Roman" w:cs="Times New Roman"/>
          <w:sz w:val="24"/>
          <w:szCs w:val="24"/>
        </w:rPr>
        <w:t xml:space="preserve">Review. (2023). </w:t>
      </w:r>
      <w:r>
        <w:rPr>
          <w:rFonts w:ascii="Times New Roman" w:hAnsi="Times New Roman" w:eastAsia="Times New Roman" w:cs="Times New Roman"/>
          <w:i/>
          <w:iCs/>
          <w:sz w:val="24"/>
          <w:szCs w:val="24"/>
        </w:rPr>
        <w:t>Peru's tourism struggles amid unrest</w:t>
      </w:r>
      <w:r>
        <w:rPr>
          <w:rFonts w:ascii="Times New Roman" w:hAnsi="Times New Roman" w:eastAsia="Times New Roman" w:cs="Times New Roman"/>
          <w:sz w:val="24"/>
          <w:szCs w:val="24"/>
        </w:rPr>
        <w:t>.</w:t>
      </w:r>
    </w:p>
    <w:p w14:paraId="5E450290">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UNESCO. (2019). </w:t>
      </w:r>
      <w:r>
        <w:rPr>
          <w:rFonts w:ascii="Times New Roman" w:hAnsi="Times New Roman" w:eastAsia="Times New Roman" w:cs="Times New Roman"/>
          <w:i/>
          <w:iCs/>
          <w:sz w:val="24"/>
          <w:szCs w:val="24"/>
        </w:rPr>
        <w:t>Intangible cultural heritage and tourism resilience</w:t>
      </w:r>
      <w:r>
        <w:rPr>
          <w:rFonts w:ascii="Times New Roman" w:hAnsi="Times New Roman" w:eastAsia="Times New Roman" w:cs="Times New Roman"/>
          <w:sz w:val="24"/>
          <w:szCs w:val="24"/>
        </w:rPr>
        <w:t>. Paris: UNESCO.</w:t>
      </w:r>
    </w:p>
    <w:p w14:paraId="6EE8FD15">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UNDP. (2020). </w:t>
      </w:r>
      <w:r>
        <w:rPr>
          <w:rFonts w:ascii="Times New Roman" w:hAnsi="Times New Roman" w:eastAsia="Times New Roman" w:cs="Times New Roman"/>
          <w:i/>
          <w:iCs/>
          <w:sz w:val="24"/>
          <w:szCs w:val="24"/>
        </w:rPr>
        <w:t>Culture</w:t>
      </w:r>
      <w:r>
        <w:rPr>
          <w:rFonts w:ascii="Times New Roman" w:hAnsi="Times New Roman" w:eastAsia="Times New Roman" w:cs="Times New Roman"/>
          <w:i/>
          <w:iCs/>
          <w:sz w:val="24"/>
          <w:szCs w:val="24"/>
        </w:rPr>
        <w:noBreakHyphen/>
      </w:r>
      <w:r>
        <w:rPr>
          <w:rFonts w:ascii="Times New Roman" w:hAnsi="Times New Roman" w:eastAsia="Times New Roman" w:cs="Times New Roman"/>
          <w:i/>
          <w:iCs/>
          <w:sz w:val="24"/>
          <w:szCs w:val="24"/>
        </w:rPr>
        <w:t>driven labour recovery in post</w:t>
      </w:r>
      <w:r>
        <w:rPr>
          <w:rFonts w:ascii="Times New Roman" w:hAnsi="Times New Roman" w:eastAsia="Times New Roman" w:cs="Times New Roman"/>
          <w:i/>
          <w:iCs/>
          <w:sz w:val="24"/>
          <w:szCs w:val="24"/>
        </w:rPr>
        <w:noBreakHyphen/>
      </w:r>
      <w:r>
        <w:rPr>
          <w:rFonts w:ascii="Times New Roman" w:hAnsi="Times New Roman" w:eastAsia="Times New Roman" w:cs="Times New Roman"/>
          <w:i/>
          <w:iCs/>
          <w:sz w:val="24"/>
          <w:szCs w:val="24"/>
        </w:rPr>
        <w:t>crisis tourism</w:t>
      </w:r>
      <w:r>
        <w:rPr>
          <w:rFonts w:ascii="Times New Roman" w:hAnsi="Times New Roman" w:eastAsia="Times New Roman" w:cs="Times New Roman"/>
          <w:sz w:val="24"/>
          <w:szCs w:val="24"/>
        </w:rPr>
        <w:t>. New York: UNDP.</w:t>
      </w:r>
    </w:p>
    <w:p w14:paraId="3DC70BB5">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UNWTO. (2021). </w:t>
      </w:r>
      <w:r>
        <w:rPr>
          <w:rFonts w:ascii="Times New Roman" w:hAnsi="Times New Roman" w:eastAsia="Times New Roman" w:cs="Times New Roman"/>
          <w:i/>
          <w:iCs/>
          <w:sz w:val="24"/>
          <w:szCs w:val="24"/>
        </w:rPr>
        <w:t>Global guidelines for inclusive, crisis</w:t>
      </w:r>
      <w:r>
        <w:rPr>
          <w:rFonts w:ascii="Times New Roman" w:hAnsi="Times New Roman" w:eastAsia="Times New Roman" w:cs="Times New Roman"/>
          <w:i/>
          <w:iCs/>
          <w:sz w:val="24"/>
          <w:szCs w:val="24"/>
        </w:rPr>
        <w:noBreakHyphen/>
      </w:r>
      <w:r>
        <w:rPr>
          <w:rFonts w:ascii="Times New Roman" w:hAnsi="Times New Roman" w:eastAsia="Times New Roman" w:cs="Times New Roman"/>
          <w:i/>
          <w:iCs/>
          <w:sz w:val="24"/>
          <w:szCs w:val="24"/>
        </w:rPr>
        <w:t>resilient tourism</w:t>
      </w:r>
      <w:r>
        <w:rPr>
          <w:rFonts w:ascii="Times New Roman" w:hAnsi="Times New Roman" w:eastAsia="Times New Roman" w:cs="Times New Roman"/>
          <w:sz w:val="24"/>
          <w:szCs w:val="24"/>
        </w:rPr>
        <w:t>. Madrid: UNWTO.</w:t>
      </w:r>
    </w:p>
    <w:p w14:paraId="6CAD416E">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Wright, J. (2022). </w:t>
      </w:r>
      <w:r>
        <w:rPr>
          <w:rFonts w:ascii="Times New Roman" w:hAnsi="Times New Roman" w:eastAsia="Times New Roman" w:cs="Times New Roman"/>
          <w:i/>
          <w:iCs/>
          <w:sz w:val="24"/>
          <w:szCs w:val="24"/>
        </w:rPr>
        <w:t>Digital platform models for community</w:t>
      </w:r>
      <w:r>
        <w:rPr>
          <w:rFonts w:ascii="Times New Roman" w:hAnsi="Times New Roman" w:eastAsia="Times New Roman" w:cs="Times New Roman"/>
          <w:i/>
          <w:iCs/>
          <w:sz w:val="24"/>
          <w:szCs w:val="24"/>
        </w:rPr>
        <w:noBreakHyphen/>
      </w:r>
      <w:r>
        <w:rPr>
          <w:rFonts w:ascii="Times New Roman" w:hAnsi="Times New Roman" w:eastAsia="Times New Roman" w:cs="Times New Roman"/>
          <w:i/>
          <w:iCs/>
          <w:sz w:val="24"/>
          <w:szCs w:val="24"/>
        </w:rPr>
        <w:t>based rural tourism in Peru</w:t>
      </w:r>
      <w:r>
        <w:rPr>
          <w:rFonts w:ascii="Times New Roman" w:hAnsi="Times New Roman" w:eastAsia="Times New Roman" w:cs="Times New Roman"/>
          <w:sz w:val="24"/>
          <w:szCs w:val="24"/>
        </w:rPr>
        <w:t>. Sustainability, 14(13). 5907.</w:t>
      </w:r>
    </w:p>
    <w:p w14:paraId="15FECE7B">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World Bank &amp; IFC. (2023). </w:t>
      </w:r>
      <w:r>
        <w:rPr>
          <w:rFonts w:ascii="Times New Roman" w:hAnsi="Times New Roman" w:eastAsia="Times New Roman" w:cs="Times New Roman"/>
          <w:i/>
          <w:iCs/>
          <w:sz w:val="24"/>
          <w:szCs w:val="24"/>
        </w:rPr>
        <w:t>Peru country private sector diagnostic</w:t>
      </w:r>
      <w:r>
        <w:rPr>
          <w:rFonts w:ascii="Times New Roman" w:hAnsi="Times New Roman" w:eastAsia="Times New Roman" w:cs="Times New Roman"/>
          <w:sz w:val="24"/>
          <w:szCs w:val="24"/>
        </w:rPr>
        <w:t>.</w:t>
      </w:r>
    </w:p>
    <w:p w14:paraId="53A6FD75">
      <w:pPr>
        <w:pStyle w:val="11"/>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APA sources: Cusco airport &amp; economic data (Wikipedia, 2025).</w:t>
      </w:r>
    </w:p>
    <w:p w14:paraId="2CB13DA6">
      <w:pPr>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International Labour Organization (ILO). (2018). </w:t>
      </w:r>
      <w:r>
        <w:rPr>
          <w:rFonts w:ascii="Times New Roman" w:hAnsi="Times New Roman" w:eastAsia="Times New Roman" w:cs="Times New Roman"/>
          <w:i/>
          <w:iCs/>
          <w:sz w:val="24"/>
          <w:szCs w:val="24"/>
        </w:rPr>
        <w:t>Decent Work in Fragile and Conflict-Affected Situations</w:t>
      </w:r>
      <w:r>
        <w:rPr>
          <w:rFonts w:ascii="Times New Roman" w:hAnsi="Times New Roman" w:eastAsia="Times New Roman" w:cs="Times New Roman"/>
          <w:sz w:val="24"/>
          <w:szCs w:val="24"/>
        </w:rPr>
        <w:t>. Geneva: ILO.</w:t>
      </w:r>
    </w:p>
    <w:p w14:paraId="3D85723B">
      <w:pPr>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United Nations Development Programme (UNDP). (2020). </w:t>
      </w:r>
      <w:r>
        <w:rPr>
          <w:rFonts w:ascii="Times New Roman" w:hAnsi="Times New Roman" w:eastAsia="Times New Roman" w:cs="Times New Roman"/>
          <w:i/>
          <w:iCs/>
          <w:sz w:val="24"/>
          <w:szCs w:val="24"/>
        </w:rPr>
        <w:t>Culture-Driven Labour Recovery in Post-Crisis Tourism</w:t>
      </w:r>
      <w:r>
        <w:rPr>
          <w:rFonts w:ascii="Times New Roman" w:hAnsi="Times New Roman" w:eastAsia="Times New Roman" w:cs="Times New Roman"/>
          <w:sz w:val="24"/>
          <w:szCs w:val="24"/>
        </w:rPr>
        <w:t>. New York: UNDP.</w:t>
      </w:r>
    </w:p>
    <w:p w14:paraId="499A1B55">
      <w:pPr>
        <w:numPr>
          <w:ilvl w:val="0"/>
          <w:numId w:val="5"/>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United Nations Educational, Scientific and Cultural Organization (UNESCO). (2019). </w:t>
      </w:r>
      <w:r>
        <w:rPr>
          <w:rFonts w:ascii="Times New Roman" w:hAnsi="Times New Roman" w:eastAsia="Times New Roman" w:cs="Times New Roman"/>
          <w:i/>
          <w:iCs/>
          <w:sz w:val="24"/>
          <w:szCs w:val="24"/>
        </w:rPr>
        <w:t>Safeguarding Intangible Cultural Heritage in Tourism Recovery</w:t>
      </w:r>
      <w:r>
        <w:rPr>
          <w:rFonts w:ascii="Times New Roman" w:hAnsi="Times New Roman" w:eastAsia="Times New Roman" w:cs="Times New Roman"/>
          <w:sz w:val="24"/>
          <w:szCs w:val="24"/>
        </w:rPr>
        <w:t>. Paris: UNESCO.</w:t>
      </w:r>
    </w:p>
    <w:p w14:paraId="2B9C34FA">
      <w:pPr>
        <w:numPr>
          <w:ilvl w:val="0"/>
          <w:numId w:val="5"/>
        </w:numPr>
        <w:spacing w:before="100" w:beforeAutospacing="1" w:after="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United Nations World Tourism Organization (UNWTO). (2021). </w:t>
      </w:r>
      <w:r>
        <w:rPr>
          <w:rFonts w:ascii="Times New Roman" w:hAnsi="Times New Roman" w:eastAsia="Times New Roman" w:cs="Times New Roman"/>
          <w:i/>
          <w:iCs/>
          <w:sz w:val="24"/>
          <w:szCs w:val="24"/>
        </w:rPr>
        <w:t>Global Guidelines for Inclusive Crisis-Resilient Tourism</w:t>
      </w:r>
      <w:r>
        <w:rPr>
          <w:rFonts w:ascii="Times New Roman" w:hAnsi="Times New Roman" w:eastAsia="Times New Roman" w:cs="Times New Roman"/>
          <w:sz w:val="24"/>
          <w:szCs w:val="24"/>
        </w:rPr>
        <w:t xml:space="preserve">. Madrid: UNWTO. </w:t>
      </w:r>
    </w:p>
    <w:p w14:paraId="0D38848B">
      <w:pPr>
        <w:numPr>
          <w:ilvl w:val="0"/>
          <w:numId w:val="5"/>
        </w:numPr>
        <w:spacing w:before="100" w:beforeAutospacing="1" w:after="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ILO. (2019). </w:t>
      </w:r>
      <w:r>
        <w:rPr>
          <w:rFonts w:ascii="Times New Roman" w:hAnsi="Times New Roman" w:eastAsia="Times New Roman" w:cs="Times New Roman"/>
          <w:i/>
          <w:iCs/>
          <w:sz w:val="24"/>
          <w:szCs w:val="24"/>
        </w:rPr>
        <w:t>Tourism and Informal Labour in Latin America: Peru Country Report</w:t>
      </w:r>
      <w:r>
        <w:rPr>
          <w:rFonts w:ascii="Times New Roman" w:hAnsi="Times New Roman" w:eastAsia="Times New Roman" w:cs="Times New Roman"/>
          <w:sz w:val="24"/>
          <w:szCs w:val="24"/>
        </w:rPr>
        <w:t>.</w:t>
      </w:r>
    </w:p>
    <w:p w14:paraId="6E902C26">
      <w:pPr>
        <w:numPr>
          <w:ilvl w:val="0"/>
          <w:numId w:val="6"/>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INEI. (2021). </w:t>
      </w:r>
      <w:r>
        <w:rPr>
          <w:rFonts w:ascii="Times New Roman" w:hAnsi="Times New Roman" w:eastAsia="Times New Roman" w:cs="Times New Roman"/>
          <w:i/>
          <w:iCs/>
          <w:sz w:val="24"/>
          <w:szCs w:val="24"/>
        </w:rPr>
        <w:t>Labour Force Characteristics: Tourism Workers in Peru</w:t>
      </w:r>
      <w:r>
        <w:rPr>
          <w:rFonts w:ascii="Times New Roman" w:hAnsi="Times New Roman" w:eastAsia="Times New Roman" w:cs="Times New Roman"/>
          <w:sz w:val="24"/>
          <w:szCs w:val="24"/>
        </w:rPr>
        <w:t>.</w:t>
      </w:r>
    </w:p>
    <w:p w14:paraId="74DF5CFD">
      <w:pPr>
        <w:numPr>
          <w:ilvl w:val="0"/>
          <w:numId w:val="6"/>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MINCETUR. (2023). </w:t>
      </w:r>
      <w:r>
        <w:rPr>
          <w:rFonts w:ascii="Times New Roman" w:hAnsi="Times New Roman" w:eastAsia="Times New Roman" w:cs="Times New Roman"/>
          <w:i/>
          <w:iCs/>
          <w:sz w:val="24"/>
          <w:szCs w:val="24"/>
        </w:rPr>
        <w:t>Economic Impact of Civil Unrest on the Tourism Sector</w:t>
      </w:r>
      <w:r>
        <w:rPr>
          <w:rFonts w:ascii="Times New Roman" w:hAnsi="Times New Roman" w:eastAsia="Times New Roman" w:cs="Times New Roman"/>
          <w:sz w:val="24"/>
          <w:szCs w:val="24"/>
        </w:rPr>
        <w:t>.</w:t>
      </w:r>
    </w:p>
    <w:p w14:paraId="58DA43F9">
      <w:pPr>
        <w:numPr>
          <w:ilvl w:val="0"/>
          <w:numId w:val="6"/>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UNDP. (2020). </w:t>
      </w:r>
      <w:r>
        <w:rPr>
          <w:rFonts w:ascii="Times New Roman" w:hAnsi="Times New Roman" w:eastAsia="Times New Roman" w:cs="Times New Roman"/>
          <w:i/>
          <w:iCs/>
          <w:sz w:val="24"/>
          <w:szCs w:val="24"/>
        </w:rPr>
        <w:t>Tourism and Peacebuilding: Latin America Focus</w:t>
      </w:r>
      <w:r>
        <w:rPr>
          <w:rFonts w:ascii="Times New Roman" w:hAnsi="Times New Roman" w:eastAsia="Times New Roman" w:cs="Times New Roman"/>
          <w:sz w:val="24"/>
          <w:szCs w:val="24"/>
        </w:rPr>
        <w:t>.</w:t>
      </w:r>
    </w:p>
    <w:p w14:paraId="18BA3EFB">
      <w:pPr>
        <w:numPr>
          <w:ilvl w:val="0"/>
          <w:numId w:val="6"/>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WTTC. (2021). </w:t>
      </w:r>
      <w:r>
        <w:rPr>
          <w:rFonts w:ascii="Times New Roman" w:hAnsi="Times New Roman" w:eastAsia="Times New Roman" w:cs="Times New Roman"/>
          <w:i/>
          <w:iCs/>
          <w:sz w:val="24"/>
          <w:szCs w:val="24"/>
        </w:rPr>
        <w:t>Peru: Economic Impact Report</w:t>
      </w:r>
      <w:r>
        <w:rPr>
          <w:rFonts w:ascii="Times New Roman" w:hAnsi="Times New Roman" w:eastAsia="Times New Roman" w:cs="Times New Roman"/>
          <w:sz w:val="24"/>
          <w:szCs w:val="24"/>
        </w:rPr>
        <w:t>.</w:t>
      </w:r>
    </w:p>
    <w:p w14:paraId="3BEF7D8F">
      <w:pPr>
        <w:numPr>
          <w:ilvl w:val="0"/>
          <w:numId w:val="6"/>
        </w:numPr>
        <w:spacing w:before="100" w:beforeAutospacing="1" w:after="100" w:afterAutospacing="1" w:line="240" w:lineRule="auto"/>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World Bank. (2022). </w:t>
      </w:r>
      <w:r>
        <w:rPr>
          <w:rFonts w:ascii="Times New Roman" w:hAnsi="Times New Roman" w:eastAsia="Times New Roman" w:cs="Times New Roman"/>
          <w:i/>
          <w:iCs/>
          <w:sz w:val="24"/>
          <w:szCs w:val="24"/>
        </w:rPr>
        <w:t>Tourism Sector Recovery in Post-Conflict Regions</w:t>
      </w:r>
      <w:r>
        <w:rPr>
          <w:rFonts w:ascii="Times New Roman" w:hAnsi="Times New Roman" w:eastAsia="Times New Roman" w:cs="Times New Roman"/>
          <w:sz w:val="24"/>
          <w:szCs w:val="24"/>
        </w:rPr>
        <w:t>.</w:t>
      </w:r>
    </w:p>
    <w:p w14:paraId="7953DA1B"/>
    <w:sectPr>
      <w:pgSz w:w="12240" w:h="15840"/>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01667B"/>
    <w:multiLevelType w:val="multilevel"/>
    <w:tmpl w:val="0E01667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139C6A12"/>
    <w:multiLevelType w:val="multilevel"/>
    <w:tmpl w:val="139C6A1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298C19CA"/>
    <w:multiLevelType w:val="multilevel"/>
    <w:tmpl w:val="298C19C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3ABB58D6"/>
    <w:multiLevelType w:val="multilevel"/>
    <w:tmpl w:val="3ABB58D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5E34473C"/>
    <w:multiLevelType w:val="multilevel"/>
    <w:tmpl w:val="5E34473C"/>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5">
    <w:nsid w:val="6EDE095A"/>
    <w:multiLevelType w:val="multilevel"/>
    <w:tmpl w:val="6EDE095A"/>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421F"/>
    <w:rsid w:val="00004E08"/>
    <w:rsid w:val="0010198C"/>
    <w:rsid w:val="0015582A"/>
    <w:rsid w:val="001D63DD"/>
    <w:rsid w:val="00215311"/>
    <w:rsid w:val="00672EA7"/>
    <w:rsid w:val="00806BE3"/>
    <w:rsid w:val="008F4C16"/>
    <w:rsid w:val="009D421F"/>
    <w:rsid w:val="00A10499"/>
    <w:rsid w:val="00AB0630"/>
    <w:rsid w:val="00BF75E8"/>
    <w:rsid w:val="00D26592"/>
    <w:rsid w:val="00D44F16"/>
    <w:rsid w:val="00D915F8"/>
    <w:rsid w:val="00E93908"/>
    <w:rsid w:val="32B61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2"/>
    <w:basedOn w:val="1"/>
    <w:link w:val="13"/>
    <w:qFormat/>
    <w:uiPriority w:val="9"/>
    <w:pPr>
      <w:spacing w:before="100" w:beforeAutospacing="1" w:after="100" w:afterAutospacing="1" w:line="240" w:lineRule="auto"/>
      <w:outlineLvl w:val="1"/>
    </w:pPr>
    <w:rPr>
      <w:rFonts w:ascii="Times New Roman" w:hAnsi="Times New Roman" w:eastAsia="Times New Roman" w:cs="Times New Roman"/>
      <w:b/>
      <w:bCs/>
      <w:sz w:val="36"/>
      <w:szCs w:val="36"/>
    </w:rPr>
  </w:style>
  <w:style w:type="paragraph" w:styleId="3">
    <w:name w:val="heading 3"/>
    <w:basedOn w:val="1"/>
    <w:link w:val="14"/>
    <w:qFormat/>
    <w:uiPriority w:val="9"/>
    <w:pPr>
      <w:spacing w:before="100" w:beforeAutospacing="1" w:after="100" w:afterAutospacing="1" w:line="240" w:lineRule="auto"/>
      <w:outlineLvl w:val="2"/>
    </w:pPr>
    <w:rPr>
      <w:rFonts w:ascii="Times New Roman" w:hAnsi="Times New Roman" w:eastAsia="Times New Roman" w:cs="Times New Roman"/>
      <w:b/>
      <w:bCs/>
      <w:sz w:val="27"/>
      <w:szCs w:val="27"/>
    </w:rPr>
  </w:style>
  <w:style w:type="paragraph" w:styleId="4">
    <w:name w:val="heading 4"/>
    <w:basedOn w:val="1"/>
    <w:link w:val="15"/>
    <w:qFormat/>
    <w:uiPriority w:val="9"/>
    <w:pPr>
      <w:spacing w:before="100" w:beforeAutospacing="1" w:after="100" w:afterAutospacing="1" w:line="240" w:lineRule="auto"/>
      <w:outlineLvl w:val="3"/>
    </w:pPr>
    <w:rPr>
      <w:rFonts w:ascii="Times New Roman" w:hAnsi="Times New Roman" w:eastAsia="Times New Roman" w:cs="Times New Roman"/>
      <w:b/>
      <w:bCs/>
      <w:sz w:val="24"/>
      <w:szCs w:val="24"/>
    </w:rPr>
  </w:style>
  <w:style w:type="character" w:default="1" w:styleId="5">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2"/>
    <w:semiHidden/>
    <w:unhideWhenUsed/>
    <w:uiPriority w:val="99"/>
    <w:pPr>
      <w:spacing w:after="0" w:line="240" w:lineRule="auto"/>
    </w:pPr>
    <w:rPr>
      <w:rFonts w:ascii="Tahoma" w:hAnsi="Tahoma" w:cs="Tahoma"/>
      <w:sz w:val="16"/>
      <w:szCs w:val="16"/>
    </w:rPr>
  </w:style>
  <w:style w:type="character" w:styleId="8">
    <w:name w:val="Emphasis"/>
    <w:basedOn w:val="5"/>
    <w:qFormat/>
    <w:uiPriority w:val="20"/>
    <w:rPr>
      <w:i/>
      <w:iCs/>
    </w:rPr>
  </w:style>
  <w:style w:type="paragraph" w:styleId="9">
    <w:name w:val="Normal (Web)"/>
    <w:basedOn w:val="1"/>
    <w:semiHidden/>
    <w:unhideWhenUsed/>
    <w:uiPriority w:val="99"/>
    <w:rPr>
      <w:rFonts w:ascii="Times New Roman" w:hAnsi="Times New Roman" w:cs="Times New Roman"/>
      <w:sz w:val="24"/>
      <w:szCs w:val="24"/>
    </w:rPr>
  </w:style>
  <w:style w:type="character" w:styleId="10">
    <w:name w:val="Strong"/>
    <w:basedOn w:val="5"/>
    <w:qFormat/>
    <w:uiPriority w:val="22"/>
    <w:rPr>
      <w:b/>
      <w:bCs/>
    </w:rPr>
  </w:style>
  <w:style w:type="paragraph" w:styleId="11">
    <w:name w:val="List Paragraph"/>
    <w:basedOn w:val="1"/>
    <w:qFormat/>
    <w:uiPriority w:val="34"/>
    <w:pPr>
      <w:ind w:left="720"/>
      <w:contextualSpacing/>
    </w:pPr>
  </w:style>
  <w:style w:type="character" w:customStyle="1" w:styleId="12">
    <w:name w:val="Balloon Text Char"/>
    <w:basedOn w:val="5"/>
    <w:link w:val="7"/>
    <w:semiHidden/>
    <w:uiPriority w:val="99"/>
    <w:rPr>
      <w:rFonts w:ascii="Tahoma" w:hAnsi="Tahoma" w:cs="Tahoma"/>
      <w:sz w:val="16"/>
      <w:szCs w:val="16"/>
    </w:rPr>
  </w:style>
  <w:style w:type="character" w:customStyle="1" w:styleId="13">
    <w:name w:val="Heading 2 Char"/>
    <w:basedOn w:val="5"/>
    <w:link w:val="2"/>
    <w:uiPriority w:val="9"/>
    <w:rPr>
      <w:rFonts w:ascii="Times New Roman" w:hAnsi="Times New Roman" w:eastAsia="Times New Roman" w:cs="Times New Roman"/>
      <w:b/>
      <w:bCs/>
      <w:sz w:val="36"/>
      <w:szCs w:val="36"/>
    </w:rPr>
  </w:style>
  <w:style w:type="character" w:customStyle="1" w:styleId="14">
    <w:name w:val="Heading 3 Char"/>
    <w:basedOn w:val="5"/>
    <w:link w:val="3"/>
    <w:uiPriority w:val="9"/>
    <w:rPr>
      <w:rFonts w:ascii="Times New Roman" w:hAnsi="Times New Roman" w:eastAsia="Times New Roman" w:cs="Times New Roman"/>
      <w:b/>
      <w:bCs/>
      <w:sz w:val="27"/>
      <w:szCs w:val="27"/>
    </w:rPr>
  </w:style>
  <w:style w:type="character" w:customStyle="1" w:styleId="15">
    <w:name w:val="Heading 4 Char"/>
    <w:basedOn w:val="5"/>
    <w:link w:val="4"/>
    <w:uiPriority w:val="9"/>
    <w:rPr>
      <w:rFonts w:ascii="Times New Roman" w:hAnsi="Times New Roman" w:eastAsia="Times New Roman" w:cs="Times New Roman"/>
      <w:b/>
      <w:bCs/>
      <w:sz w:val="24"/>
      <w:szCs w:val="24"/>
    </w:rPr>
  </w:style>
  <w:style w:type="character" w:customStyle="1" w:styleId="16">
    <w:name w:val="relative"/>
    <w:basedOn w:val="5"/>
    <w:uiPriority w:val="0"/>
  </w:style>
  <w:style w:type="character" w:customStyle="1" w:styleId="17">
    <w:name w:val="ms-1"/>
    <w:basedOn w:val="5"/>
    <w:uiPriority w:val="0"/>
  </w:style>
  <w:style w:type="character" w:customStyle="1" w:styleId="18">
    <w:name w:val="max-w-full"/>
    <w:basedOn w:val="5"/>
    <w:qFormat/>
    <w:uiPriority w:val="0"/>
  </w:style>
  <w:style w:type="character" w:customStyle="1" w:styleId="19">
    <w:name w:val="-me-1"/>
    <w:basedOn w:val="5"/>
    <w:qFormat/>
    <w:uiPriority w:val="0"/>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4792</Words>
  <Characters>27318</Characters>
  <Lines>227</Lines>
  <Paragraphs>64</Paragraphs>
  <TotalTime>1316</TotalTime>
  <ScaleCrop>false</ScaleCrop>
  <LinksUpToDate>false</LinksUpToDate>
  <CharactersWithSpaces>32046</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2025-06-15T05:53:00Z</dcterms:created>
  <dc:creator>ANCHALIKA</dc:creator>
  <cp:lastModifiedBy>Dell</cp:lastModifiedBy>
  <dcterms:modified xsi:type="dcterms:W3CDTF">2025-06-23T10:44:04Z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07A054AF67C34E74AB878D2288E4EAF4_13</vt:lpwstr>
  </property>
</Properties>
</file>